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3.png" ContentType="image/png"/>
  <Override PartName="/word/media/rId32.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pPr>
        <w:numPr>
          <w:numId w:val="2"/>
          <w:ilvl w:val="0"/>
        </w:numPr>
      </w:pPr>
      <w:r>
        <w:t xml:space="preserve">A large literature documents the various effects of predators on one another, and the consequences of these interaction for communities; meanwhile studies which measure (and occasionally manipulate) phylogenetic diversity of producers are increasingly common – yet we know very little about the ecosystem-level effects of predator phylogenetic diversity.</w:t>
      </w:r>
    </w:p>
    <w:p>
      <w:pPr>
        <w:numPr>
          <w:numId w:val="2"/>
          <w:ilvl w:val="0"/>
        </w:numPr>
      </w:pPr>
      <w:r>
        <w:t xml:space="preserve">predators are important for ecosystem processes, and for the diversity and abundance of their prey species; mecahanisms of predator diversity effect include complementarity, intra-guild predation, competition.</w:t>
      </w:r>
    </w:p>
    <w:p>
      <w:pPr>
        <w:numPr>
          <w:numId w:val="2"/>
          <w:ilvl w:val="0"/>
        </w:numPr>
      </w:pPr>
      <w:r>
        <w:t xml:space="preserve">Phylogenetic methods have been useful in understanding the effects of species combinations in experiments with other functional groups; a similar approach might help to synthesize the diverse literature on predator diversity effects.</w:t>
      </w:r>
    </w:p>
    <w:p>
      <w:pPr>
        <w:numPr>
          <w:numId w:val="2"/>
          <w:ilvl w:val="0"/>
        </w:numPr>
      </w:pPr>
      <w:r>
        <w:t xml:space="preserve">Phylogenetic information can provide predictive insight beyond a system, and also can allow us to make comparisons between partly-overlapping or nested sets of species interactions, by supplying a common measure of dissimilarity between a wide range of species</w:t>
      </w:r>
    </w:p>
    <w:p>
      <w:pPr>
        <w:numPr>
          <w:numId w:val="2"/>
          <w:ilvl w:val="0"/>
        </w:numPr>
      </w:pPr>
      <w:r>
        <w:t xml:space="preserve">Observational datasets can provide clues to negative associations o-occurrance; phylogenetic diversity has proven espeically useful in these cases</w:t>
      </w:r>
    </w:p>
    <w:p>
      <w:pPr>
        <w:numPr>
          <w:numId w:val="2"/>
          <w:ilvl w:val="0"/>
        </w:numPr>
      </w:pPr>
      <w:r>
        <w:t xml:space="preserve">The phylogenetic diversity of a foodweb might reflect niche conservatism among predators – that is, closely related predators might eat similar diets.</w:t>
      </w:r>
    </w:p>
    <w:p>
      <w:pPr>
        <w:numPr>
          <w:numId w:val="3"/>
          <w:ilvl w:val="0"/>
        </w:numPr>
      </w:pPr>
      <w:r>
        <w:t xml:space="preserve">The top-down effects of predators, alone and in combinations, can be measured at the scale of an entire ecosystem by using mesocosm experiments.</w:t>
      </w:r>
    </w:p>
    <w:p>
      <w:pPr>
        <w:numPr>
          <w:numId w:val="4"/>
          <w:ilvl w:val="0"/>
        </w:numPr>
      </w:pPr>
      <w:r>
        <w:t xml:space="preserve">We test three related hypotheses concerning co-occurance patterns, diet similarity and top-down ecosystem effects of diverse predators, using a natural mesocosm: the community of invertebrates living within bromeliads.</w:t>
      </w:r>
    </w:p>
    <w:p>
      <w:pPr>
        <w:numPr>
          <w:numId w:val="5"/>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5"/>
          <w:ilvl w:val="0"/>
        </w:numPr>
      </w:pPr>
      <w:r>
        <w:rPr>
          <w:i/>
        </w:rPr>
        <w:t xml:space="preserve">diet similarity</w:t>
      </w:r>
      <w:r>
        <w:t xml:space="preserve">: similarity in diet (as measured by feeding trials) decreases with phylogenetic distance.</w:t>
      </w:r>
    </w:p>
    <w:p>
      <w:pPr>
        <w:numPr>
          <w:numId w:val="5"/>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4" w:name="observations-of-predator-co-occurance"/>
    <w:p>
      <w:pPr>
        <w:pStyle w:val="Heading3"/>
      </w:pPr>
      <w:r>
        <w:t xml:space="preserve">Observations of predator co-occurance</w:t>
      </w:r>
    </w:p>
    <w:bookmarkEnd w:id="24"/>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They were also measured, when possible, or placed in size categories.</w:t>
      </w:r>
    </w:p>
    <w:p>
      <w:r>
        <w:t xml:space="preserve">Because predators in this system vary widely in size, we scaled our measure of coexistence by the predator’s overall effect on the community. We used</w:t>
      </w:r>
      <w:r>
        <w:t xml:space="preserve"> </w:t>
      </w:r>
      <w:r>
        <w:t xml:space="preserve">“</w:t>
      </w:r>
      <w:r>
        <w:t xml:space="preserve">metabolic capacity</w:t>
      </w:r>
      <w:r>
        <w:t xml:space="preserve">”</w:t>
      </w:r>
      <w:r>
        <w:t xml:space="preserve">,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biomass raised to the power of 0.69; this reflects the nonlinearity of feeding rate on body size across many invertebrate taxa. We calculated total metabolic capacity of each predator species in each bromeliad by summing estimates for all individuals of the same species within a plant.</w:t>
      </w:r>
    </w:p>
    <w:bookmarkStart w:id="25" w:name="diet-similarity"/>
    <w:p>
      <w:pPr>
        <w:pStyle w:val="Heading3"/>
      </w:pPr>
      <w:r>
        <w:t xml:space="preserve">Diet similarity</w:t>
      </w:r>
    </w:p>
    <w:bookmarkEnd w:id="25"/>
    <w:p>
      <w:r>
        <w:t xml:space="preserve">We quantified diet similarity between predators in a series of feeding trials. We covered all potential predator-prey pairs present in the experiment (described below), and attempted to perform all other trials whenever possible. We were limited by the density of animals we could find in the field, with some predators being rarer than others.</w:t>
      </w:r>
    </w:p>
    <w:p>
      <w:r>
        <w:t xml:space="preserve">We conducted our feeding trials between March and April 2011. We placed predators together with prey in a 50ml vial, with a leaf or stick for substrate. The only exception to this setup was the tabanid larvae, which we placed between two vertical surfaces to imitate the narrow space found in bromeliad leaf axils.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bookmarkStart w:id="26" w:name="community-effect-experiment"/>
    <w:p>
      <w:pPr>
        <w:pStyle w:val="Heading3"/>
      </w:pPr>
      <w:r>
        <w:t xml:space="preserve">Community effect experiment</w:t>
      </w:r>
    </w:p>
    <w:bookmarkEnd w:id="26"/>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predator metabolic capacity in each.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40ml/pot/day of 5g/L ammonium sulphate containing 10 percent atom excess of N15.</w:t>
      </w:r>
      <w:r>
        <w:t xml:space="preserve"> </w:t>
      </w:r>
      <w:r>
        <w:rPr>
          <w:i/>
        </w:rPr>
        <w:t xml:space="preserve">duration</w:t>
      </w:r>
      <w:r>
        <w:t xml:space="preserve">. started on 27/1/2011 Whole leaves were then picked from plants and air-dried until constant weight, and then soaked for three days and the water discarded. About 1.5 g of leaves were placed in each bromeliad (1.5006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continuous oviposition.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(emergence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7" w:name="results"/>
    <w:p>
      <w:pPr>
        <w:pStyle w:val="Heading2"/>
      </w:pPr>
      <w:r>
        <w:t xml:space="preserve">Results</w:t>
      </w:r>
    </w:p>
    <w:bookmarkEnd w:id="27"/>
    <w:bookmarkStart w:id="28" w:name="metabolic-capacity-and-phylogenetic-distance"/>
    <w:p>
      <w:pPr>
        <w:pStyle w:val="Heading3"/>
      </w:pPr>
      <w:r>
        <w:t xml:space="preserve">metabolic capacity and phylogenetic distance</w:t>
      </w:r>
    </w:p>
    <w:bookmarkEnd w:id="28"/>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r>
        <w:t xml:space="preserve">In 2008, insects were counted and measured in an observational study of 25 bromeliads. 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m:t>
        </m:r>
      </m:oMath>
      <w:r>
        <w:t xml:space="preserve"> </w:t>
      </w:r>
      <w:r>
        <w:t xml:space="preserve">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29" w:name="diet-similarity-and-phylogenetic-distance"/>
    <w:p>
      <w:pPr>
        <w:pStyle w:val="Heading3"/>
      </w:pPr>
      <w:r>
        <w:t xml:space="preserve">diet similarity and phylogenetic distance</w:t>
      </w:r>
    </w:p>
    <w:bookmarkEnd w:id="29"/>
    <w:p>
      <w: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 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 and 67%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1, 19</w:t>
      </w:r>
      <w:r>
        <w:t xml:space="preserve">=5.16, p=0.035) Regression was weighted by the number of trials conducted.</w:t>
      </w:r>
    </w:p>
    <w:bookmarkStart w:id="30" w:name="ecosystem-level-effects-and-phylogenetic-distance"/>
    <w:p>
      <w:pPr>
        <w:pStyle w:val="Heading3"/>
      </w:pPr>
      <w:r>
        <w:t xml:space="preserve">Ecosystem-level effects and phylogenetic distance</w:t>
      </w:r>
    </w:p>
    <w:bookmarkEnd w:id="30"/>
    <w:p>
      <w:r>
        <w:t xml:space="preserve">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1" w:name="figures"/>
    <w:p>
      <w:pPr>
        <w:pStyle w:val="Heading3"/>
      </w:pPr>
      <w:r>
        <w:t xml:space="preserve">Figures</w:t>
      </w:r>
    </w:p>
    <w:bookmarkEnd w:id="31"/>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1: Phylogenetic distance and predator co-occurance. Each point represents a pair of predator species. We caluclated total metabolic capacity for each predator species in each bromeliad, and then calculated co-occurance between two predators as the euclidian distance between total metabolic capacity of two species.</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3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2: Phylogenetic distance and diet similarity. We performed 237 feeding trials with the 8 major predator taxa found in this system. We found that more distantly-related predators consume more dissimiliar prey. We measured diet similarity as euclidian distance among feeding trial outcomes; this measure includes information about the number of predation events in each predator-prey pairing. Regression was weighted by the sample size of the predator-prey pair.</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3: Treatment responses for the manipulative experiment. Points are means, and horizontal lines represent minimum and maximum values for each response. n=5 for all means.</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4: Combinations of predators beyond congenerics show a negative non-additive effect on predation rate. Points represent the mean difference between the means of two monocultures compared to the mean of a polycultures. These values are presented as differences from (predator free) controls; therefore 0 indicates no significant non-additive effect. Relative to control (no predator) plants, bromeliads containing two predators which were not congeneric showed less predation</w:t>
      </w:r>
    </w:p>
    <w:bookmarkStart w:id="36" w:name="discussion"/>
    <w:p>
      <w:pPr>
        <w:pStyle w:val="Heading2"/>
      </w:pPr>
      <w:r>
        <w:t xml:space="preserve">Discussion</w:t>
      </w:r>
    </w:p>
    <w:bookmarkEnd w:id="36"/>
    <w:bookmarkStart w:id="37" w:name="co-occurrance"/>
    <w:p>
      <w:pPr>
        <w:pStyle w:val="Heading3"/>
      </w:pPr>
      <w:r>
        <w:t xml:space="preserve">co-occurrance</w:t>
      </w:r>
    </w:p>
    <w:bookmarkEnd w:id="37"/>
    <w:p>
      <w:pPr>
        <w:numPr>
          <w:numId w:val="6"/>
          <w:ilvl w:val="0"/>
        </w:numPr>
      </w:pPr>
      <w:r>
        <w:t xml:space="preserve">Predators appear to be generalist with regard to their habitat preference; indicating that prey face a heterogeneous landscape of predator risks, and demonstrating that our experimental design captures natural variation in predator composition.</w:t>
      </w:r>
    </w:p>
    <w:p>
      <w:pPr>
        <w:numPr>
          <w:numId w:val="6"/>
          <w:ilvl w:val="0"/>
        </w:numPr>
      </w:pPr>
      <w:r>
        <w:t xml:space="preserve">Predators occuring together at smaller spatial scales (i.e. within the same plant) may have limited direct interactions due to habitat structure, for example via the physical obstructions caused by detritus</w:t>
      </w:r>
    </w:p>
    <w:bookmarkStart w:id="38" w:name="diet-similarity-1"/>
    <w:p>
      <w:pPr>
        <w:pStyle w:val="Heading3"/>
      </w:pPr>
      <w:r>
        <w:t xml:space="preserve">diet similarity</w:t>
      </w:r>
    </w:p>
    <w:bookmarkEnd w:id="38"/>
    <w:p>
      <w:pPr>
        <w:numPr>
          <w:numId w:val="7"/>
          <w:ilvl w:val="0"/>
        </w:numPr>
      </w:pPr>
      <w:r>
        <w:t xml:space="preserve">We demonstrate a slight but important decrease in feeding preferences with phylogenetic distance, indicating that food web structure itself might vary with phylogenetic diversity, becoming more compartmentalized when predators are more dissimilar.</w:t>
      </w:r>
    </w:p>
    <w:p>
      <w:pPr>
        <w:numPr>
          <w:numId w:val="7"/>
          <w:ilvl w:val="0"/>
        </w:numPr>
      </w:pPr>
      <w:r>
        <w:t xml:space="preserve">The differences in predation rates and diet breadth among our predators represents important trait differences between the groups involved, including differences in metabolic rate and feeding mode. (</w:t>
      </w:r>
      <w:r>
        <w:rPr>
          <w:i/>
        </w:rPr>
        <w:t xml:space="preserve">for example, Tabanids and leeches are peircing predators, while Leptagrion is gape-limited.</w:t>
      </w:r>
      <w:r>
        <w:t xml:space="preserve">)</w:t>
      </w:r>
    </w:p>
    <w:p>
      <w:pPr>
        <w:numPr>
          <w:numId w:val="8"/>
          <w:ilvl w:val="0"/>
        </w:numPr>
      </w:pPr>
      <w:r>
        <w:t xml:space="preserve">Feeding differences between predators, combined with their patchy but unpredictable distribution among bromeliads, creates a large variation in food web structure and total amount of predation per patch within this bromeliad metacommunity</w:t>
      </w:r>
    </w:p>
    <w:bookmarkStart w:id="39" w:name="community-experiment"/>
    <w:p>
      <w:pPr>
        <w:pStyle w:val="Heading3"/>
      </w:pPr>
      <w:r>
        <w:t xml:space="preserve">community experiment</w:t>
      </w:r>
    </w:p>
    <w:bookmarkEnd w:id="39"/>
    <w:p>
      <w:pPr>
        <w:numPr>
          <w:numId w:val="9"/>
          <w:ilvl w:val="0"/>
        </w:numPr>
      </w:pPr>
      <w:r>
        <w:t xml:space="preserve">Phylogenetically diverse predator assemblages showed more prey survivorship (i.e. less predation) than expected; this may be to strong trait-mediated indirect effects on the feeding rate of</w:t>
      </w:r>
      <w:r>
        <w:t xml:space="preserve"> </w:t>
      </w:r>
      <w:r>
        <w:rPr>
          <w:i/>
        </w:rPr>
        <w:t xml:space="preserve">Leptagrion elongatum</w:t>
      </w:r>
      <w:r>
        <w:t xml:space="preserve"> </w:t>
      </w:r>
      <w:r>
        <w:t xml:space="preserve">when in the presence of other non-damselfly predators.</w:t>
      </w:r>
    </w:p>
    <w:p>
      <w:pPr>
        <w:numPr>
          <w:numId w:val="9"/>
          <w:ilvl w:val="0"/>
        </w:numPr>
      </w:pPr>
      <w:r>
        <w:t xml:space="preserve">In response to predator manipulations we observed less transfer of Nitrogen into bromeliad tissue than did Ngai and Srivastava (2006); this may be due to a greater role for bacterial decomposition in this system (cite?).</w:t>
      </w:r>
    </w:p>
    <w:bookmarkStart w:id="40" w:name="references"/>
    <w:p>
      <w:pPr>
        <w:pStyle w:val="Heading2"/>
      </w:pPr>
      <w:r>
        <w:t xml:space="preserve">References</w:t>
      </w:r>
    </w:p>
    <w:bookmarkEnd w:id="40"/>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 1771–1789. doi:10.1890/03-9000.</w:t>
      </w:r>
      <w:r>
        <w:t xml:space="preserve"> </w:t>
      </w:r>
      <w:hyperlink r:id="rId41">
        <w:r>
          <w:rPr>
            <w:rStyle w:val="Link"/>
          </w:rPr>
          <w:t xml:space="preserve">http://www.esajournals.org/doi/abs/10.1890/03-9000</w:t>
        </w:r>
      </w:hyperlink>
      <w:r>
        <w:t xml:space="preserve">.</w:t>
      </w:r>
    </w:p>
    <w:p>
      <w:r>
        <w:t xml:space="preserve">Wilby, A., S. C. Villareal, and L. P. Lan. 2005. “Functional benefits of predator species diversity depend on prey identity.”</w:t>
      </w:r>
      <w:r>
        <w:t xml:space="preserve"> </w:t>
      </w:r>
      <w:r>
        <w:rPr>
          <w:i/>
        </w:rPr>
        <w:t xml:space="preserve">Ecological …</w:t>
      </w:r>
      <w:r>
        <w:t xml:space="preserve">: 497–501.</w:t>
      </w:r>
      <w:r>
        <w:t xml:space="preserve"> </w:t>
      </w:r>
      <w:hyperlink r:id="rId42">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5db8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141b1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969dd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2" Target="http://onlinelibrary.wiley.com/doi/10.1111/j.0307-6946.2005.00717.x/full" TargetMode="External" /><Relationship Type="http://schemas.openxmlformats.org/officeDocument/2006/relationships/hyperlink" Id="rId41" Target="http://www.esajournals.org/doi/abs/10.1890/03-9000" TargetMode="External" /></Relationships>
</file>

<file path=word/_rels/footnotes.xml.rels><?xml version="1.0" encoding="UTF-8"?>
<Relationships xmlns="http://schemas.openxmlformats.org/package/2006/relationships"><Relationship Type="http://schemas.openxmlformats.org/officeDocument/2006/relationships/hyperlink" Id="rId42" Target="http://onlinelibrary.wiley.com/doi/10.1111/j.0307-6946.2005.00717.x/full" TargetMode="External" /><Relationship Type="http://schemas.openxmlformats.org/officeDocument/2006/relationships/hyperlink" Id="rId41" Target="http://www.esajournals.org/doi/abs/10.1890/03-9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