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4" w:name="observations-of-predator-co-occurance"/>
    <w:p>
      <w:pPr>
        <w:pStyle w:val="Heading3"/>
      </w:pPr>
      <w:r>
        <w:t xml:space="preserve">Observations of predator co-occurance</w:t>
      </w:r>
    </w:p>
    <w:bookmarkEnd w:id="24"/>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They were also measured, when possible, or placed in size categories.</w:t>
      </w:r>
    </w:p>
    <w:p>
      <w:r>
        <w:t xml:space="preserve">Because predators in this system vary widely in size, we scaled our measure of coexistence by the predator’s overall effect on the community. We used</w:t>
      </w:r>
      <w:r>
        <w:t xml:space="preserve"> </w:t>
      </w:r>
      <w:r>
        <w:t xml:space="preserve">“</w:t>
      </w:r>
      <w:r>
        <w:t xml:space="preserve">metabolic capacity</w:t>
      </w:r>
      <w:r>
        <w:t xml:space="preserve">”</w:t>
      </w:r>
      <w:r>
        <w:t xml:space="preserve">,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biomass raised to the power of 0.69; this reflects the nonlinearity of feeding rate on body size across many invertebrate taxa. We calculated total metabolic capacity of each predator species in each bromeliad by summing estimates for all individuals of the same species within a plant.</w:t>
      </w:r>
    </w:p>
    <w:bookmarkStart w:id="25" w:name="diet-similarity"/>
    <w:p>
      <w:pPr>
        <w:pStyle w:val="Heading3"/>
      </w:pPr>
      <w:r>
        <w:t xml:space="preserve">Diet similarity</w:t>
      </w:r>
    </w:p>
    <w:bookmarkEnd w:id="25"/>
    <w:p>
      <w:r>
        <w:t xml:space="preserve">We quantified diet similarity between predators in a series of feeding trials. We covered all potential predator-prey pairs present in the experiment (described below), and attempted to perform all other trials whenever possible. We were limited by the density of animals we could find in the field, with some predators being rarer than others.</w:t>
      </w:r>
    </w:p>
    <w:p>
      <w:r>
        <w:t xml:space="preserve">We conducted our feeding trials between March and April 2011. We placed predators together with prey in a 50ml vial, with a leaf or stick for substrate. The only exception to this setup was the tabanid larvae, which we placed between two vertical surfaces to imitate the narrow space found in bromeliad leaf axils.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6" w:name="community-effect-experiment"/>
    <w:p>
      <w:pPr>
        <w:pStyle w:val="Heading3"/>
      </w:pPr>
      <w:r>
        <w:t xml:space="preserve">Community effect experiment</w:t>
      </w:r>
    </w:p>
    <w:bookmarkEnd w:id="26"/>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predator metabolic capacity in each.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40ml/pot/day of 5g/L ammonium sulphate containing 10 percent atom excess of N15.</w:t>
      </w:r>
      <w:r>
        <w:t xml:space="preserve"> </w:t>
      </w:r>
      <w:r>
        <w:rPr>
          <w:i/>
        </w:rPr>
        <w:t xml:space="preserve">duration</w:t>
      </w:r>
      <w:r>
        <w:t xml:space="preserve">. started on 27/1/2011 Whole leaves were then picked from plants and air-dried until constant weight, and then soaked for three days and the water discarded. About 1.5 g of leaves were placed in each bromeliad (1.5006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continuous oviposition.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(emergence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7" w:name="results"/>
    <w:p>
      <w:pPr>
        <w:pStyle w:val="Heading2"/>
      </w:pPr>
      <w:r>
        <w:t xml:space="preserve">Results</w:t>
      </w:r>
    </w:p>
    <w:bookmarkEnd w:id="27"/>
    <w:bookmarkStart w:id="28" w:name="metabolic-capacity-and-phylogenetic-distance"/>
    <w:p>
      <w:pPr>
        <w:pStyle w:val="Heading3"/>
      </w:pPr>
      <w:r>
        <w:t xml:space="preserve">metabolic capacity and phylogenetic distance</w:t>
      </w:r>
    </w:p>
    <w:bookmarkEnd w:id="28"/>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29" w:name="diet-similarity-and-phylogenetic-distance"/>
    <w:p>
      <w:pPr>
        <w:pStyle w:val="Heading3"/>
      </w:pPr>
      <w:r>
        <w:t xml:space="preserve">diet similarity and phylogenetic distance</w:t>
      </w:r>
    </w:p>
    <w:bookmarkEnd w:id="29"/>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1,19</w:t>
      </w:r>
      <w:r>
        <w:t xml:space="preserve">=5.16, p=0.035) Regression was weighted by the number of trials conducted.</w:t>
      </w:r>
    </w:p>
    <w:bookmarkStart w:id="30" w:name="ecosystem-level-effects-and-phylogenetic-distance"/>
    <w:p>
      <w:pPr>
        <w:pStyle w:val="Heading3"/>
      </w:pPr>
      <w:r>
        <w:t xml:space="preserve">Ecosystem-level effects and phylogenetic distance</w:t>
      </w:r>
    </w:p>
    <w:bookmarkEnd w:id="30"/>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1" w:name="figures"/>
    <w:p>
      <w:pPr>
        <w:pStyle w:val="Heading3"/>
      </w:pPr>
      <w:r>
        <w:t xml:space="preserve">Figures</w:t>
      </w:r>
    </w:p>
    <w:bookmarkEnd w:id="31"/>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3</w:t>
      </w:r>
    </w:p>
    <w:bookmarkStart w:id="36" w:name="discussion"/>
    <w:p>
      <w:pPr>
        <w:pStyle w:val="Heading2"/>
      </w:pPr>
      <w:r>
        <w:t xml:space="preserve">Discussion</w:t>
      </w:r>
    </w:p>
    <w:bookmarkEnd w:id="36"/>
    <w:bookmarkStart w:id="37" w:name="references"/>
    <w:p>
      <w:pPr>
        <w:pStyle w:val="Heading2"/>
      </w:pPr>
      <w:r>
        <w:t xml:space="preserve">References</w:t>
      </w:r>
    </w:p>
    <w:bookmarkEnd w:id="37"/>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38">
        <w:r>
          <w:rPr>
            <w:rStyle w:val="Link"/>
          </w:rPr>
          <w:t xml:space="preserve">http://www.esajournals.org/doi/abs/10.1890/03-9000</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39">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bcf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0da24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39" Target="http://onlinelibrary.wiley.com/doi/10.1111/j.0307-6946.2005.00717.x/full" TargetMode="External" /><Relationship Type="http://schemas.openxmlformats.org/officeDocument/2006/relationships/hyperlink" Id="rId38" Target="http://www.esajournals.org/doi/abs/10.1890/03-9000" TargetMode="External" /></Relationships>
</file>

<file path=word/_rels/footnotes.xml.rels><?xml version="1.0" encoding="UTF-8"?>
<Relationships xmlns="http://schemas.openxmlformats.org/package/2006/relationships"><Relationship Type="http://schemas.openxmlformats.org/officeDocument/2006/relationships/hyperlink" Id="rId39" Target="http://onlinelibrary.wiley.com/doi/10.1111/j.0307-6946.2005.00717.x/full" TargetMode="External" /><Relationship Type="http://schemas.openxmlformats.org/officeDocument/2006/relationships/hyperlink" Id="rId38" Target="http://www.esajournals.org/doi/abs/10.1890/03-9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