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5.png" ContentType="image/png"/>
  <Override PartName="/word/media/rId34.png" ContentType="image/png"/>
  <Override PartName="/word/media/rId33.png" ContentType="image/png"/>
  <Override PartName="/word/media/rId32.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metadata/core-properties" Target="docProps/core0.xml"/><Relationship Id="rId1" Type="http://schemas.openxmlformats.org/officeDocument/2006/relationships/officeDocument" Target="word/document.xml"/><Relationship Id="rId2" Type="http://schemas.openxmlformats.org/officedocument/2006/relationships/metadata/core-properties" Target="docProps/core.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Predator</w:t>
      </w:r>
      <w:r>
        <w:t xml:space="preserve"> </w:t>
      </w:r>
      <w:r>
        <w:t xml:space="preserve">phylogenetic</w:t>
      </w:r>
      <w:r>
        <w:t xml:space="preserve"> </w:t>
      </w:r>
      <w:r>
        <w:t xml:space="preserve">diversity</w:t>
      </w:r>
      <w:r>
        <w:t xml:space="preserve"> </w:t>
      </w:r>
      <w:r>
        <w:t xml:space="preserve">decreases</w:t>
      </w:r>
      <w:r>
        <w:t xml:space="preserve"> </w:t>
      </w:r>
      <w:r>
        <w:t xml:space="preserve">predation</w:t>
      </w:r>
      <w:r>
        <w:t xml:space="preserve"> </w:t>
      </w:r>
      <w:r>
        <w:t xml:space="preserve">rate</w:t>
      </w:r>
      <w:r>
        <w:t xml:space="preserve"> </w:t>
      </w:r>
      <w:r>
        <w:t xml:space="preserve">via</w:t>
      </w:r>
      <w:r>
        <w:t xml:space="preserve"> </w:t>
      </w:r>
      <w:r>
        <w:t xml:space="preserve">antagonistic</w:t>
      </w:r>
      <w:r>
        <w:t xml:space="preserve"> </w:t>
      </w:r>
      <w:r>
        <w:t xml:space="preserve">interactions</w:t>
      </w:r>
    </w:p>
    <w:p>
      <w:pPr>
        <w:pStyle w:val="Authors"/>
      </w:pPr>
      <w:r>
        <w:t xml:space="preserve">A.</w:t>
      </w:r>
      <w:r>
        <w:t xml:space="preserve"> </w:t>
      </w:r>
      <w:r>
        <w:t xml:space="preserve">Andrew</w:t>
      </w:r>
      <w:r>
        <w:t xml:space="preserve"> </w:t>
      </w:r>
      <w:r>
        <w:t xml:space="preserve">M.</w:t>
      </w:r>
      <w:r>
        <w:t xml:space="preserve"> </w:t>
      </w:r>
      <w:r>
        <w:t xml:space="preserve">MacDonald</w:t>
      </w:r>
      <w:r>
        <w:cr/>
      </w:r>
      <w:r>
        <w:t xml:space="preserve">Diane</w:t>
      </w:r>
      <w:r>
        <w:t xml:space="preserve"> </w:t>
      </w:r>
      <w:r>
        <w:t xml:space="preserve">S.</w:t>
      </w:r>
      <w:r>
        <w:t xml:space="preserve"> </w:t>
      </w:r>
      <w:r>
        <w:t xml:space="preserve">Srivastava</w:t>
      </w:r>
      <w:r>
        <w:cr/>
      </w:r>
      <w:r>
        <w:t xml:space="preserve">Gustavo</w:t>
      </w:r>
      <w:r>
        <w:t xml:space="preserve"> </w:t>
      </w:r>
      <w:r>
        <w:t xml:space="preserve">Q.</w:t>
      </w:r>
      <w:r>
        <w:t xml:space="preserve"> </w:t>
      </w:r>
      <w:r>
        <w:t xml:space="preserve">Romero</w:t>
      </w:r>
    </w:p>
    <w:bookmarkStart w:id="21" w:name="introduction"/>
    <w:p>
      <w:pPr>
        <w:pStyle w:val="Heading2"/>
      </w:pPr>
      <w:r>
        <w:t xml:space="preserve">Introduction</w:t>
      </w:r>
    </w:p>
    <w:bookmarkEnd w:id="21"/>
    <w:p>
      <w:r>
        <w:t xml:space="preserve">predators are important for ecosystem processes, and for species co-occurrance.</w:t>
      </w:r>
    </w:p>
    <w:p>
      <w:r>
        <w:t xml:space="preserve">predators doi predators all eat the same things? compare the prey which survived to a random sample of prey types.</w:t>
      </w:r>
    </w:p>
    <w:p>
      <w:r>
        <w:t xml:space="preserve">Is there an equation for the amount of predation we should see if there is complementarity, etc?</w:t>
      </w:r>
    </w:p>
    <w:p>
      <w:r>
        <w:t xml:space="preserve">parameters — related to phylogenetic distance?</w:t>
      </w:r>
    </w:p>
    <w:p>
      <w:r>
        <w:t xml:space="preserve">predators are important to the functioning of ecosystems, yet are under threat from many sources.</w:t>
      </w:r>
    </w:p>
    <w:p>
      <w:r>
        <w:t xml:space="preserve">Phylogenetic information can provide predictive insight beyond a system, and also can allow us to make comparisons between partly-overlapping or nested sets of species interactions, by supplying a common x-axis</w:t>
      </w:r>
    </w:p>
    <w:p>
      <w:r>
        <w:t xml:space="preserve">co-occurrance: oviposition decisions and spatail variation within foodwebs. Spatial variations in metacommunities - spatial variation in foodwebs is related to predator preferences, etc.</w:t>
      </w:r>
    </w:p>
    <w:p>
      <w:r>
        <w:t xml:space="preserve">diet similarity among all predators in a system – what kind of distribution do we expect in diet-overlap among all predators in a system? - The structure of a food web is often determined by the degree of omivory or generalism in it, and so structure is important - the structure of a foodweb determines how it will respond to changes in diversity - the diet preferences of predators might predict how they interact when combined in groups.</w:t>
      </w:r>
    </w:p>
    <w:p>
      <w:r>
        <w:t xml:space="preserve">We test three related hypotheses:</w:t>
      </w:r>
    </w:p>
    <w:p>
      <w:pPr>
        <w:numPr>
          <w:numId w:val="2"/>
          <w:ilvl w:val="0"/>
        </w:numPr>
      </w:pPr>
      <w:r>
        <w:rPr>
          <w:i/>
        </w:rPr>
        <w:t xml:space="preserve">species co-occurance</w:t>
      </w:r>
      <w:r>
        <w:t xml:space="preserve">: closely-related predators occur together more frequently than less-related predators, due to their similar habitat requirements. Additionally, very closely related species never co-occur because they are too similar.</w:t>
      </w:r>
    </w:p>
    <w:p>
      <w:pPr>
        <w:numPr>
          <w:numId w:val="2"/>
          <w:ilvl w:val="0"/>
        </w:numPr>
      </w:pPr>
      <w:r>
        <w:rPr>
          <w:i/>
        </w:rPr>
        <w:t xml:space="preserve">diet similarity</w:t>
      </w:r>
      <w:r>
        <w:t xml:space="preserve">: similarity in diet (as measured by feeding trials) decreases with phylogenetic distance.</w:t>
      </w:r>
    </w:p>
    <w:p>
      <w:pPr>
        <w:numPr>
          <w:numId w:val="2"/>
          <w:ilvl w:val="0"/>
        </w:numPr>
      </w:pPr>
      <w:r>
        <w:rPr>
          <w:i/>
        </w:rPr>
        <w:t xml:space="preserve">ecosystem-level effects</w:t>
      </w:r>
      <w:r>
        <w:t xml:space="preserve">: similarity in the effect of predators on whole ecosystems declines with phylogenetic distance. Additionally, the non-additive effect of predators will have a greater absolute value when their phylogenetic diversity is larger.</w:t>
      </w:r>
    </w:p>
    <w:bookmarkStart w:id="22" w:name="methods"/>
    <w:p>
      <w:pPr>
        <w:pStyle w:val="Heading2"/>
      </w:pPr>
      <w:r>
        <w:t xml:space="preserve">Methods</w:t>
      </w:r>
    </w:p>
    <w:bookmarkEnd w:id="22"/>
    <w:bookmarkStart w:id="23" w:name="site-and-species"/>
    <w:p>
      <w:pPr>
        <w:pStyle w:val="Heading2"/>
      </w:pPr>
      <w:r>
        <w:t xml:space="preserve">Site and Species</w:t>
      </w:r>
    </w:p>
    <w:bookmarkEnd w:id="23"/>
    <w:p>
      <w:r>
        <w:t xml:space="preserve">We conducted all observations and experiments in Parque Estadual da Ilha do Cardoso (</w:t>
      </w:r>
      <m:oMath>
        <m:sSup>
          <m:e>
            <m:r>
              <m:rPr/>
              <m:t>25</m:t>
            </m:r>
          </m:e>
          <m:sup>
            <m:r>
              <m:rPr/>
              <m:t>∘</m:t>
            </m:r>
          </m:sup>
        </m:sSup>
        <m:sSup>
          <m:e>
            <m:r>
              <m:rPr/>
              <m:t>03</m:t>
            </m:r>
          </m:e>
          <m:sup>
            <m:r>
              <m:rPr/>
              <m:t>′</m:t>
            </m:r>
          </m:sup>
        </m:sSup>
      </m:oMath>
      <w:r>
        <w:t xml:space="preserve"> </w:t>
      </w:r>
      <w:r>
        <w:t xml:space="preserve">S,</w:t>
      </w:r>
      <w:r>
        <w:t xml:space="preserve"> </w:t>
      </w:r>
      <m:oMath>
        <m:sSup>
          <m:e>
            <m:r>
              <m:rPr/>
              <m:t>47</m:t>
            </m:r>
          </m:e>
          <m:sup>
            <m:r>
              <m:rPr/>
              <m:t>∘</m:t>
            </m:r>
          </m:sup>
        </m:sSup>
        <m:sSup>
          <m:e>
            <m:r>
              <m:rPr/>
              <m:t>53</m:t>
            </m:r>
          </m:e>
          <m:sup>
            <m:r>
              <m:rPr/>
              <m:t>′</m:t>
            </m:r>
          </m:sup>
        </m:sSup>
      </m:oMath>
      <w:r>
        <w:t xml:space="preserve"> </w:t>
      </w:r>
      <w:r>
        <w:t xml:space="preserve">W), a 22.5 ha island off the south coast of São Paulo state, Brazil. We worked in a closed coastal forest (restinga) the understory of which is mostly covered by</w:t>
      </w:r>
      <w:r>
        <w:t xml:space="preserve"> </w:t>
      </w:r>
      <w:r>
        <w:rPr>
          <w:i/>
        </w:rPr>
        <w:t xml:space="preserve">Quesnelia arvensis</w:t>
      </w:r>
      <w:r>
        <w:t xml:space="preserve"> </w:t>
      </w:r>
      <w:r>
        <w:t xml:space="preserve">Mez. (Bromeliaceae), a large terrestrial bromeliad that accumulates up to 2.8 L of rainwater in tanks formed by individual leaves. More than 47 species of macroinvertebrates are found in these aquatic communities. This diversity encompasses an entire foodweb, from detrital shredders (Tipulidae, Trichoptera), detrital scrapers (Scirtidae), collectors (Chironomidae, Syrphidae, Psychodidae), and filter feeders (Culicidae) to a diverse predator assemblage consisting of at least 3 species of</w:t>
      </w:r>
      <w:r>
        <w:t xml:space="preserve"> </w:t>
      </w:r>
      <w:r>
        <w:rPr>
          <w:i/>
        </w:rPr>
        <w:t xml:space="preserve">Leptagrion</w:t>
      </w:r>
      <w:r>
        <w:t xml:space="preserve"> </w:t>
      </w:r>
      <w:r>
        <w:t xml:space="preserve">(Zygoptera:Coenagrionidae), 2 species of predatory fly (Tabanidae), and 2 species of leech (Hirudinidae). Many other smaller or occasional predators also occur, such as predatory midges (Chironomidae:Tanypodinae) and Dytiscid beetles.</w:t>
      </w:r>
    </w:p>
    <w:bookmarkStart w:id="24" w:name="observations-of-predator-co-occurance"/>
    <w:p>
      <w:pPr>
        <w:pStyle w:val="Heading3"/>
      </w:pPr>
      <w:r>
        <w:t xml:space="preserve">Observations of predator co-occurance</w:t>
      </w:r>
    </w:p>
    <w:bookmarkEnd w:id="24"/>
    <w:p>
      <w:r>
        <w:t xml:space="preserve">We used an observational dataset collected in 2008 to examine patterns of co- occurance among predator taxa. This dataset was collected by completely dissecting bromeliads and washing all leaves to remove invertebrates. The resulting water was filtered through two sieves (250 and 850 µm), which removed particulate organic matter without losing any invertebrates. All invertebrates were counted and identified to the lowest taxonomic level possible. They were also measured, when possible, or placed in size categories.</w:t>
      </w:r>
    </w:p>
    <w:p>
      <w:r>
        <w:t xml:space="preserve">Because predators in this system vary widely in size, we scaled our measure of coexistence by the predator’s overall effect on the community. We used</w:t>
      </w:r>
      <w:r>
        <w:t xml:space="preserve"> </w:t>
      </w:r>
      <w:r>
        <w:t xml:space="preserve">“</w:t>
      </w:r>
      <w:r>
        <w:t xml:space="preserve">metabolic capacity</w:t>
      </w:r>
      <w:r>
        <w:t xml:space="preserve">”</w:t>
      </w:r>
      <w:r>
        <w:t xml:space="preserve">, which correlates with predator feeding rate</w:t>
      </w:r>
      <w:r>
        <w:t xml:space="preserve"> </w:t>
      </w:r>
      <w:r>
        <w:t xml:space="preserve">(Brown et al. 2004; Wilby, Villareal, and Lan 2005)</w:t>
      </w:r>
      <w:r>
        <w:t xml:space="preserve">. We calculated body mass using allometric equations which related dry biomass to body length. Metabolic capacity is calculated as biomass raised to the power of 0.69; this reflects the nonlinearity of feeding rate on body size across many invertebrate taxa. We calculated total metabolic capacity of each predator species in each bromeliad by summing estimates for all individuals of the same species within a plant.</w:t>
      </w:r>
    </w:p>
    <w:bookmarkStart w:id="25" w:name="diet-similarity"/>
    <w:p>
      <w:pPr>
        <w:pStyle w:val="Heading3"/>
      </w:pPr>
      <w:r>
        <w:t xml:space="preserve">Diet similarity</w:t>
      </w:r>
    </w:p>
    <w:bookmarkEnd w:id="25"/>
    <w:p>
      <w:r>
        <w:t xml:space="preserve">We quantified diet similarity between predators in a series of feeding trials. We covered all potential predator-prey pairs present in the experiment (described below), and attempted to perform all other trials whenever possible. We were limited by the density of animals we could find in the field, with some predators being rarer than others.</w:t>
      </w:r>
    </w:p>
    <w:p>
      <w:r>
        <w:t xml:space="preserve">We conducted our feeding trials between March and April 2011. We placed predators together with prey in a 50ml vial, with a leaf or stick for substrate. The only exception to this setup was the tabanid larvae, which we placed between two vertical surfaces to imitate the narrow space found in bromeliad leaf axils. Generally our trials contained a single predator and a single prey individual, except in the case of very small prey (</w:t>
      </w:r>
      <w:r>
        <w:rPr>
          <w:i/>
        </w:rPr>
        <w:t xml:space="preserve">Elpidium</w:t>
      </w:r>
      <w:r>
        <w:t xml:space="preserve"> </w:t>
      </w:r>
      <w:r>
        <w:t xml:space="preserve">sp.) or predators (</w:t>
      </w:r>
      <w:r>
        <w:rPr>
          <w:i/>
        </w:rPr>
        <w:t xml:space="preserve">Monopelopia</w:t>
      </w:r>
      <w:r>
        <w:t xml:space="preserve"> </w:t>
      </w:r>
      <w:r>
        <w:t xml:space="preserve">sp.) in which case we increased the density. We replicated each combination up to 5 times where possible, and allowed 1 day for predation to occur.</w:t>
      </w:r>
    </w:p>
    <w:bookmarkStart w:id="26" w:name="community-effect-experiment"/>
    <w:p>
      <w:pPr>
        <w:pStyle w:val="Heading3"/>
      </w:pPr>
      <w:r>
        <w:t xml:space="preserve">Community effect experiment</w:t>
      </w:r>
    </w:p>
    <w:bookmarkEnd w:id="26"/>
    <w:p>
      <w:r>
        <w:t xml:space="preserve">Our experiment was created with two goals in mind: first, to measure the major effects of these predators on their prey and second, to estimate the non- additive effects of pairwise predator combinations. The strength of these non additive effects can then be related back to the phylogenetic distance between each member of a pair of predators.</w:t>
      </w:r>
    </w:p>
    <w:p>
      <w:r>
        <w:t xml:space="preserve">We selected the most common predators in this system, which also created a range of relatedness: two congeneric damselflies (</w:t>
      </w:r>
      <w:r>
        <w:rPr>
          <w:i/>
        </w:rPr>
        <w:t xml:space="preserve">Leptagrion andromache</w:t>
      </w:r>
      <w:r>
        <w:t xml:space="preserve"> </w:t>
      </w:r>
      <w:r>
        <w:t xml:space="preserve">and</w:t>
      </w:r>
      <w:r>
        <w:t xml:space="preserve"> </w:t>
      </w:r>
      <w:r>
        <w:rPr>
          <w:i/>
        </w:rPr>
        <w:t xml:space="preserve">Leptagrion elongatum</w:t>
      </w:r>
      <w:r>
        <w:t xml:space="preserve">), two insects (</w:t>
      </w:r>
      <w:r>
        <w:rPr>
          <w:i/>
        </w:rPr>
        <w:t xml:space="preserve">L. elongatum</w:t>
      </w:r>
      <w:r>
        <w:t xml:space="preserve"> </w:t>
      </w:r>
      <w:r>
        <w:t xml:space="preserve">and a Tabanid predatory fly), and two invertebrates (</w:t>
      </w:r>
      <w:r>
        <w:rPr>
          <w:i/>
        </w:rPr>
        <w:t xml:space="preserve">L. elongatum</w:t>
      </w:r>
      <w:r>
        <w:t xml:space="preserve"> </w:t>
      </w:r>
      <w:r>
        <w:t xml:space="preserve">and leeches). We used each of the pairs of predators just described, as well as each species in monoculture, and a predator-free control (8 treatments, n=5). Combinations were substitutive, maintaining the same amount of predator metabolic capacity in each. Response variables included the rate of decomposition of leaves, bromeliad growth and insect emergence. This experiment allows the estimation of the effect of each predator species (monoculture treatments), as well as the detection of non- additive effects in predator combinations.</w:t>
      </w:r>
    </w:p>
    <w:p>
      <w:r>
        <w:t xml:space="preserve">In Feburary 2011, bromeliads between 90 and 200ml were collected, thoroughly washed and soaked for 12 hours in a tub of water. They were then hung for 48 hours to dry. One bromeliad dissected after this procedure contained no insects.</w:t>
      </w:r>
    </w:p>
    <w:p>
      <w:r>
        <w:t xml:space="preserve">Each bromeliad was supplied with dried leaves, simulating natural detritus inputs from the canopy. We enriched these leaves with N-15 by fertilizing five (Jabuticaba,</w:t>
      </w:r>
      <w:r>
        <w:t xml:space="preserve"> </w:t>
      </w:r>
      <w:r>
        <w:rPr>
          <w:i/>
        </w:rPr>
        <w:t xml:space="preserve">Plinia cauliflora</w:t>
      </w:r>
      <w:r>
        <w:t xml:space="preserve">) plants with 40ml/pot/day of 5g/L ammonium sulphate containing 10 percent atom excess of N15.</w:t>
      </w:r>
      <w:r>
        <w:t xml:space="preserve"> </w:t>
      </w:r>
      <w:r>
        <w:rPr>
          <w:i/>
        </w:rPr>
        <w:t xml:space="preserve">duration</w:t>
      </w:r>
      <w:r>
        <w:t xml:space="preserve">. started on 27/1/2011 Whole leaves were then picked from plants and air-dried until constant weight, and then soaked for three days and the water discarded. About 1.5 g of leaves were placed in each bromeliad (1.5006 ± 0.0248).</w:t>
      </w:r>
    </w:p>
    <w:p>
      <w:r>
        <w:t xml:space="preserve">Each bromeliad was stocked with a representative insect community. The densities of each prey taxon were calculated from the 2008 observational dataset, using data from bromeliads of similar size to those in our experiment. All densities used were within the range of these calculated abundances, and all experimental bromeliads received the same insect community. Halfway through the experiment, insects were added to bromeliads a second time to simulate continuous oviposition. After addition of the prey community, all bromeliads were enclosed with a mesh cage topped with a malaise trap and checked daily for emergence of adults.</w:t>
      </w:r>
    </w:p>
    <w:p>
      <w:r>
        <w:t xml:space="preserve">In this experiment we measured five response variables: production of fine particulate organic matter (FPOM), decomposition of coarse detritus, bromeliad growth, cycling of Nitrogen into plant tissue, and survival of prey (emergence + surviving larvae). We analyzed each of these responses with ANOVA. We calculated the non-additive response as follows: the difference between the polyculture mean (n=5) and the mean of both monoculture means for each predator (n=5 for each monoculture). We generated bootstrap confidence intervals for these nonadditive effects; confidence intervals which do not overlap zero indicate a significant nonadditive effect of a predator combination.</w:t>
      </w:r>
    </w:p>
    <w:bookmarkStart w:id="27" w:name="results"/>
    <w:p>
      <w:pPr>
        <w:pStyle w:val="Heading2"/>
      </w:pPr>
      <w:r>
        <w:t xml:space="preserve">Results</w:t>
      </w:r>
    </w:p>
    <w:bookmarkEnd w:id="27"/>
    <w:bookmarkStart w:id="28" w:name="metabolic-capacity-and-phylogenetic-distance"/>
    <w:p>
      <w:pPr>
        <w:pStyle w:val="Heading3"/>
      </w:pPr>
      <w:r>
        <w:t xml:space="preserve">metabolic capacity and phylogenetic distance</w:t>
      </w:r>
    </w:p>
    <w:bookmarkEnd w:id="28"/>
    <w:p>
      <w:r>
        <w:t xml:space="preserve">Within the 2008 observational dataset, we identified 14 species as predators. These predators vary in taxonomic relatedness: from congeners –</w:t>
      </w:r>
      <w:r>
        <w:t xml:space="preserve"> </w:t>
      </w:r>
      <w:r>
        <w:rPr>
          <w:i/>
        </w:rPr>
        <w:t xml:space="preserve">Bezzia</w:t>
      </w:r>
      <w:r>
        <w:t xml:space="preserve"> </w:t>
      </w:r>
      <w:r>
        <w:t xml:space="preserve">sp. (Diptera:Ceratopogonidae) with two species and</w:t>
      </w:r>
      <w:r>
        <w:t xml:space="preserve"> </w:t>
      </w:r>
      <w:r>
        <w:rPr>
          <w:i/>
        </w:rPr>
        <w:t xml:space="preserve">Leptagrion</w:t>
      </w:r>
      <w:r>
        <w:t xml:space="preserve"> </w:t>
      </w:r>
      <w:r>
        <w:t xml:space="preserve">sp. (Odonata:Coenagrionidae) with three – to confamilials (three species of Tabanidae and two of Empididae, all Diptera). Three families of Diptera are represented by a single species each: Dolichopodidae, Corethrellidae and Chironomidae. The deepest taxonomic divide is between all insects present and a species of leech (Annelida:Hirudinidae). Node age data was available for all but the shallowest nodes of the tree, where either a lack of taxonomic information (e.g. Tabanidae) or a lack of phylogenetic study (e.g.</w:t>
      </w:r>
      <w:r>
        <w:t xml:space="preserve"> </w:t>
      </w:r>
      <w:r>
        <w:rPr>
          <w:i/>
        </w:rPr>
        <w:t xml:space="preserve">Leptagrion</w:t>
      </w:r>
      <w:r>
        <w:t xml:space="preserve">) prevented more information from being included. These branches were left as polytomies, and were all assigned identical, arbitrary and short branch lengths (15 Mya).</w:t>
      </w:r>
    </w:p>
    <w:p>
      <w:r>
        <w:t xml:space="preserve">We obtained node age estimates for all 7 internal nodes of the tree. These were usually provided by only a single study, with more studies available for deeper nodes: Insecta–Hirudina (</w:t>
      </w:r>
      <w:r>
        <w:rPr>
          <w:rStyle w:val="VerbatimChar"/>
        </w:rPr>
        <w:t xml:space="preserve">r paste(range(nodeages[["insects.to.leeches.csv"]]$Time),collapse=" to ")</w:t>
      </w:r>
      <w:r>
        <w:t xml:space="preserve"> </w:t>
      </w:r>
      <w:r>
        <w:t xml:space="preserve">Mya, n=5 studies), Odonata–Tabanidae (</w:t>
      </w:r>
      <w:r>
        <w:rPr>
          <w:rStyle w:val="VerbatimChar"/>
        </w:rPr>
        <w:t xml:space="preserve">r paste(range(nodeages[["odonata-Tabanidae.csv"]]$Time),collapse=" to ")</w:t>
      </w:r>
      <w:r>
        <w:t xml:space="preserve"> </w:t>
      </w:r>
      <w:r>
        <w:t xml:space="preserve">Mya, n=4 studies) and Tabanidae–Diptera (</w:t>
      </w:r>
      <w:r>
        <w:rPr>
          <w:rStyle w:val="VerbatimChar"/>
        </w:rPr>
        <w:t xml:space="preserve">r paste(range(nodeages[["odonata-Tabanidae.csv"]]$Time),collapse=" to ")</w:t>
      </w:r>
      <w:r>
        <w:t xml:space="preserve"> </w:t>
      </w:r>
      <w:r>
        <w:t xml:space="preserve">Mya, n=7 studies). We used the median estimate of age for these nodes.</w:t>
      </w:r>
    </w:p>
    <w:p>
      <w:r>
        <w:t xml:space="preserve">In 2008, insects were counted and measured in an observational study of</w:t>
      </w:r>
      <w:r>
        <w:t xml:space="preserve"> </w:t>
      </w:r>
      <w:r>
        <w:rPr>
          <w:rStyle w:val="VerbatimChar"/>
        </w:rPr>
        <w:t xml:space="preserve">r ncol(metabolic.matrix)</w:t>
      </w:r>
      <w:r>
        <w:t xml:space="preserve"> </w:t>
      </w:r>
      <w:r>
        <w:t xml:space="preserve">bromeliads. Across all bromeliads, predator species differed widely in metabolic capacity, from 0.0062 for a species of Empididae, to 0.4804 for the abundant predator</w:t>
      </w:r>
      <w:r>
        <w:t xml:space="preserve"> </w:t>
      </w:r>
      <w:r>
        <w:rPr>
          <w:i/>
        </w:rPr>
        <w:t xml:space="preserve">Leptagrion andromache</w:t>
      </w:r>
      <w:r>
        <w:t xml:space="preserve">. Predators often co-occured in bromeliads (</w:t>
      </w:r>
      <w:r>
        <w:t xml:space="preserve">$3.52 \pm `r round(sd(colSums(metabolic.matrix&gt;0)),digits=2)`$</w:t>
      </w:r>
      <w:r>
        <w:t xml:space="preserve"> </w:t>
      </w:r>
      <w:r>
        <w:t xml:space="preserve">species per plant). However, the euclidian distance between the total metabolic capacity of two predators did not show any relationship with phylogenetic distance between them (F</w:t>
      </w:r>
      <w:r>
        <w:rPr>
          <w:rStyle w:val="VerbatimChar"/>
          <w:vertAlign w:val="subscript"/>
        </w:rPr>
        <w:t xml:space="preserve">r meta_phylo_lm_summary$fstatistic[["numdf"]]</w:t>
      </w:r>
      <w:r>
        <w:rPr>
          <w:vertAlign w:val="subscript"/>
        </w:rPr>
        <w:t xml:space="preserve">,</w:t>
      </w:r>
      <w:r>
        <w:rPr>
          <w:rStyle w:val="VerbatimChar"/>
          <w:vertAlign w:val="subscript"/>
        </w:rPr>
        <w:t xml:space="preserve">r meta_phylo_lm_summary$fstatistic[["dendf"]]</w:t>
      </w:r>
      <w:r>
        <w:t xml:space="preserve">=</w:t>
      </w:r>
      <w:r>
        <w:rPr>
          <w:rStyle w:val="VerbatimChar"/>
        </w:rPr>
        <w:t xml:space="preserve">r meta_phylo_lm_summary$fstatistic[["value"]]</w:t>
      </w:r>
      <w:r>
        <w:t xml:space="preserve">, p=</w:t>
      </w:r>
    </w:p>
    <w:p>
      <w:pPr>
        <w:pStyle w:val="SourceCode"/>
      </w:pPr>
      <w:r>
        <w:rPr>
          <w:rStyle w:val="VerbatimChar"/>
        </w:rPr>
        <w:t xml:space="preserve"/>
      </w:r>
      <w:r>
        <w:cr/>
      </w:r>
      <w:r>
        <w:rPr>
          <w:rStyle w:val="VerbatimChar"/>
        </w:rPr>
        <w:t xml:space="preserve">Error in base::parse(text = code, srcfile = NULL) : </w:t>
      </w:r>
      <w:r>
        <w:cr/>
      </w:r>
      <w:r>
        <w:rPr>
          <w:rStyle w:val="VerbatimChar"/>
        </w:rPr>
        <w:t xml:space="preserve">  2:1: unexpected symbol</w:t>
      </w:r>
      <w:r>
        <w:cr/>
      </w:r>
      <w:r>
        <w:rPr>
          <w:rStyle w:val="VerbatimChar"/>
        </w:rPr>
        <w:t xml:space="preserve">1: round(pf(meta_phylo_lm_summar</w:t>
      </w:r>
      <w:r>
        <w:cr/>
      </w:r>
      <w:r>
        <w:rPr>
          <w:rStyle w:val="VerbatimChar"/>
        </w:rPr>
        <w:t xml:space="preserve">2: y</w:t>
      </w:r>
      <w:r>
        <w:cr/>
      </w:r>
      <w:r>
        <w:rPr>
          <w:rStyle w:val="VerbatimChar"/>
        </w:rPr>
        <w:t xml:space="preserve">   ^</w:t>
      </w:r>
    </w:p>
    <w:p>
      <w:r>
        <w:t xml:space="preserve">).</w:t>
      </w:r>
    </w:p>
    <w:bookmarkStart w:id="29" w:name="diet-similarity-and-phylogenetic-distance"/>
    <w:p>
      <w:pPr>
        <w:pStyle w:val="Heading3"/>
      </w:pPr>
      <w:r>
        <w:t xml:space="preserve">diet similarity and phylogenetic distance</w:t>
      </w:r>
    </w:p>
    <w:bookmarkEnd w:id="29"/>
    <w:p>
      <w:r>
        <w:t xml:space="preserve">We conducted 237 feeding trials of 8 predator taxa fed 14 prey taxa. However, due to the rarity of some taxa many predator-prey pairs were not possible; we tested</w:t>
      </w:r>
      <w:r>
        <w:t xml:space="preserve"> </w:t>
      </w:r>
      <w:r>
        <w:rPr>
          <w:rStyle w:val="VerbatimChar"/>
        </w:rPr>
        <w:t xml:space="preserve">r sum(foodweb_len_mat&gt;0)</w:t>
      </w:r>
      <w:r>
        <w:t xml:space="preserve"> </w:t>
      </w:r>
      <w:r>
        <w:t xml:space="preserve">pairwise combinations. Most trials were replicated at least 5 times, but the number of replicates for various combinations ranged from 1 to</w:t>
      </w:r>
      <w:r>
        <w:t xml:space="preserve"> </w:t>
      </w:r>
      <w:r>
        <w:rPr>
          <w:rStyle w:val="VerbatimChar"/>
        </w:rPr>
        <w:t xml:space="preserve">r max(foodweb_len_mat[foodweb_len_mat&gt;0])</w:t>
      </w:r>
      <w:r>
        <w:t xml:space="preserve">. Two damselflies,</w:t>
      </w:r>
      <w:r>
        <w:t xml:space="preserve"> </w:t>
      </w:r>
      <w:r>
        <w:rPr>
          <w:i/>
        </w:rPr>
        <w:t xml:space="preserve">Leptagrion andromache</w:t>
      </w:r>
      <w:r>
        <w:t xml:space="preserve"> </w:t>
      </w:r>
      <w:r>
        <w:t xml:space="preserve">and</w:t>
      </w:r>
      <w:r>
        <w:t xml:space="preserve"> </w:t>
      </w:r>
      <w:r>
        <w:rPr>
          <w:i/>
        </w:rPr>
        <w:t xml:space="preserve">Leptagrion elongatum</w:t>
      </w:r>
      <w:r>
        <w:t xml:space="preserve">, showed the higest rates of prey consumption (prey consumed in</w:t>
      </w:r>
      <w:r>
        <w:t xml:space="preserve"> </w:t>
      </w:r>
      <w:r>
        <w:rPr>
          <w:rStyle w:val="VerbatimChar"/>
        </w:rPr>
        <w:t xml:space="preserve">r percentpredation[["Leptagrion.andromache"]]*100</w:t>
      </w:r>
      <w:r>
        <w:t xml:space="preserve">% and</w:t>
      </w:r>
      <w:r>
        <w:t xml:space="preserve"> </w:t>
      </w:r>
      <w:r>
        <w:rPr>
          <w:rStyle w:val="VerbatimChar"/>
        </w:rPr>
        <w:t xml:space="preserve">r percentpredation[["Leptagrion.elongatum"]]*100</w:t>
      </w:r>
      <w:r>
        <w:t xml:space="preserve">% of trials, respectively).</w:t>
      </w:r>
    </w:p>
    <w:p>
      <w:r>
        <w:t xml:space="preserve">All predators showed a very generalist diet breadth, consuming nearly all species offered to them. However, more phylogenetically distant predators preferred slightly different diets, as measured by euclidian distance between feeding trial outcomes (F</w:t>
      </w:r>
      <w:r>
        <w:rPr>
          <w:vertAlign w:val="subscript"/>
        </w:rPr>
        <w:t xml:space="preserve">1,</w:t>
      </w:r>
      <w:r>
        <w:rPr>
          <w:rStyle w:val="VerbatimChar"/>
          <w:vertAlign w:val="subscript"/>
        </w:rPr>
        <w:t xml:space="preserve">r diet_phylo_lm_summary $fstatistic[["dendf"]]</w:t>
      </w:r>
      <w:r>
        <w:t xml:space="preserve">=5.16, p=0.035) Regression was weighted by the number of trials conducted.</w:t>
      </w:r>
    </w:p>
    <w:bookmarkStart w:id="30" w:name="ecosystem-level-effects-and-phylogenetic-distance"/>
    <w:p>
      <w:pPr>
        <w:pStyle w:val="Heading3"/>
      </w:pPr>
      <w:r>
        <w:t xml:space="preserve">Ecosystem-level effects and phylogenetic distance</w:t>
      </w:r>
    </w:p>
    <w:bookmarkEnd w:id="30"/>
    <w:p>
      <w:r>
        <w:t xml:space="preserve">In our manipulative experiment, we placed a standardized prey community into bromeliads and measured five response variables: the total survivorship (both emerged during experiment and found as larvae at the end) of all prey, the %N15 which was transferred into bromeliad tissue, bromeliad growth, coarse detritus decomposition and fine organic matter production. Predators had a large effect on prey survivorship: on average all predator treatments showed</w:t>
      </w:r>
      <w:r>
        <w:t xml:space="preserve"> </w:t>
      </w:r>
      <w:r>
        <w:rPr>
          <w:rStyle w:val="VerbatimChar"/>
        </w:rPr>
        <w:t xml:space="preserve">r abs(predeffect())</w:t>
      </w:r>
      <w:r>
        <w:t xml:space="preserve">% lower prey emerging or surviving as larvae relative to the predator-free control. Nitrogen transport to bromeliad leaves was slightly decreased relative to controls (-11%), and was only higher than the control in treatments including Tabanid predators. We found a similar pattern for plant growth: on average, predators had a -18% effect on growth of bromeliad leaves (mm), though Tabanids seemed to create a slight increase. The decomposition of coarse detritus and production of fine organic matter showed no obvious pattern related to the mere presence of predators.</w:t>
      </w:r>
    </w:p>
    <w:p>
      <w:r>
        <w:t xml:space="preserve">Predator combinations tended to have an increased effect on our response variables relative to predators alone. Approximately 14% more prey survived in polyculture, on average, compared to all monocultures. Effects were smaller for Nitrogen (8%) and bromeliad growth (11%). Fine particulate organic matter was produced</w:t>
      </w:r>
      <w:r>
        <w:t xml:space="preserve"> </w:t>
      </w:r>
      <w:r>
        <w:rPr>
          <w:rStyle w:val="VerbatimChar"/>
        </w:rPr>
        <w:t xml:space="preserve">r polyeffect("fine")</w:t>
      </w:r>
      <w:r>
        <w:t xml:space="preserve">% more when predators were present in combination.</w:t>
      </w:r>
    </w:p>
    <w:p>
      <w:r>
        <w:t xml:space="preserve">Our experimental design allows us to estimate the non-additive effect of predator species pairs on whole communities of prey, and the functioning of the bromeliad ecosystem. We used randomization tests to test the hypothesis that increased phylogenetic distance between members of a predator pair results in a greater magnitude of nonadditive effect. We contrasted the differences of the mean individual predator treatments from the control with the mean difference of their pairwise combination from the control. We found the greatest effect for prey survival: while effects of</w:t>
      </w:r>
      <w:r>
        <w:t xml:space="preserve"> </w:t>
      </w:r>
      <w:r>
        <w:rPr>
          <w:i/>
        </w:rPr>
        <w:t xml:space="preserve">L. andromache</w:t>
      </w:r>
      <w:r>
        <w:t xml:space="preserve"> </w:t>
      </w:r>
      <w:r>
        <w:t xml:space="preserve">and</w:t>
      </w:r>
      <w:r>
        <w:t xml:space="preserve"> </w:t>
      </w:r>
      <w:r>
        <w:rPr>
          <w:i/>
        </w:rPr>
        <w:t xml:space="preserve">L. elongatum</w:t>
      </w:r>
      <w:r>
        <w:t xml:space="preserve"> </w:t>
      </w:r>
      <w:r>
        <w:t xml:space="preserve">in combination were quite similar to the effect of either alone, when</w:t>
      </w:r>
      <w:r>
        <w:t xml:space="preserve"> </w:t>
      </w:r>
      <w:r>
        <w:rPr>
          <w:i/>
        </w:rPr>
        <w:t xml:space="preserve">L. elongatum</w:t>
      </w:r>
      <w:r>
        <w:t xml:space="preserve"> </w:t>
      </w:r>
      <w:r>
        <w:t xml:space="preserve">was placed in the same plant as either a Tabanid larva or leeches, on average 5 more prey (18% of total prey community) survived till the end of the experiment (Fig 3). This effect was smaller among the other variables, most of which showed confidence intervals from the randomization test which overlap 0.</w:t>
      </w:r>
    </w:p>
    <w:bookmarkStart w:id="31" w:name="figures"/>
    <w:p>
      <w:pPr>
        <w:pStyle w:val="Heading3"/>
      </w:pPr>
      <w:r>
        <w:t xml:space="preserve">Figures</w:t>
      </w:r>
    </w:p>
    <w:bookmarkEnd w:id="31"/>
    <w:p>
      <w:r>
        <w:drawing>
          <wp:inline>
            <wp:extent cx="6489700" cy="6489700"/>
            <wp:effectExtent b="0" l="0" r="0" t="0"/>
            <wp:docPr descr="" id="1" name="Picture"/>
            <a:graphic>
              <a:graphicData uri="http://schemas.openxmlformats.org/drawingml/2006/picture">
                <pic:pic>
                  <pic:nvPicPr>
                    <pic:cNvPr descr="figure/FIG_metabolic_occurance_as_phylo.png" id="0" name="Picture"/>
                    <pic:cNvPicPr>
                      <a:picLocks noChangeArrowheads="1" noChangeAspect="1"/>
                    </pic:cNvPicPr>
                  </pic:nvPicPr>
                  <pic:blipFill>
                    <a:blip r:embed="rId32"/>
                    <a:stretch>
                      <a:fillRect/>
                    </a:stretch>
                  </pic:blipFill>
                  <pic:spPr bwMode="auto">
                    <a:xfrm>
                      <a:off x="0" y="0"/>
                      <a:ext cx="6489700" cy="6489700"/>
                    </a:xfrm>
                    <a:prstGeom prst="rect">
                      <a:avLst/>
                    </a:prstGeom>
                    <a:noFill/>
                    <a:ln w="9525">
                      <a:noFill/>
                      <a:headEnd/>
                      <a:tailEnd/>
                    </a:ln>
                  </pic:spPr>
                </pic:pic>
              </a:graphicData>
            </a:graphic>
          </wp:inline>
        </w:drawing>
      </w:r>
    </w:p>
    <w:p>
      <w:pPr>
        <w:pStyle w:val="ImageCaption"/>
      </w:pPr>
      <w:r>
        <w:t xml:space="preserve">Figure 1: Phylogenetic distance and predator co-occurance. Each point represents a pair of predator species. We caluclated total metabolic capacity for each predator species in each bromeliad, and then calculated co-occurance between two predators as the euclidian distance between total metabolic capacity of two species.</w:t>
      </w:r>
    </w:p>
    <w:p>
      <w:r>
        <w:drawing>
          <wp:inline>
            <wp:extent cx="6489700" cy="6489700"/>
            <wp:effectExtent b="0" l="0" r="0" t="0"/>
            <wp:docPr descr="" id="1" name="Picture"/>
            <a:graphic>
              <a:graphicData uri="http://schemas.openxmlformats.org/drawingml/2006/picture">
                <pic:pic>
                  <pic:nvPicPr>
                    <pic:cNvPr descr="figure/FIG_feeding_trial_as_phylo.png" id="0" name="Picture"/>
                    <pic:cNvPicPr>
                      <a:picLocks noChangeArrowheads="1" noChangeAspect="1"/>
                    </pic:cNvPicPr>
                  </pic:nvPicPr>
                  <pic:blipFill>
                    <a:blip r:embed="rId33"/>
                    <a:stretch>
                      <a:fillRect/>
                    </a:stretch>
                  </pic:blipFill>
                  <pic:spPr bwMode="auto">
                    <a:xfrm>
                      <a:off x="0" y="0"/>
                      <a:ext cx="6489700" cy="6489700"/>
                    </a:xfrm>
                    <a:prstGeom prst="rect">
                      <a:avLst/>
                    </a:prstGeom>
                    <a:noFill/>
                    <a:ln w="9525">
                      <a:noFill/>
                      <a:headEnd/>
                      <a:tailEnd/>
                    </a:ln>
                  </pic:spPr>
                </pic:pic>
              </a:graphicData>
            </a:graphic>
          </wp:inline>
        </w:drawing>
      </w:r>
    </w:p>
    <w:p>
      <w:pPr>
        <w:pStyle w:val="ImageCaption"/>
      </w:pPr>
      <w:r>
        <w:t xml:space="preserve">Figure 2: Phylogenetic distance and diet similarity. We performed 237 feeding trials with the 8 major predator taxa found in this system. We found that more distantly-related predators consume more dissimiliar prey. We measured diet similarity as euclidian distance among feeding trial outcomes; this measure includes information about the number of predation events in each predator-prey pairing. Regression was weighted by the sample size of the predator-prey pair.</w:t>
      </w:r>
    </w:p>
    <w:p>
      <w:r>
        <w:drawing>
          <wp:inline>
            <wp:extent cx="6489700" cy="6489700"/>
            <wp:effectExtent b="0" l="0" r="0" t="0"/>
            <wp:docPr descr="" id="1" name="Picture"/>
            <a:graphic>
              <a:graphicData uri="http://schemas.openxmlformats.org/drawingml/2006/picture">
                <pic:pic>
                  <pic:nvPicPr>
                    <pic:cNvPr descr="figure/FIG_experiment_responses.png" id="0" name="Picture"/>
                    <pic:cNvPicPr>
                      <a:picLocks noChangeArrowheads="1" noChangeAspect="1"/>
                    </pic:cNvPicPr>
                  </pic:nvPicPr>
                  <pic:blipFill>
                    <a:blip r:embed="rId34"/>
                    <a:stretch>
                      <a:fillRect/>
                    </a:stretch>
                  </pic:blipFill>
                  <pic:spPr bwMode="auto">
                    <a:xfrm>
                      <a:off x="0" y="0"/>
                      <a:ext cx="6489700" cy="6489700"/>
                    </a:xfrm>
                    <a:prstGeom prst="rect">
                      <a:avLst/>
                    </a:prstGeom>
                    <a:noFill/>
                    <a:ln w="9525">
                      <a:noFill/>
                      <a:headEnd/>
                      <a:tailEnd/>
                    </a:ln>
                  </pic:spPr>
                </pic:pic>
              </a:graphicData>
            </a:graphic>
          </wp:inline>
        </w:drawing>
      </w:r>
    </w:p>
    <w:p>
      <w:pPr>
        <w:pStyle w:val="ImageCaption"/>
      </w:pPr>
      <w:r>
        <w:t xml:space="preserve">Figure 3: Treatment responses for the manipulative experiment. Points are means, and horizontal lines represent minimum and maximum values for each response. n=5 for all means.</w:t>
      </w:r>
    </w:p>
    <w:p>
      <w:r>
        <w:drawing>
          <wp:inline>
            <wp:extent cx="6489700" cy="6489700"/>
            <wp:effectExtent b="0" l="0" r="0" t="0"/>
            <wp:docPr descr="" id="1" name="Picture"/>
            <a:graphic>
              <a:graphicData uri="http://schemas.openxmlformats.org/drawingml/2006/picture">
                <pic:pic>
                  <pic:nvPicPr>
                    <pic:cNvPr descr="figure/FIG_PD_experiment_nonadditive.png" id="0" name="Picture"/>
                    <pic:cNvPicPr>
                      <a:picLocks noChangeArrowheads="1" noChangeAspect="1"/>
                    </pic:cNvPicPr>
                  </pic:nvPicPr>
                  <pic:blipFill>
                    <a:blip r:embed="rId35"/>
                    <a:stretch>
                      <a:fillRect/>
                    </a:stretch>
                  </pic:blipFill>
                  <pic:spPr bwMode="auto">
                    <a:xfrm>
                      <a:off x="0" y="0"/>
                      <a:ext cx="6489700" cy="6489700"/>
                    </a:xfrm>
                    <a:prstGeom prst="rect">
                      <a:avLst/>
                    </a:prstGeom>
                    <a:noFill/>
                    <a:ln w="9525">
                      <a:noFill/>
                      <a:headEnd/>
                      <a:tailEnd/>
                    </a:ln>
                  </pic:spPr>
                </pic:pic>
              </a:graphicData>
            </a:graphic>
          </wp:inline>
        </w:drawing>
      </w:r>
    </w:p>
    <w:p>
      <w:pPr>
        <w:pStyle w:val="ImageCaption"/>
      </w:pPr>
      <w:r>
        <w:t xml:space="preserve">Figure 4: Combinations of predators beyond congenerics show a negative non-additive effect on predation rate. Points represent the mean difference between the means of two monocultures compared to the mean of a polycultures. These values are presented as differences from (predator free) controls; therefore 0 indicates no significant non-additive effect. Relative to control (no predator) plants, bromeliads containing two predators which were not congeneric showed less predation</w:t>
      </w:r>
    </w:p>
    <w:bookmarkStart w:id="36" w:name="discussion"/>
    <w:p>
      <w:pPr>
        <w:pStyle w:val="Heading2"/>
      </w:pPr>
      <w:r>
        <w:t xml:space="preserve">Discussion</w:t>
      </w:r>
    </w:p>
    <w:bookmarkEnd w:id="36"/>
    <w:bookmarkStart w:id="37" w:name="co-occurrance"/>
    <w:p>
      <w:pPr>
        <w:pStyle w:val="Heading3"/>
      </w:pPr>
      <w:r>
        <w:t xml:space="preserve">co-occurrance</w:t>
      </w:r>
    </w:p>
    <w:bookmarkEnd w:id="37"/>
    <w:p>
      <w:r>
        <w:t xml:space="preserve">predators didnt’ show a strong relationship between distance and co-occurrance. predators appear to be generalist with regard to their habitat preference. this is encouraging, since it indicates that predator combinations realized in the experiment were not unnattural.</w:t>
      </w:r>
    </w:p>
    <w:p>
      <w:r>
        <w:t xml:space="preserve">might be due to structure of bromeliad preventing direct interactions at smaller spatial scales (diane’s work on leaves in tubes, and other papers about physical structure and species interactions)</w:t>
      </w:r>
    </w:p>
    <w:bookmarkStart w:id="38" w:name="diet-similarity-1"/>
    <w:p>
      <w:pPr>
        <w:pStyle w:val="Heading3"/>
      </w:pPr>
      <w:r>
        <w:t xml:space="preserve">diet similarity</w:t>
      </w:r>
    </w:p>
    <w:bookmarkEnd w:id="38"/>
    <w:p>
      <w:r>
        <w:t xml:space="preserve">all orders which we experimet with are known to contain generalists (references for each category)</w:t>
      </w:r>
    </w:p>
    <w:bookmarkStart w:id="39" w:name="references"/>
    <w:p>
      <w:pPr>
        <w:pStyle w:val="Heading2"/>
      </w:pPr>
      <w:r>
        <w:t xml:space="preserve">References</w:t>
      </w:r>
    </w:p>
    <w:bookmarkEnd w:id="39"/>
    <w:p>
      <w:r>
        <w:t xml:space="preserve">Brown, James H., James F. Gillooly, Andrew P. Allen, Van M. Savage, and Geoffrey B. West. 2004. “Toward a metabolic theory of ecology.”</w:t>
      </w:r>
      <w:r>
        <w:t xml:space="preserve"> </w:t>
      </w:r>
      <w:r>
        <w:rPr>
          <w:i/>
        </w:rPr>
        <w:t xml:space="preserve">Ecology</w:t>
      </w:r>
      <w:r>
        <w:t xml:space="preserve"> </w:t>
      </w:r>
      <w:r>
        <w:t xml:space="preserve">85 (7) (jul): 1771–1789. doi:10.1890/03-9000.</w:t>
      </w:r>
      <w:r>
        <w:t xml:space="preserve"> </w:t>
      </w:r>
      <w:hyperlink r:id="rId40">
        <w:r>
          <w:rPr>
            <w:rStyle w:val="Link"/>
          </w:rPr>
          <w:t xml:space="preserve">http://www.esajournals.org/doi/abs/10.1890/03-9000</w:t>
        </w:r>
      </w:hyperlink>
      <w:r>
        <w:t xml:space="preserve">.</w:t>
      </w:r>
    </w:p>
    <w:p>
      <w:r>
        <w:t xml:space="preserve">Wilby, A., S. C. Villareal, and L. P. Lan. 2005. “Functional benefits of predator species diversity depend on prey identity.”</w:t>
      </w:r>
      <w:r>
        <w:t xml:space="preserve"> </w:t>
      </w:r>
      <w:r>
        <w:rPr>
          <w:i/>
        </w:rPr>
        <w:t xml:space="preserve">Ecological …</w:t>
      </w:r>
      <w:r>
        <w:t xml:space="preserve">: 497–501.</w:t>
      </w:r>
      <w:r>
        <w:t xml:space="preserve"> </w:t>
      </w:r>
      <w:hyperlink r:id="rId41">
        <w:r>
          <w:rPr>
            <w:rStyle w:val="Link"/>
          </w:rPr>
          <w:t xml:space="preserve">http://onlinelibrary.wiley.com/doi/10.1111/j.0307-6946.2005.00717.x/full</w:t>
        </w:r>
      </w:hyperlink>
      <w:r>
        <w:t xml:space="preserve">.</w:t>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3633ace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646a7b6f"/>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w:rsids>
    <w:rsidRoot w:val="00590D07"/>
    <w:rsid w:val="00011C8B"/>
    <w:rsid w:val="004E29B3"/>
    <w:rsid w:val="005874D0"/>
    <w:rsid w:val="00590D07"/>
    <w:rsid w:val="00784D58"/>
    <w:rsid w:val="008D6863"/>
    <w:rsid w:val="00B86B75"/>
    <w:rsid w:val="00BC48D5"/>
    <w:rsid w:val="00BE2B69"/>
    <w:rsid w:val="00C36279"/>
    <w:rsid w:val="00E315A3"/>
    <w:rsid w:val="00E962D5"/>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3C65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BE2B69"/>
    <w:pPr>
      <w:spacing w:line="480" w:lineRule="auto"/>
    </w:pPr>
  </w:style>
  <w:style w:type="paragraph" w:styleId="Heading1">
    <w:name w:val="heading 1"/>
    <w:basedOn w:val="Normal"/>
    <w:next w:val="Normal"/>
    <w:uiPriority w:val="9"/>
    <w:qFormat/>
    <w:rsid w:val="005874D0"/>
    <w:pPr>
      <w:keepNext/>
      <w:keepLines/>
      <w:spacing w:before="480" w:after="0"/>
      <w:outlineLvl w:val="0"/>
    </w:pPr>
    <w:rPr>
      <w:rFonts w:asciiTheme="majorHAnsi" w:eastAsiaTheme="majorEastAsia" w:hAnsiTheme="majorHAnsi" w:cstheme="majorBidi"/>
      <w:b/>
      <w:bCs/>
      <w:sz w:val="36"/>
      <w:szCs w:val="36"/>
    </w:rPr>
  </w:style>
  <w:style w:type="paragraph" w:styleId="Heading2">
    <w:name w:val="heading 2"/>
    <w:basedOn w:val="Normal"/>
    <w:next w:val="Normal"/>
    <w:uiPriority w:val="9"/>
    <w:unhideWhenUsed/>
    <w:qFormat/>
    <w:rsid w:val="00BE2B69"/>
    <w:pPr>
      <w:keepNext/>
      <w:keepLines/>
      <w:spacing w:before="200" w:after="0" w:line="240"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uiPriority w:val="9"/>
    <w:unhideWhenUsed/>
    <w:qFormat/>
    <w:rsid w:val="00BE2B69"/>
    <w:pPr>
      <w:keepNext/>
      <w:keepLines/>
      <w:spacing w:before="200" w:after="0" w:line="240" w:lineRule="auto"/>
      <w:outlineLvl w:val="2"/>
    </w:pPr>
    <w:rPr>
      <w:rFonts w:asciiTheme="majorHAnsi" w:eastAsiaTheme="majorEastAsia" w:hAnsiTheme="majorHAnsi" w:cstheme="majorBidi"/>
      <w:b/>
      <w:bCs/>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rsid w:val="00BE2B69"/>
    <w:pPr>
      <w:keepNext/>
      <w:keepLines/>
      <w:spacing w:before="480" w:after="240" w:line="240" w:lineRule="auto"/>
      <w:jc w:val="center"/>
    </w:pPr>
    <w:rPr>
      <w:rFonts w:asciiTheme="majorHAnsi" w:eastAsiaTheme="majorEastAsia" w:hAnsiTheme="majorHAnsi" w:cstheme="majorBidi"/>
      <w:b/>
      <w:bCs/>
      <w:sz w:val="36"/>
      <w:szCs w:val="36"/>
    </w:rPr>
  </w:style>
  <w:style w:type="paragraph" w:customStyle="1" w:styleId="Authors">
    <w:name w:val="Authors"/>
    <w:next w:val="Normal"/>
    <w:qFormat/>
    <w:rsid w:val="005874D0"/>
    <w:pPr>
      <w:keepNext/>
      <w:keepLines/>
      <w:jc w:val="center"/>
    </w:pPr>
    <w:rPr>
      <w:i/>
    </w:r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link w:val="BodyTextChar1"/>
    <w:rsid w:val="005874D0"/>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rsid w:val="00BE2B69"/>
    <w:pPr>
      <w:spacing w:after="120" w:line="240" w:lineRule="auto"/>
      <w:ind w:left="720"/>
    </w:pPr>
  </w:style>
  <w:style w:type="character" w:customStyle="1" w:styleId="BodyTextChar">
    <w:name w:val="Body Text Char"/>
    <w:basedOn w:val="DefaultParagraphFont"/>
    <w:link w:val="ImageCaption"/>
    <w:rsid w:val="00BE2B69"/>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onText">
    <w:name w:val="Balloon Text"/>
    <w:basedOn w:val="Normal"/>
    <w:link w:val="BalloonTextChar"/>
    <w:rsid w:val="005874D0"/>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5874D0"/>
    <w:rPr>
      <w:rFonts w:ascii="Lucida Grande" w:hAnsi="Lucida Grande" w:cs="Lucida Grande"/>
      <w:sz w:val="18"/>
      <w:szCs w:val="18"/>
    </w:rPr>
  </w:style>
  <w:style w:type="character" w:customStyle="1" w:styleId="BodyTextChar1">
    <w:name w:val="Body Text Char1"/>
    <w:basedOn w:val="DefaultParagraphFont"/>
    <w:link w:val="BodyText"/>
    <w:rsid w:val="005874D0"/>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996454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5" Target="media/rId35.png" /><Relationship Type="http://schemas.openxmlformats.org/officeDocument/2006/relationships/image" Id="rId34" Target="media/rId34.png" /><Relationship Type="http://schemas.openxmlformats.org/officeDocument/2006/relationships/image" Id="rId33" Target="media/rId33.png" /><Relationship Type="http://schemas.openxmlformats.org/officeDocument/2006/relationships/image" Id="rId32" Target="media/rId32.png" /><Relationship Type="http://schemas.openxmlformats.org/officeDocument/2006/relationships/hyperlink" Id="rId41" Target="http://onlinelibrary.wiley.com/doi/10.1111/j.0307-6946.2005.00717.x/full" TargetMode="External" /><Relationship Type="http://schemas.openxmlformats.org/officeDocument/2006/relationships/hyperlink" Id="rId40" Target="http://www.esajournals.org/doi/abs/10.1890/03-9000" TargetMode="External" /></Relationships>
</file>

<file path=word/_rels/footnotes.xml.rels><?xml version="1.0" encoding="UTF-8"?>
<Relationships xmlns="http://schemas.openxmlformats.org/package/2006/relationships"><Relationship Type="http://schemas.openxmlformats.org/officeDocument/2006/relationships/hyperlink" Id="rId41" Target="http://onlinelibrary.wiley.com/doi/10.1111/j.0307-6946.2005.00717.x/full" TargetMode="External" /><Relationship Type="http://schemas.openxmlformats.org/officeDocument/2006/relationships/hyperlink" Id="rId40" Target="http://www.esajournals.org/doi/abs/10.1890/03-900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182</Words>
  <Characters>1043</Characters>
  <Application>Microsoft Macintosh Word</Application>
  <DocSecurity>0</DocSecurity>
  <Lines>8</Lines>
  <Paragraphs>2</Paragraphs>
  <ScaleCrop>false</ScaleCrop>
  <Company/>
  <LinksUpToDate>false</LinksUpToDate>
  <CharactersWithSpaces>1223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Predator phylogenetic diversity decreases predation rate via antagonistic interactions</dc:title>
  <dcterms:created xsi:type="dcterms:W3CDTF"/>
  <dcterms:modified xsi:type="dcterms:W3CDTF"/>
  <dc:creator>A. Andrew M. MacDonald</dc:creator>
  <dc:creator>Diane S. Srivastava</dc:creator>
  <dc:creator>Gustavo Q. Romero</dc:creator>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itle>Predator phylogenetic diversity decreases predation rate via antagonistic interactions</dc:title>
  <dcterms:created xsi:type="dcterms:W3CDTF"/>
  <dcterms:modified xsi:type="dcterms:W3CDTF"/>
  <dc:creator>A. Andrew M. MacDonald, Diane S. Srivastava, Gustavo Q. Romero</dc:creator>
</cp:coreProperties>
</file>