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9.png" ContentType="image/png"/>
  <Override PartName="/word/media/rId28.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cr/>
      </w:r>
      <w:r>
        <w:t xml:space="preserve">Diane</w:t>
      </w:r>
      <w:r>
        <w:t xml:space="preserve"> </w:t>
      </w:r>
      <w:r>
        <w:t xml:space="preserve">S.</w:t>
      </w:r>
      <w:r>
        <w:t xml:space="preserve"> </w:t>
      </w:r>
      <w:r>
        <w:t xml:space="preserve">Srivastava</w:t>
      </w:r>
      <w:r>
        <w:cr/>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We test three related hypotheses:</w:t>
      </w:r>
    </w:p>
    <w:p>
      <w:pPr>
        <w:numPr>
          <w:numId w:val="2"/>
          <w:ilvl w:val="0"/>
        </w:numPr>
      </w:pPr>
      <w:r>
        <w:rPr>
          <w:i/>
        </w:rPr>
        <w:t xml:space="preserve">species co-occurance</w:t>
      </w:r>
      <w:r>
        <w:t xml:space="preserve">: closely-related predators occur together more frequently than less-related predators, due to their similar habitat requirements. Additionally, very closely related species never co-occur because they are too similar.</w:t>
      </w:r>
    </w:p>
    <w:p>
      <w:pPr>
        <w:numPr>
          <w:numId w:val="2"/>
          <w:ilvl w:val="0"/>
        </w:numPr>
      </w:pPr>
      <w:r>
        <w:rPr>
          <w:i/>
        </w:rPr>
        <w:t xml:space="preserve">diet similarity</w:t>
      </w:r>
      <w:r>
        <w:t xml:space="preserve">: similarity in diet (as measured by feeding trials) decreases with phylogenetic distance.</w:t>
      </w:r>
    </w:p>
    <w:p>
      <w:pPr>
        <w:numPr>
          <w:numId w:val="2"/>
          <w:ilvl w:val="0"/>
        </w:numPr>
      </w:pPr>
      <w:r>
        <w:rPr>
          <w:i/>
        </w:rPr>
        <w:t xml:space="preserve">ecosystem-level effects</w:t>
      </w:r>
      <w:r>
        <w:t xml:space="preserve">: similarity in the effect of predators on whole ecosystems declines with phylogenetic distance. Additionally, the non-additive effect of predators will have a greater absolute value when their phylogenetic diversity is larger.</w:t>
      </w:r>
    </w:p>
    <w:bookmarkStart w:id="22" w:name="methods"/>
    <w:p>
      <w:pPr>
        <w:pStyle w:val="Heading2"/>
      </w:pPr>
      <w:r>
        <w:t xml:space="preserve">Methods</w:t>
      </w:r>
    </w:p>
    <w:bookmarkEnd w:id="22"/>
    <w:bookmarkStart w:id="23" w:name="results"/>
    <w:p>
      <w:pPr>
        <w:pStyle w:val="Heading2"/>
      </w:pPr>
      <w:r>
        <w:t xml:space="preserve">Results</w:t>
      </w:r>
    </w:p>
    <w:bookmarkEnd w:id="23"/>
    <w:bookmarkStart w:id="24" w:name="metabolic-capacity-and-phylogenetic-distance"/>
    <w:p>
      <w:pPr>
        <w:pStyle w:val="Heading3"/>
      </w:pPr>
      <w:r>
        <w:t xml:space="preserve">metabolic capacity and phylogenetic distance</w:t>
      </w:r>
    </w:p>
    <w:bookmarkEnd w:id="24"/>
    <w:p>
      <w:r>
        <w:t xml:space="preserve">Within the 2008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We obtained node age estimates for all 7 internal nodes of the tree. These were usually provided by only a single study, with more studies available for deeper nodes: Insecta--Hirudina (543 to 700 Mya, n=5 studies), Odonata--Tabanidae (151 to 543 Mya, n=4 studies) and Tabanidae--Diptera (151 to 543 Mya, n=7 studies). We used the median estimate of age for these nodes.</w:t>
      </w:r>
    </w:p>
    <w:p>
      <w:r>
        <w:t xml:space="preserve">In 2008, insects were counted and measured in an observational study of 25 bromeliads. Across all bromeliads, predator species differed widely in metabolic capacity, from 0.0062 for a species of Empididae, to 0.4804 for the abundant predator</w:t>
      </w:r>
      <w:r>
        <w:t xml:space="preserve"> </w:t>
      </w:r>
      <w:r>
        <w:rPr>
          <w:i/>
        </w:rPr>
        <w:t xml:space="preserve">Leptagrion andromache</w:t>
      </w:r>
      <w:r>
        <w:t xml:space="preserve">. Predators often co-occured in bromeliads (</w:t>
      </w:r>
      <m:oMath>
        <m:r>
          <m:rPr/>
          <m:t>3</m:t>
        </m:r>
        <m:r>
          <m:rPr/>
          <m:t>.</m:t>
        </m:r>
        <m:r>
          <m:rPr/>
          <m:t>52</m:t>
        </m:r>
        <m:r>
          <m:rPr/>
          <m:t>±</m:t>
        </m:r>
        <m:r>
          <m:rPr/>
          <m:t>3</m:t>
        </m:r>
        <m:r>
          <m:rPr/>
          <m:t>.</m:t>
        </m:r>
        <m:r>
          <m:rPr/>
          <m:t>11</m:t>
        </m:r>
      </m:oMath>
      <w:r>
        <w:t xml:space="preserve"> </w:t>
      </w:r>
      <w:r>
        <w:t xml:space="preserve">species per plant). However, the euclidian distance between the total metabolic capacity of two predators did not show any relationship with phylogenetic distance between them (F</w:t>
      </w:r>
      <w:r>
        <w:rPr>
          <w:vertAlign w:val="subscript"/>
        </w:rPr>
        <w:t xml:space="preserve">1,89</w:t>
      </w:r>
      <w:r>
        <w:t xml:space="preserve">=1.5558, p=0.22).</w:t>
      </w:r>
    </w:p>
    <w:bookmarkStart w:id="25" w:name="diet-similarity-and-phylogenetic-distance"/>
    <w:p>
      <w:pPr>
        <w:pStyle w:val="Heading3"/>
      </w:pPr>
      <w:r>
        <w:t xml:space="preserve">diet similarity and phylogenetic distance</w:t>
      </w:r>
    </w:p>
    <w:bookmarkEnd w:id="25"/>
    <w:p>
      <w:r>
        <w:t xml:space="preserve">We conducted 237 feeding trials of 8 predator taxa fed 14 prey taxa. However, due to the rarity of some taxa many predator-prey pairs were not possible; we tested 46 pairwise combinations. Most trials were replicated at least 5 times, but the number of replicates for various combinations ranged from 1 to 11. Two damselflies,</w:t>
      </w:r>
      <w:r>
        <w:t xml:space="preserve"> </w:t>
      </w:r>
      <w:r>
        <w:rPr>
          <w:i/>
        </w:rPr>
        <w:t xml:space="preserve">Leptagrion andromache</w:t>
      </w:r>
      <w:r>
        <w:t xml:space="preserve"> </w:t>
      </w:r>
      <w:r>
        <w:t xml:space="preserve">and</w:t>
      </w:r>
      <w:r>
        <w:t xml:space="preserve"> </w:t>
      </w:r>
      <w:r>
        <w:rPr>
          <w:i/>
        </w:rPr>
        <w:t xml:space="preserve">Leptagrion elongatum</w:t>
      </w:r>
      <w:r>
        <w:t xml:space="preserve">, showed the higest rates of prey consumption (prey consumed in 94% and 67% of trials, respectively).</w:t>
      </w:r>
    </w:p>
    <w:p>
      <w:r>
        <w:t xml:space="preserve">All predators showed a very generalist diet breadth, consuming nearly all species offered to them. However, more phylogenetically distant predators preferred slightly different diets, as measured by euclidian distance between feeding trial outcomes (F</w:t>
      </w:r>
      <w:r>
        <w:rPr>
          <w:vertAlign w:val="subscript"/>
        </w:rPr>
        <w:t xml:space="preserve">1,19</w:t>
      </w:r>
      <w:r>
        <w:t xml:space="preserve">=5.16, p=0.035) Regression was weighted by the number of trials conducted.</w:t>
      </w:r>
    </w:p>
    <w:bookmarkStart w:id="26" w:name="ecosystem-level-effects-and-phylogenetic-distance"/>
    <w:p>
      <w:pPr>
        <w:pStyle w:val="Heading3"/>
      </w:pPr>
      <w:r>
        <w:t xml:space="preserve">Ecosystem-level effects and phylogenetic distance</w:t>
      </w:r>
    </w:p>
    <w:bookmarkEnd w:id="26"/>
    <w:p>
      <w:r>
        <w:t xml:space="preserve">In our manipulative experiment, we placed a standardized prey community into bromeliads and measured five response variables: the total survivorship (both emerged during experiment and found as larvae at the end) of all prey, the %N15 which was transferred into bromeliad tissue, bromeliad growth, coarse detritus decomposition and fine organic matter production.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r>
        <w:t xml:space="preserve">Predator combinations tended to have an increased effect on our response variables relative to predators alone. Approximately 14% more prey survived in polyculture, on average, compared to all monocultures. Effects were smaller for Nitrogen (8%) and bromeliad growth (11%). Fine particulate organic matter was produced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 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27" w:name="figures"/>
    <w:p>
      <w:pPr>
        <w:pStyle w:val="Heading3"/>
      </w:pPr>
      <w:r>
        <w:t xml:space="preserve">Figures</w:t>
      </w:r>
    </w:p>
    <w:bookmarkEnd w:id="27"/>
    <w:p>
      <w:r>
        <w:drawing>
          <wp:inline>
            <wp:extent cx="6489700" cy="6489700"/>
            <wp:effectExtent b="0" l="0" r="0" t="0"/>
            <wp:docPr descr="" id="1" name="Picture"/>
            <a:graphic>
              <a:graphicData uri="http://schemas.openxmlformats.org/drawingml/2006/picture">
                <pic:pic>
                  <pic:nvPicPr>
                    <pic:cNvPr descr="figure/FIG_metabolic_occurance_as_phylo.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feeding_trial_as_phylo.png" id="0" name="Picture"/>
                    <pic:cNvPicPr>
                      <a:picLocks noChangeArrowheads="1" noChangeAspect="1"/>
                    </pic:cNvPicPr>
                  </pic:nvPicPr>
                  <pic:blipFill>
                    <a:blip r:embed="rId29"/>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PD_experiment_nonadditive.png" id="0" name="Picture"/>
                    <pic:cNvPicPr>
                      <a:picLocks noChangeArrowheads="1" noChangeAspect="1"/>
                    </pic:cNvPicPr>
                  </pic:nvPicPr>
                  <pic:blipFill>
                    <a:blip r:embed="rId30"/>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experiment_responses.png" id="0" name="Picture"/>
                    <pic:cNvPicPr>
                      <a:picLocks noChangeArrowheads="1" noChangeAspect="1"/>
                    </pic:cNvPicPr>
                  </pic:nvPicPr>
                  <pic:blipFill>
                    <a:blip r:embed="rId3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bookmarkStart w:id="32" w:name="discussion"/>
    <w:p>
      <w:pPr>
        <w:pStyle w:val="Heading2"/>
      </w:pPr>
      <w:r>
        <w:t xml:space="preserve">Discussion</w:t>
      </w:r>
    </w:p>
    <w:bookmarkEnd w:id="32"/>
    <w:bookmarkStart w:id="33" w:name="references"/>
    <w:p>
      <w:pPr>
        <w:pStyle w:val="Heading2"/>
      </w:pPr>
      <w:r>
        <w:t xml:space="preserve">References</w:t>
      </w:r>
    </w:p>
    <w:bookmarkEnd w:id="33"/>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7b47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29f21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dc:creator>
  <dc:creator>Diane S. Srivastava</dc:creator>
  <dc:creator>Gustavo Q. Romero</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