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bottomFromText="160" w:vertAnchor="text" w:tblpXSpec="center" w:tblpY="1"/>
        <w:tblOverlap w:val="never"/>
        <w:tblW w:w="5495" w:type="dxa"/>
        <w:tblLook w:val="00A0" w:firstRow="1" w:lastRow="0" w:firstColumn="1" w:lastColumn="0" w:noHBand="0" w:noVBand="0"/>
      </w:tblPr>
      <w:tblGrid>
        <w:gridCol w:w="5495"/>
      </w:tblGrid>
      <w:tr w:rsidR="00224585" w:rsidRPr="00155A54" w14:paraId="26FAE0A1" w14:textId="77777777" w:rsidTr="00224585">
        <w:trPr>
          <w:cantSplit/>
          <w:trHeight w:val="423"/>
        </w:trPr>
        <w:tc>
          <w:tcPr>
            <w:tcW w:w="5495" w:type="dxa"/>
            <w:shd w:val="solid" w:color="D55700" w:fill="auto"/>
            <w:vAlign w:val="center"/>
            <w:hideMark/>
          </w:tcPr>
          <w:p w14:paraId="7E192DB1" w14:textId="77777777" w:rsidR="00224585" w:rsidRPr="00155A54" w:rsidRDefault="00224585" w:rsidP="00A31C95">
            <w:pPr>
              <w:tabs>
                <w:tab w:val="center" w:pos="4419"/>
              </w:tabs>
              <w:spacing w:after="0" w:line="240" w:lineRule="auto"/>
              <w:jc w:val="center"/>
              <w:rPr>
                <w:rFonts w:ascii="Arial" w:hAnsi="Arial"/>
                <w:color w:val="FFFFFF"/>
                <w:sz w:val="28"/>
                <w:szCs w:val="28"/>
              </w:rPr>
            </w:pPr>
            <w:r w:rsidRPr="00155A54">
              <w:rPr>
                <w:rFonts w:ascii="Arial" w:hAnsi="Arial"/>
                <w:smallCaps/>
                <w:color w:val="FFFFFF"/>
                <w:sz w:val="28"/>
                <w:szCs w:val="28"/>
              </w:rPr>
              <w:t>Román, Nava, Morales y Salazar</w:t>
            </w:r>
          </w:p>
        </w:tc>
      </w:tr>
      <w:tr w:rsidR="00224585" w:rsidRPr="00155A54" w14:paraId="64353A42" w14:textId="77777777" w:rsidTr="00224585">
        <w:trPr>
          <w:cantSplit/>
          <w:trHeight w:val="287"/>
        </w:trPr>
        <w:tc>
          <w:tcPr>
            <w:tcW w:w="5495" w:type="dxa"/>
            <w:shd w:val="solid" w:color="595959" w:fill="auto"/>
            <w:vAlign w:val="center"/>
            <w:hideMark/>
          </w:tcPr>
          <w:p w14:paraId="018847C0" w14:textId="77777777" w:rsidR="00224585" w:rsidRPr="00155A54" w:rsidRDefault="00224585" w:rsidP="00A31C95">
            <w:pPr>
              <w:tabs>
                <w:tab w:val="center" w:pos="7513"/>
              </w:tabs>
              <w:spacing w:after="0" w:line="240" w:lineRule="auto"/>
              <w:ind w:left="-1843" w:right="-1951"/>
              <w:jc w:val="center"/>
              <w:rPr>
                <w:rFonts w:ascii="Arial" w:hAnsi="Arial"/>
                <w:color w:val="FFFFFF"/>
                <w:sz w:val="20"/>
                <w:szCs w:val="20"/>
              </w:rPr>
            </w:pPr>
            <w:r w:rsidRPr="00155A54">
              <w:rPr>
                <w:rFonts w:ascii="Arial" w:hAnsi="Arial"/>
                <w:color w:val="FFFFFF"/>
                <w:sz w:val="20"/>
                <w:szCs w:val="20"/>
              </w:rPr>
              <w:t>ABOGADOS</w:t>
            </w:r>
          </w:p>
        </w:tc>
      </w:tr>
    </w:tbl>
    <w:p w14:paraId="6908E7F1" w14:textId="77777777" w:rsidR="00224585" w:rsidRPr="00155A54" w:rsidRDefault="00224585" w:rsidP="00A31C95">
      <w:pPr>
        <w:spacing w:after="0" w:line="240" w:lineRule="auto"/>
        <w:jc w:val="center"/>
        <w:rPr>
          <w:rFonts w:ascii="Arial" w:hAnsi="Arial" w:cs="Arial"/>
          <w:color w:val="595959"/>
          <w:sz w:val="16"/>
          <w:szCs w:val="16"/>
          <w:lang w:val="en-US"/>
        </w:rPr>
      </w:pPr>
    </w:p>
    <w:p w14:paraId="15B6F86C" w14:textId="77777777" w:rsidR="00224585" w:rsidRPr="00155A54" w:rsidRDefault="00224585" w:rsidP="00A31C95">
      <w:pPr>
        <w:spacing w:after="0" w:line="240" w:lineRule="auto"/>
        <w:jc w:val="center"/>
        <w:rPr>
          <w:rFonts w:ascii="Arial" w:hAnsi="Arial" w:cs="Arial"/>
          <w:color w:val="595959"/>
          <w:sz w:val="16"/>
          <w:szCs w:val="16"/>
        </w:rPr>
      </w:pPr>
    </w:p>
    <w:p w14:paraId="276501FB" w14:textId="77777777" w:rsidR="00224585" w:rsidRPr="00155A54" w:rsidRDefault="00224585" w:rsidP="00A31C95">
      <w:pPr>
        <w:spacing w:after="0" w:line="240" w:lineRule="auto"/>
        <w:jc w:val="center"/>
        <w:rPr>
          <w:rFonts w:ascii="Arial" w:hAnsi="Arial" w:cs="Arial"/>
          <w:color w:val="595959"/>
          <w:sz w:val="16"/>
          <w:szCs w:val="16"/>
        </w:rPr>
      </w:pPr>
    </w:p>
    <w:p w14:paraId="6909BD3E" w14:textId="77777777" w:rsidR="001347B1" w:rsidRPr="00155A54" w:rsidRDefault="001347B1" w:rsidP="00A31C95">
      <w:pPr>
        <w:spacing w:after="0" w:line="240" w:lineRule="auto"/>
        <w:rPr>
          <w:rFonts w:ascii="Arial" w:hAnsi="Arial" w:cs="Arial"/>
          <w:color w:val="595959"/>
          <w:sz w:val="16"/>
          <w:szCs w:val="16"/>
        </w:rPr>
      </w:pPr>
    </w:p>
    <w:p w14:paraId="35ADE32B" w14:textId="77777777" w:rsidR="00A31C95" w:rsidRPr="00155A54" w:rsidRDefault="00A31C95" w:rsidP="00A31C95">
      <w:pPr>
        <w:spacing w:after="0" w:line="240" w:lineRule="auto"/>
        <w:rPr>
          <w:rFonts w:ascii="Arial" w:hAnsi="Arial" w:cs="Arial"/>
          <w:color w:val="595959"/>
          <w:sz w:val="20"/>
          <w:szCs w:val="16"/>
        </w:rPr>
      </w:pPr>
    </w:p>
    <w:p w14:paraId="6AF0B4D2" w14:textId="77777777" w:rsidR="00224585" w:rsidRPr="00155A54" w:rsidRDefault="00224585" w:rsidP="00A31C95">
      <w:pPr>
        <w:spacing w:after="0" w:line="240" w:lineRule="auto"/>
        <w:jc w:val="center"/>
        <w:rPr>
          <w:rFonts w:ascii="Arial" w:hAnsi="Arial" w:cs="Arial"/>
          <w:color w:val="595959"/>
          <w:sz w:val="20"/>
          <w:szCs w:val="16"/>
        </w:rPr>
      </w:pPr>
      <w:r w:rsidRPr="00155A54">
        <w:rPr>
          <w:rFonts w:ascii="Arial" w:hAnsi="Arial" w:cs="Arial"/>
          <w:color w:val="595959"/>
          <w:sz w:val="20"/>
          <w:szCs w:val="16"/>
        </w:rPr>
        <w:t xml:space="preserve">Bosque de Radiatas No. 50-502, Bosques de las Lomas, Cuajimalpa de </w:t>
      </w:r>
    </w:p>
    <w:p w14:paraId="2F55D214" w14:textId="77777777" w:rsidR="00224585" w:rsidRPr="00155A54" w:rsidRDefault="00224585" w:rsidP="00A31C95">
      <w:pPr>
        <w:spacing w:after="0" w:line="240" w:lineRule="auto"/>
        <w:jc w:val="center"/>
        <w:rPr>
          <w:rFonts w:ascii="Arial" w:hAnsi="Arial" w:cs="Arial"/>
          <w:color w:val="595959"/>
          <w:sz w:val="16"/>
          <w:szCs w:val="16"/>
        </w:rPr>
      </w:pPr>
      <w:r w:rsidRPr="00155A54">
        <w:rPr>
          <w:rFonts w:ascii="Arial" w:hAnsi="Arial" w:cs="Arial"/>
          <w:color w:val="595959"/>
          <w:sz w:val="20"/>
          <w:szCs w:val="16"/>
        </w:rPr>
        <w:t>Morelos</w:t>
      </w:r>
      <w:r w:rsidRPr="00155A54">
        <w:rPr>
          <w:rFonts w:ascii="Arial" w:hAnsi="Arial" w:cs="Arial"/>
          <w:color w:val="595959"/>
          <w:sz w:val="16"/>
          <w:szCs w:val="16"/>
        </w:rPr>
        <w:t xml:space="preserve">, </w:t>
      </w:r>
      <w:r w:rsidRPr="00155A54">
        <w:rPr>
          <w:rFonts w:ascii="Arial" w:hAnsi="Arial" w:cs="Arial"/>
          <w:color w:val="595959"/>
          <w:sz w:val="20"/>
          <w:szCs w:val="16"/>
        </w:rPr>
        <w:t>C.P. 05120, México, D.F.  Tel. +52 (55) 4432-4445</w:t>
      </w:r>
    </w:p>
    <w:p w14:paraId="0A69116D" w14:textId="77777777" w:rsidR="00224585" w:rsidRPr="00155A54" w:rsidRDefault="00155A54" w:rsidP="00A31C95">
      <w:pPr>
        <w:spacing w:after="0" w:line="240" w:lineRule="auto"/>
        <w:jc w:val="center"/>
        <w:outlineLvl w:val="0"/>
        <w:rPr>
          <w:rFonts w:ascii="Arial" w:hAnsi="Arial"/>
        </w:rPr>
      </w:pPr>
      <w:hyperlink r:id="rId8" w:history="1">
        <w:r w:rsidR="00224585" w:rsidRPr="00155A54">
          <w:rPr>
            <w:rStyle w:val="Hipervnculo"/>
            <w:rFonts w:ascii="Arial" w:hAnsi="Arial" w:cs="Arial"/>
            <w:color w:val="FF6600"/>
            <w:sz w:val="20"/>
            <w:szCs w:val="16"/>
          </w:rPr>
          <w:t>http://www.rnms.com.mx</w:t>
        </w:r>
      </w:hyperlink>
    </w:p>
    <w:p w14:paraId="7BCE32FF" w14:textId="77777777" w:rsidR="00224585" w:rsidRPr="00155A54" w:rsidRDefault="00224585" w:rsidP="00A31C95">
      <w:pPr>
        <w:spacing w:after="0" w:line="240" w:lineRule="auto"/>
        <w:rPr>
          <w:rFonts w:ascii="Arial" w:hAnsi="Arial"/>
          <w:sz w:val="16"/>
          <w:szCs w:val="16"/>
        </w:rPr>
      </w:pPr>
    </w:p>
    <w:p w14:paraId="30876DE1" w14:textId="77777777" w:rsidR="00224585" w:rsidRPr="00155A54" w:rsidRDefault="00224585" w:rsidP="00A31C95">
      <w:pPr>
        <w:spacing w:after="0" w:line="240" w:lineRule="auto"/>
        <w:rPr>
          <w:rFonts w:ascii="Arial" w:hAnsi="Arial"/>
        </w:rPr>
      </w:pPr>
    </w:p>
    <w:p w14:paraId="568F1359" w14:textId="77777777" w:rsidR="00A31C95" w:rsidRPr="00155A54" w:rsidRDefault="00A31C95" w:rsidP="00A31C95">
      <w:pPr>
        <w:spacing w:after="0" w:line="240" w:lineRule="auto"/>
        <w:jc w:val="right"/>
        <w:rPr>
          <w:rFonts w:ascii="Arial" w:hAnsi="Arial" w:cs="Arial"/>
          <w:sz w:val="24"/>
          <w:szCs w:val="24"/>
        </w:rPr>
      </w:pPr>
    </w:p>
    <w:p w14:paraId="49E62987" w14:textId="77777777" w:rsidR="00224585" w:rsidRPr="00155A54" w:rsidRDefault="00224585" w:rsidP="00A31C95">
      <w:pPr>
        <w:spacing w:after="0" w:line="240" w:lineRule="auto"/>
        <w:jc w:val="right"/>
        <w:rPr>
          <w:rFonts w:ascii="Arial" w:hAnsi="Arial" w:cs="Arial"/>
          <w:sz w:val="24"/>
          <w:szCs w:val="24"/>
          <w:lang w:val="en-US"/>
        </w:rPr>
      </w:pPr>
      <w:r w:rsidRPr="00155A54">
        <w:rPr>
          <w:rFonts w:ascii="Arial" w:hAnsi="Arial" w:cs="Arial"/>
          <w:sz w:val="24"/>
          <w:szCs w:val="24"/>
        </w:rPr>
        <w:t xml:space="preserve">Ciudad de México, </w:t>
      </w:r>
      <w:r w:rsidR="00A31C95" w:rsidRPr="00155A54">
        <w:rPr>
          <w:rFonts w:ascii="Arial" w:hAnsi="Arial" w:cs="Arial"/>
          <w:sz w:val="24"/>
          <w:szCs w:val="24"/>
        </w:rPr>
        <w:t xml:space="preserve">a </w:t>
      </w:r>
      <w:r w:rsidR="001347B1" w:rsidRPr="00155A54">
        <w:rPr>
          <w:rFonts w:ascii="Arial" w:hAnsi="Arial" w:cs="Arial"/>
          <w:sz w:val="24"/>
          <w:szCs w:val="24"/>
        </w:rPr>
        <w:t>1</w:t>
      </w:r>
      <w:r w:rsidR="00A31C95" w:rsidRPr="00155A54">
        <w:rPr>
          <w:rFonts w:ascii="Arial" w:hAnsi="Arial" w:cs="Arial"/>
          <w:sz w:val="24"/>
          <w:szCs w:val="24"/>
        </w:rPr>
        <w:t>3</w:t>
      </w:r>
      <w:r w:rsidR="001347B1" w:rsidRPr="00155A54">
        <w:rPr>
          <w:rFonts w:ascii="Arial" w:hAnsi="Arial" w:cs="Arial"/>
          <w:sz w:val="24"/>
          <w:szCs w:val="24"/>
        </w:rPr>
        <w:t xml:space="preserve"> </w:t>
      </w:r>
      <w:r w:rsidRPr="00155A54">
        <w:rPr>
          <w:rFonts w:ascii="Arial" w:hAnsi="Arial" w:cs="Arial"/>
          <w:sz w:val="24"/>
          <w:szCs w:val="24"/>
        </w:rPr>
        <w:t xml:space="preserve">de </w:t>
      </w:r>
      <w:r w:rsidR="001347B1" w:rsidRPr="00155A54">
        <w:rPr>
          <w:rFonts w:ascii="Arial" w:hAnsi="Arial" w:cs="Arial"/>
          <w:sz w:val="24"/>
          <w:szCs w:val="24"/>
        </w:rPr>
        <w:t>junio</w:t>
      </w:r>
      <w:r w:rsidRPr="00155A54">
        <w:rPr>
          <w:rFonts w:ascii="Arial" w:hAnsi="Arial" w:cs="Arial"/>
          <w:sz w:val="24"/>
          <w:szCs w:val="24"/>
        </w:rPr>
        <w:t xml:space="preserve"> de</w:t>
      </w:r>
      <w:r w:rsidR="00A31C95" w:rsidRPr="00155A54">
        <w:rPr>
          <w:rFonts w:ascii="Arial" w:hAnsi="Arial" w:cs="Arial"/>
          <w:sz w:val="24"/>
          <w:szCs w:val="24"/>
        </w:rPr>
        <w:t>l</w:t>
      </w:r>
      <w:r w:rsidRPr="00155A54">
        <w:rPr>
          <w:rFonts w:ascii="Arial" w:hAnsi="Arial" w:cs="Arial"/>
          <w:sz w:val="24"/>
          <w:szCs w:val="24"/>
        </w:rPr>
        <w:t xml:space="preserve"> 2018.</w:t>
      </w:r>
    </w:p>
    <w:p w14:paraId="1DD404F9" w14:textId="77777777" w:rsidR="00A31C95" w:rsidRPr="00155A54" w:rsidRDefault="00A31C95" w:rsidP="00A31C95">
      <w:pPr>
        <w:spacing w:after="0" w:line="240" w:lineRule="auto"/>
        <w:rPr>
          <w:rFonts w:ascii="Arial" w:hAnsi="Arial" w:cs="Arial"/>
          <w:sz w:val="24"/>
          <w:szCs w:val="24"/>
        </w:rPr>
      </w:pPr>
    </w:p>
    <w:p w14:paraId="69CF91A2" w14:textId="77777777" w:rsidR="00A31C95" w:rsidRPr="00155A54" w:rsidRDefault="00A31C95" w:rsidP="00A31C95">
      <w:pPr>
        <w:spacing w:after="0" w:line="240" w:lineRule="auto"/>
        <w:rPr>
          <w:rFonts w:ascii="Arial" w:hAnsi="Arial" w:cs="Arial"/>
          <w:sz w:val="24"/>
          <w:szCs w:val="24"/>
        </w:rPr>
      </w:pPr>
    </w:p>
    <w:p w14:paraId="5B12D123" w14:textId="77777777" w:rsidR="00A31C95" w:rsidRPr="00155A54" w:rsidRDefault="00A31C95" w:rsidP="00155A54">
      <w:pPr>
        <w:spacing w:after="0" w:line="240" w:lineRule="auto"/>
        <w:jc w:val="both"/>
        <w:rPr>
          <w:rFonts w:ascii="Arial" w:hAnsi="Arial" w:cs="Arial"/>
          <w:b/>
          <w:sz w:val="24"/>
          <w:szCs w:val="24"/>
        </w:rPr>
      </w:pPr>
      <w:r w:rsidRPr="00155A54">
        <w:rPr>
          <w:rFonts w:ascii="Arial" w:hAnsi="Arial" w:cs="Arial"/>
          <w:b/>
          <w:sz w:val="24"/>
          <w:szCs w:val="24"/>
        </w:rPr>
        <w:t>Alejandro Hernández Sánchez</w:t>
      </w:r>
    </w:p>
    <w:p w14:paraId="7BEE0B05" w14:textId="77777777" w:rsidR="00A31C95" w:rsidRPr="00155A54" w:rsidRDefault="00A31C95" w:rsidP="00155A54">
      <w:pPr>
        <w:spacing w:after="0" w:line="240" w:lineRule="auto"/>
        <w:jc w:val="both"/>
        <w:rPr>
          <w:rFonts w:ascii="Arial" w:hAnsi="Arial" w:cs="Arial"/>
          <w:b/>
          <w:sz w:val="24"/>
          <w:szCs w:val="24"/>
        </w:rPr>
      </w:pPr>
      <w:r w:rsidRPr="00155A54">
        <w:rPr>
          <w:rFonts w:ascii="Arial" w:hAnsi="Arial" w:cs="Arial"/>
          <w:b/>
          <w:sz w:val="24"/>
          <w:szCs w:val="24"/>
        </w:rPr>
        <w:t>Misión de Desarrollo Micro Empresarial</w:t>
      </w:r>
    </w:p>
    <w:p w14:paraId="7629C0D0" w14:textId="77777777" w:rsidR="00A31C95" w:rsidRPr="00155A54" w:rsidRDefault="00A31C95" w:rsidP="00155A54">
      <w:pPr>
        <w:spacing w:after="0" w:line="240" w:lineRule="auto"/>
        <w:jc w:val="both"/>
        <w:rPr>
          <w:rFonts w:ascii="Arial" w:hAnsi="Arial" w:cs="Arial"/>
          <w:b/>
          <w:sz w:val="24"/>
          <w:szCs w:val="24"/>
        </w:rPr>
      </w:pPr>
      <w:r w:rsidRPr="00155A54">
        <w:rPr>
          <w:rFonts w:ascii="Arial" w:hAnsi="Arial" w:cs="Arial"/>
          <w:b/>
          <w:sz w:val="24"/>
          <w:szCs w:val="24"/>
        </w:rPr>
        <w:t>México, S.A. de C.V., SOFOM, E.N.R.</w:t>
      </w:r>
    </w:p>
    <w:p w14:paraId="3AD6F176" w14:textId="77777777" w:rsidR="00A31C95" w:rsidRPr="00155A54" w:rsidRDefault="00A31C95" w:rsidP="00155A54">
      <w:pPr>
        <w:spacing w:after="0" w:line="240" w:lineRule="auto"/>
        <w:jc w:val="both"/>
        <w:rPr>
          <w:rFonts w:ascii="Arial" w:hAnsi="Arial" w:cs="Arial"/>
          <w:b/>
          <w:sz w:val="24"/>
          <w:szCs w:val="24"/>
        </w:rPr>
      </w:pPr>
      <w:r w:rsidRPr="00155A54">
        <w:rPr>
          <w:rFonts w:ascii="Arial" w:hAnsi="Arial" w:cs="Arial"/>
          <w:b/>
          <w:sz w:val="24"/>
          <w:szCs w:val="24"/>
        </w:rPr>
        <w:t>Presente</w:t>
      </w:r>
    </w:p>
    <w:p w14:paraId="62FA061F" w14:textId="77777777" w:rsidR="00A31C95" w:rsidRPr="00155A54" w:rsidRDefault="00A31C95" w:rsidP="00155A54">
      <w:pPr>
        <w:spacing w:after="0" w:line="240" w:lineRule="auto"/>
        <w:jc w:val="both"/>
        <w:rPr>
          <w:rFonts w:ascii="Arial" w:hAnsi="Arial" w:cs="Arial"/>
          <w:sz w:val="24"/>
          <w:szCs w:val="24"/>
        </w:rPr>
      </w:pPr>
    </w:p>
    <w:p w14:paraId="2CC9AD54" w14:textId="77777777" w:rsidR="00224585" w:rsidRPr="00155A54" w:rsidRDefault="00A31C95" w:rsidP="00155A54">
      <w:pPr>
        <w:spacing w:after="0" w:line="240" w:lineRule="auto"/>
        <w:jc w:val="both"/>
        <w:rPr>
          <w:rFonts w:ascii="Arial" w:hAnsi="Arial" w:cs="Arial"/>
          <w:sz w:val="24"/>
          <w:szCs w:val="24"/>
        </w:rPr>
      </w:pPr>
      <w:r w:rsidRPr="00155A54">
        <w:rPr>
          <w:rFonts w:ascii="Arial" w:hAnsi="Arial" w:cs="Arial"/>
          <w:sz w:val="24"/>
          <w:szCs w:val="24"/>
        </w:rPr>
        <w:t>Estimado Alejandro:</w:t>
      </w:r>
    </w:p>
    <w:p w14:paraId="500B2FBB" w14:textId="77777777" w:rsidR="00224585" w:rsidRPr="00155A54" w:rsidRDefault="00224585" w:rsidP="00155A54">
      <w:pPr>
        <w:spacing w:after="0" w:line="240" w:lineRule="auto"/>
        <w:jc w:val="both"/>
        <w:rPr>
          <w:rFonts w:ascii="Arial" w:hAnsi="Arial" w:cs="Arial"/>
          <w:sz w:val="24"/>
          <w:szCs w:val="24"/>
        </w:rPr>
      </w:pPr>
    </w:p>
    <w:p w14:paraId="5832E5F5" w14:textId="77777777" w:rsidR="00A31C95" w:rsidRPr="00155A54" w:rsidRDefault="00A31C95" w:rsidP="00155A54">
      <w:pPr>
        <w:spacing w:after="0" w:line="240" w:lineRule="auto"/>
        <w:jc w:val="both"/>
        <w:rPr>
          <w:rFonts w:ascii="Arial" w:hAnsi="Arial" w:cs="Arial"/>
          <w:sz w:val="24"/>
          <w:szCs w:val="24"/>
        </w:rPr>
      </w:pPr>
      <w:r w:rsidRPr="00155A54">
        <w:rPr>
          <w:rFonts w:ascii="Arial" w:hAnsi="Arial" w:cs="Arial"/>
          <w:sz w:val="24"/>
          <w:szCs w:val="24"/>
        </w:rPr>
        <w:t xml:space="preserve">En atención a tu consulta, te </w:t>
      </w:r>
      <w:r w:rsidR="001347B1" w:rsidRPr="00155A54">
        <w:rPr>
          <w:rFonts w:ascii="Arial" w:hAnsi="Arial" w:cs="Arial"/>
          <w:sz w:val="24"/>
          <w:szCs w:val="24"/>
        </w:rPr>
        <w:t xml:space="preserve">informo </w:t>
      </w:r>
      <w:r w:rsidRPr="00155A54">
        <w:rPr>
          <w:rFonts w:ascii="Arial" w:hAnsi="Arial" w:cs="Arial"/>
          <w:sz w:val="24"/>
          <w:szCs w:val="24"/>
        </w:rPr>
        <w:t xml:space="preserve">sobre los reportes que deberá presentar </w:t>
      </w:r>
      <w:r w:rsidR="001347B1" w:rsidRPr="00155A54">
        <w:rPr>
          <w:rFonts w:ascii="Arial" w:hAnsi="Arial" w:cs="Arial"/>
          <w:sz w:val="24"/>
          <w:szCs w:val="24"/>
        </w:rPr>
        <w:t xml:space="preserve">Misión de Desarrollo Microempresarial México, </w:t>
      </w:r>
      <w:r w:rsidRPr="00155A54">
        <w:rPr>
          <w:rFonts w:ascii="Arial" w:hAnsi="Arial" w:cs="Arial"/>
          <w:sz w:val="24"/>
          <w:szCs w:val="24"/>
        </w:rPr>
        <w:t xml:space="preserve">S.A. de C.V., SOFOM, E.N.R. –en lo sucesivo MIDEMI- a la Comisión Nacional Bancaria y de Valores de conformidad con lo establecido en la normatividad aplicable en materia de prevención de lavado de dinero y financiamiento al terrorismo, los cuales son: </w:t>
      </w:r>
    </w:p>
    <w:p w14:paraId="33ACDDB8" w14:textId="77777777" w:rsidR="00A31C95" w:rsidRPr="00155A54" w:rsidRDefault="00A31C95" w:rsidP="00155A54">
      <w:pPr>
        <w:spacing w:after="0" w:line="240" w:lineRule="auto"/>
        <w:jc w:val="both"/>
        <w:rPr>
          <w:rFonts w:ascii="Arial" w:hAnsi="Arial" w:cs="Arial"/>
          <w:sz w:val="24"/>
          <w:szCs w:val="24"/>
        </w:rPr>
      </w:pPr>
    </w:p>
    <w:p w14:paraId="09C29D09" w14:textId="77777777" w:rsidR="00A31C95" w:rsidRDefault="00A31C95" w:rsidP="00155A54">
      <w:pPr>
        <w:spacing w:after="0" w:line="240" w:lineRule="auto"/>
        <w:jc w:val="both"/>
        <w:rPr>
          <w:rFonts w:ascii="Arial" w:hAnsi="Arial" w:cs="Arial"/>
          <w:i/>
          <w:sz w:val="24"/>
          <w:szCs w:val="24"/>
        </w:rPr>
      </w:pPr>
      <w:r w:rsidRPr="00155A54">
        <w:rPr>
          <w:rFonts w:ascii="Arial" w:hAnsi="Arial" w:cs="Arial"/>
          <w:i/>
          <w:sz w:val="24"/>
          <w:szCs w:val="24"/>
        </w:rPr>
        <w:t xml:space="preserve">1. </w:t>
      </w:r>
      <w:r w:rsidR="00B77197" w:rsidRPr="00155A54">
        <w:rPr>
          <w:rFonts w:ascii="Arial" w:hAnsi="Arial" w:cs="Arial"/>
          <w:i/>
          <w:sz w:val="24"/>
          <w:szCs w:val="24"/>
        </w:rPr>
        <w:t>Reportes de Operaciones relevantes.</w:t>
      </w:r>
    </w:p>
    <w:p w14:paraId="6B1C45AD" w14:textId="77777777" w:rsidR="00155A54" w:rsidRPr="00155A54" w:rsidRDefault="00155A54" w:rsidP="00155A54">
      <w:pPr>
        <w:spacing w:after="0" w:line="240" w:lineRule="auto"/>
        <w:jc w:val="both"/>
        <w:rPr>
          <w:rFonts w:ascii="Arial" w:hAnsi="Arial" w:cs="Arial"/>
          <w:i/>
          <w:sz w:val="24"/>
          <w:szCs w:val="24"/>
        </w:rPr>
      </w:pPr>
    </w:p>
    <w:p w14:paraId="0A0F16CC" w14:textId="77777777" w:rsidR="00A31C95" w:rsidRPr="00155A54" w:rsidRDefault="00A31C95" w:rsidP="00155A54">
      <w:pPr>
        <w:pStyle w:val="NormalWeb"/>
        <w:spacing w:before="0" w:beforeAutospacing="0" w:after="0" w:afterAutospacing="0"/>
        <w:jc w:val="both"/>
        <w:rPr>
          <w:rFonts w:ascii="Arial" w:hAnsi="Arial"/>
          <w:sz w:val="24"/>
          <w:szCs w:val="24"/>
        </w:rPr>
      </w:pPr>
      <w:r w:rsidRPr="00155A54">
        <w:rPr>
          <w:rFonts w:ascii="Arial" w:hAnsi="Arial" w:cs="Arial"/>
          <w:sz w:val="24"/>
          <w:szCs w:val="24"/>
        </w:rPr>
        <w:t xml:space="preserve">Se considerará como operación relevante a las operación que se realice con los billetes y las monedas metálicas de curso legal en los Estados Unidos Mexicanos o en cualquier otro país, así como con cheques de viajero y monedas acuñadas en platino, oro y plata, por un monto igual o superior al equivalente en moneda nacional a siete mil quinientos dólares de los Estados Unidos de América. </w:t>
      </w:r>
    </w:p>
    <w:p w14:paraId="518653A6" w14:textId="77777777" w:rsidR="00155A54" w:rsidRDefault="00155A54" w:rsidP="00155A54">
      <w:pPr>
        <w:pStyle w:val="NormalWeb"/>
        <w:spacing w:before="0" w:beforeAutospacing="0" w:after="0" w:afterAutospacing="0"/>
        <w:jc w:val="both"/>
        <w:rPr>
          <w:rFonts w:ascii="Arial" w:hAnsi="Arial" w:cs="Arial"/>
          <w:sz w:val="24"/>
          <w:szCs w:val="24"/>
        </w:rPr>
      </w:pPr>
    </w:p>
    <w:p w14:paraId="7FEA503F" w14:textId="77777777" w:rsidR="00A31C95" w:rsidRPr="00155A54" w:rsidRDefault="00A31C95" w:rsidP="00155A54">
      <w:pPr>
        <w:pStyle w:val="NormalWeb"/>
        <w:spacing w:before="0" w:beforeAutospacing="0" w:after="0" w:afterAutospacing="0"/>
        <w:jc w:val="both"/>
        <w:rPr>
          <w:rFonts w:ascii="Arial" w:hAnsi="Arial"/>
          <w:sz w:val="24"/>
          <w:szCs w:val="24"/>
        </w:rPr>
      </w:pPr>
      <w:r w:rsidRPr="00155A54">
        <w:rPr>
          <w:rFonts w:ascii="Arial" w:hAnsi="Arial" w:cs="Arial"/>
          <w:sz w:val="24"/>
          <w:szCs w:val="24"/>
        </w:rPr>
        <w:t xml:space="preserve">Para efectos del cálculo del importe de las operaciones a su equivalente en moneda nacional, se considerará el tipo de cambio para solventar obligaciones denominadas en moneda extranjera pagaderas en la República Mexicana, que publique el Banco de México en el Diario Oficial de la Federación, el día hábil bancario inmediato anterior a la fecha </w:t>
      </w:r>
      <w:r w:rsidR="00EF15E3" w:rsidRPr="00155A54">
        <w:rPr>
          <w:rFonts w:ascii="Arial" w:hAnsi="Arial" w:cs="Arial"/>
          <w:sz w:val="24"/>
          <w:szCs w:val="24"/>
        </w:rPr>
        <w:t xml:space="preserve">en que se realice la operación. </w:t>
      </w:r>
    </w:p>
    <w:p w14:paraId="2943F47A" w14:textId="77777777" w:rsidR="00155A54" w:rsidRDefault="00155A54" w:rsidP="00155A54">
      <w:pPr>
        <w:pStyle w:val="NormalWeb"/>
        <w:spacing w:before="0" w:beforeAutospacing="0" w:after="0" w:afterAutospacing="0"/>
        <w:jc w:val="both"/>
        <w:rPr>
          <w:rFonts w:ascii="Arial" w:hAnsi="Arial" w:cs="Arial"/>
          <w:sz w:val="24"/>
          <w:szCs w:val="24"/>
        </w:rPr>
      </w:pPr>
    </w:p>
    <w:p w14:paraId="5B156D4E" w14:textId="77777777" w:rsidR="00EF15E3" w:rsidRPr="00155A54" w:rsidRDefault="00EF15E3" w:rsidP="00155A54">
      <w:pPr>
        <w:pStyle w:val="NormalWeb"/>
        <w:spacing w:before="0" w:beforeAutospacing="0" w:after="0" w:afterAutospacing="0"/>
        <w:jc w:val="both"/>
        <w:rPr>
          <w:rFonts w:ascii="Arial" w:hAnsi="Arial"/>
          <w:sz w:val="24"/>
          <w:szCs w:val="24"/>
        </w:rPr>
      </w:pPr>
      <w:r w:rsidRPr="00155A54">
        <w:rPr>
          <w:rFonts w:ascii="Arial" w:hAnsi="Arial" w:cs="Arial"/>
          <w:sz w:val="24"/>
          <w:szCs w:val="24"/>
        </w:rPr>
        <w:t xml:space="preserve">Los reportes de operaciones relevantes deberán presentarse dentro de los 10 últimos días hábiles de los meses de enero, abril, julio y octubre de cada año. Tratándose del reporte que MIDEMI deba remitir por operaciones relevantes realizadas a través de cuentas concentradoras, MIDEMI contará con </w:t>
      </w:r>
      <w:r w:rsidR="0083689F" w:rsidRPr="00155A54">
        <w:rPr>
          <w:rFonts w:ascii="Arial" w:hAnsi="Arial" w:cs="Arial"/>
          <w:sz w:val="24"/>
          <w:szCs w:val="24"/>
        </w:rPr>
        <w:t>el plazo señalado en el presente párrafo</w:t>
      </w:r>
      <w:r w:rsidRPr="00155A54">
        <w:rPr>
          <w:rFonts w:ascii="Arial" w:hAnsi="Arial" w:cs="Arial"/>
          <w:sz w:val="24"/>
          <w:szCs w:val="24"/>
        </w:rPr>
        <w:t xml:space="preserve"> a partir de que el </w:t>
      </w:r>
      <w:r w:rsidR="0083689F" w:rsidRPr="00155A54">
        <w:rPr>
          <w:rFonts w:ascii="Arial" w:hAnsi="Arial" w:cs="Arial"/>
          <w:sz w:val="24"/>
          <w:szCs w:val="24"/>
        </w:rPr>
        <w:t>sujeto o</w:t>
      </w:r>
      <w:r w:rsidRPr="00155A54">
        <w:rPr>
          <w:rFonts w:ascii="Arial" w:hAnsi="Arial" w:cs="Arial"/>
          <w:sz w:val="24"/>
          <w:szCs w:val="24"/>
        </w:rPr>
        <w:t xml:space="preserve">bligado ponga a su disposición el estado de cuenta correspondiente. </w:t>
      </w:r>
    </w:p>
    <w:p w14:paraId="600F433E" w14:textId="77777777" w:rsidR="00A31C95" w:rsidRPr="00155A54" w:rsidRDefault="00A31C95" w:rsidP="00155A54">
      <w:pPr>
        <w:spacing w:after="0" w:line="240" w:lineRule="auto"/>
        <w:jc w:val="both"/>
        <w:rPr>
          <w:rFonts w:ascii="Arial" w:hAnsi="Arial" w:cs="Arial"/>
          <w:sz w:val="24"/>
          <w:szCs w:val="24"/>
        </w:rPr>
      </w:pPr>
    </w:p>
    <w:p w14:paraId="44938FAB" w14:textId="77777777" w:rsidR="00B77197" w:rsidRPr="00155A54" w:rsidRDefault="0083689F" w:rsidP="00155A54">
      <w:pPr>
        <w:spacing w:after="0" w:line="240" w:lineRule="auto"/>
        <w:jc w:val="both"/>
        <w:rPr>
          <w:rFonts w:ascii="Arial" w:hAnsi="Arial" w:cs="Arial"/>
          <w:i/>
          <w:sz w:val="24"/>
          <w:szCs w:val="24"/>
        </w:rPr>
      </w:pPr>
      <w:r w:rsidRPr="00155A54">
        <w:rPr>
          <w:rFonts w:ascii="Arial" w:hAnsi="Arial" w:cs="Arial"/>
          <w:i/>
          <w:sz w:val="24"/>
          <w:szCs w:val="24"/>
        </w:rPr>
        <w:t xml:space="preserve">2. </w:t>
      </w:r>
      <w:r w:rsidR="00B77197" w:rsidRPr="00155A54">
        <w:rPr>
          <w:rFonts w:ascii="Arial" w:hAnsi="Arial" w:cs="Arial"/>
          <w:i/>
          <w:sz w:val="24"/>
          <w:szCs w:val="24"/>
        </w:rPr>
        <w:t>Reportes de Operaciones inusuales.</w:t>
      </w:r>
    </w:p>
    <w:p w14:paraId="6BFB6D68" w14:textId="77777777" w:rsidR="0083689F" w:rsidRPr="00155A54" w:rsidRDefault="0083689F" w:rsidP="00155A54">
      <w:pPr>
        <w:spacing w:after="0" w:line="240" w:lineRule="auto"/>
        <w:jc w:val="both"/>
        <w:rPr>
          <w:rFonts w:ascii="Arial" w:hAnsi="Arial" w:cs="Arial"/>
          <w:sz w:val="24"/>
          <w:szCs w:val="24"/>
        </w:rPr>
      </w:pPr>
    </w:p>
    <w:p w14:paraId="27A12A44" w14:textId="77777777" w:rsidR="0083689F" w:rsidRPr="00155A54" w:rsidRDefault="0083689F" w:rsidP="00155A54">
      <w:pPr>
        <w:pStyle w:val="NormalWeb"/>
        <w:spacing w:before="0" w:beforeAutospacing="0" w:after="0" w:afterAutospacing="0"/>
        <w:jc w:val="both"/>
        <w:rPr>
          <w:rFonts w:ascii="Arial" w:hAnsi="Arial" w:cs="Arial"/>
          <w:sz w:val="24"/>
          <w:szCs w:val="24"/>
        </w:rPr>
      </w:pPr>
      <w:r w:rsidRPr="00155A54">
        <w:rPr>
          <w:rFonts w:ascii="Arial" w:hAnsi="Arial" w:cs="Arial"/>
          <w:sz w:val="24"/>
          <w:szCs w:val="24"/>
        </w:rPr>
        <w:t xml:space="preserve">Se considerará como operación inusual a la operación, actividad, conducta o comportamiento de un cliente que no concuerde con los antecedentes o actividad conocida por MIDEMI o declarada a ésta, o con el perfil transaccional inicial o habitual de dicho cliente, en función al origen o destino de los recursos, así como al monto, frecuencia, tipo o naturaleza de la operación de que se trate, sin que exista una justificación razonable para dicha operación, actividad, conducta o comportamiento, o bien, aquella operación, actividad, conducta o comportamiento que un cliente o usuario realice o pretenda realizar con MIDEMI en la que, por cualquier causa, ésta considere que los recursos correspondientes pudieran ubicarse en alguno de los supuestos previstos en los artículos 139 Quáter o 400 Bis del Código Penal Federal, para efectos de lo anterior, se deberá considerar lo siguiente: </w:t>
      </w:r>
    </w:p>
    <w:p w14:paraId="6CDF335D"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Las condiciones específicas, antecedentes y clasificación de cada uno de sus clientes, su actividad profesional, giro mercantil u objeto social correspondiente.</w:t>
      </w:r>
    </w:p>
    <w:p w14:paraId="49C26D9F"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Los tipos, montos, frecuencia y naturaleza de las operaciones que comúnmente realicen sus clientes, su relación con sus propios antecedentes y la actividad económica conocida del cliente.</w:t>
      </w:r>
    </w:p>
    <w:p w14:paraId="42F449E6"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Los montos inusualmente elevados, la complejidad y las modalidades no habituales de las transacciones que realizan los clientes.</w:t>
      </w:r>
    </w:p>
    <w:p w14:paraId="30C3CDEE" w14:textId="77777777" w:rsidR="0083689F" w:rsidRPr="00155A54" w:rsidRDefault="0083689F" w:rsidP="00155A54">
      <w:pPr>
        <w:pStyle w:val="Prrafodelista"/>
        <w:numPr>
          <w:ilvl w:val="0"/>
          <w:numId w:val="3"/>
        </w:numPr>
        <w:spacing w:after="0" w:line="240" w:lineRule="auto"/>
        <w:ind w:left="426" w:hanging="426"/>
        <w:jc w:val="both"/>
        <w:rPr>
          <w:rFonts w:ascii="Arial" w:hAnsi="Arial" w:cs="Arial"/>
          <w:sz w:val="24"/>
          <w:szCs w:val="24"/>
          <w:lang w:eastAsia="es-ES"/>
        </w:rPr>
      </w:pPr>
      <w:r w:rsidRPr="00155A54">
        <w:rPr>
          <w:rFonts w:ascii="Arial" w:hAnsi="Arial" w:cs="Arial"/>
          <w:sz w:val="24"/>
          <w:szCs w:val="24"/>
          <w:lang w:eastAsia="es-ES"/>
        </w:rPr>
        <w:t xml:space="preserve">Las operaciones vinculadas a un mismo contrato, así como aquellas llevadas a cabo por un mismo usuario con moneda extranjera, cheques de viajero y monedas acuñadas en platino, oro y plata, por montos múltiples o fraccionados que, por cada operación individual, sean iguales o superen el equivalente a quinientos dólares de los Estados Unidos de América, realizadas en un mismo mes calendario que sumen, al menos, la cantidad de siete mil quinientos dólares de los Estados Unidos de América o su equivalente en la moneda de que se trate, siempre que las mismas no correspondan al perfil transaccional del cliente o que, respecto de aquellas realizadas por Usuarios, se pueda inferir de su estructuración una posible intención de fraccionar las operaciones para evitar ser detectadas por </w:t>
      </w:r>
      <w:r w:rsidRPr="00155A54">
        <w:rPr>
          <w:rFonts w:ascii="Arial" w:hAnsi="Arial" w:cs="Arial"/>
          <w:color w:val="000000"/>
          <w:sz w:val="24"/>
          <w:szCs w:val="24"/>
        </w:rPr>
        <w:t xml:space="preserve">MIDEMI, </w:t>
      </w:r>
      <w:r w:rsidRPr="00155A54">
        <w:rPr>
          <w:rFonts w:ascii="Arial" w:hAnsi="Arial" w:cs="Arial"/>
          <w:sz w:val="24"/>
          <w:szCs w:val="24"/>
          <w:lang w:eastAsia="es-ES"/>
        </w:rPr>
        <w:t>para efectos de las Disposiciones.</w:t>
      </w:r>
    </w:p>
    <w:p w14:paraId="62BFE0FA"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Los usos y prácticas crediticias, mercantiles y cambiarias que priven en la plaza en que operen.</w:t>
      </w:r>
    </w:p>
    <w:p w14:paraId="7626B587"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los clientes se nieguen a proporcionar los documentos de identificación o cuando se detecte que presentan información apócrifa.</w:t>
      </w:r>
    </w:p>
    <w:p w14:paraId="460EECA9"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los clientes intenten sobornar o intimidar al personal o empleados de MIDEMI, con el propósito de lograr su cooperación para que se realicen actividades u operaciones inusuales o se contravengan las Disposiciones, otras normas legales o a los criterios establecidos en el presente Manual.</w:t>
      </w:r>
    </w:p>
    <w:p w14:paraId="4599E989"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los clientes notoriamente pretenden evadir los parámetros con que cuentan MIDEMI, y/o sus Empleados, para reportar las operaciones a que se refieren las Disposiciones.</w:t>
      </w:r>
    </w:p>
    <w:p w14:paraId="3CA0F3F4"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 xml:space="preserve">Cuando se presenten indicios o hechos extraordinarios de difícil explicación, que den lugar a cualquier tipo de suspicacia sobre el origen, manejo o destino de los recursos, o cuando existan sospechas de que dichos indicios o hechos </w:t>
      </w:r>
      <w:r w:rsidRPr="00155A54">
        <w:rPr>
          <w:rFonts w:ascii="Arial" w:hAnsi="Arial" w:cs="Arial"/>
          <w:color w:val="000000"/>
          <w:sz w:val="24"/>
          <w:szCs w:val="24"/>
        </w:rPr>
        <w:lastRenderedPageBreak/>
        <w:t>pudieran estar relacionados con actos, omisiones u operaciones que pudieran favorecer, prestar ayuda, auxilio o cooperación de cualquier especie para la comisión del delito previsto en los artículos 139 Quáter del Código Penal Federal o que pudiesen ubicarse en los supuestos del artículo 400 Bis del mismo ordenamiento legal.</w:t>
      </w:r>
    </w:p>
    <w:p w14:paraId="05BBA08D"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las operaciones que los clientes pretenden realizar involucran países y jurisdicciones: (i) Que la legislación mexicana considera que aplican regímenes fiscales  preferentes, o (ii) Que a juicio de las autoridades mexicanas, organismos internacionales de los que México sea miembro, no cuentan con medidas para prevenir, detectar y combatir operaciones con recursos de procedencia ilícita, o el financiamiento al terrorismo, o bien, la aplicación de dichas medidas sea deficiente.</w:t>
      </w:r>
    </w:p>
    <w:p w14:paraId="0A0AEA96"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se presuma o existan dudas de que un cliente opera en beneficio, por encargo o a cuenta de un tercero, sin que lo haya declarado a MIDEMI</w:t>
      </w:r>
    </w:p>
    <w:p w14:paraId="5FD63A28"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Las condiciones bajo las cuales operan otros clientes que hayan señalado dedicarse a la misma actividad, profesión o giro mercantil, o tener el mismo objeto social.</w:t>
      </w:r>
    </w:p>
    <w:p w14:paraId="3881FD2E" w14:textId="77777777" w:rsidR="0083689F" w:rsidRPr="00155A54" w:rsidRDefault="0083689F" w:rsidP="00155A54">
      <w:pPr>
        <w:pStyle w:val="Prrafodelista"/>
        <w:numPr>
          <w:ilvl w:val="0"/>
          <w:numId w:val="3"/>
        </w:numPr>
        <w:autoSpaceDE w:val="0"/>
        <w:autoSpaceDN w:val="0"/>
        <w:adjustRightInd w:val="0"/>
        <w:spacing w:after="0" w:line="240" w:lineRule="auto"/>
        <w:ind w:left="426" w:hanging="426"/>
        <w:jc w:val="both"/>
        <w:rPr>
          <w:rFonts w:ascii="Arial" w:hAnsi="Arial" w:cs="Arial"/>
          <w:color w:val="000000"/>
          <w:sz w:val="24"/>
          <w:szCs w:val="24"/>
        </w:rPr>
      </w:pPr>
      <w:r w:rsidRPr="00155A54">
        <w:rPr>
          <w:rFonts w:ascii="Arial" w:hAnsi="Arial" w:cs="Arial"/>
          <w:color w:val="000000"/>
          <w:sz w:val="24"/>
          <w:szCs w:val="24"/>
        </w:rPr>
        <w:t>Cuando se pretendan realizar operaciones por parte de clientes que se encuentren dentro de la lista de personas bloqueadas.</w:t>
      </w:r>
    </w:p>
    <w:p w14:paraId="2F06B8C0" w14:textId="77777777" w:rsidR="00155A54" w:rsidRDefault="00155A54" w:rsidP="00155A54">
      <w:pPr>
        <w:pStyle w:val="NormalWeb"/>
        <w:spacing w:before="0" w:beforeAutospacing="0" w:after="0" w:afterAutospacing="0"/>
        <w:jc w:val="both"/>
        <w:rPr>
          <w:rFonts w:ascii="Arial" w:hAnsi="Arial" w:cs="Arial"/>
          <w:sz w:val="24"/>
          <w:szCs w:val="24"/>
        </w:rPr>
      </w:pPr>
    </w:p>
    <w:p w14:paraId="6DDA8FB8" w14:textId="77777777" w:rsidR="002C5829" w:rsidRPr="00155A54" w:rsidRDefault="0083689F" w:rsidP="00155A54">
      <w:pPr>
        <w:pStyle w:val="NormalWeb"/>
        <w:spacing w:before="0" w:beforeAutospacing="0" w:after="0" w:afterAutospacing="0"/>
        <w:jc w:val="both"/>
        <w:rPr>
          <w:rFonts w:ascii="Arial" w:hAnsi="Arial"/>
          <w:sz w:val="24"/>
          <w:szCs w:val="24"/>
        </w:rPr>
      </w:pPr>
      <w:r w:rsidRPr="00155A54">
        <w:rPr>
          <w:rFonts w:ascii="Arial" w:hAnsi="Arial" w:cs="Arial"/>
          <w:sz w:val="24"/>
          <w:szCs w:val="24"/>
        </w:rPr>
        <w:t xml:space="preserve">El reporte se deberá remitir a la CNBV a través del SITI dentro </w:t>
      </w:r>
      <w:r w:rsidR="002C5829" w:rsidRPr="00155A54">
        <w:rPr>
          <w:rFonts w:ascii="Arial" w:hAnsi="Arial" w:cs="Arial"/>
          <w:sz w:val="24"/>
          <w:szCs w:val="24"/>
        </w:rPr>
        <w:t xml:space="preserve">de los tres días hábiles siguientes contados a partir de que concluya la sesión del Oficial de Cumplimiento que la dictamine como tal. Para efectos de llevar a cabo el dictamen en cuestión, MIDEMI a través de su Oficial de Cumplimiento, contará con un periodo que no excederá de sesenta días naturales contados a partir de que se genere la alerta por medio de su sistema, modelo, proceso o por el empleado de MIDEMI, lo que ocurra primero. </w:t>
      </w:r>
    </w:p>
    <w:p w14:paraId="2FEA5BB8" w14:textId="77777777" w:rsidR="00155A54" w:rsidRDefault="00155A54" w:rsidP="00155A54">
      <w:pPr>
        <w:pStyle w:val="NormalWeb"/>
        <w:spacing w:before="0" w:beforeAutospacing="0" w:after="0" w:afterAutospacing="0"/>
        <w:jc w:val="both"/>
        <w:rPr>
          <w:rFonts w:ascii="Arial" w:hAnsi="Arial" w:cs="Arial"/>
          <w:i/>
          <w:sz w:val="24"/>
          <w:szCs w:val="24"/>
        </w:rPr>
      </w:pPr>
    </w:p>
    <w:p w14:paraId="74C88704" w14:textId="77777777" w:rsidR="0083689F" w:rsidRPr="00155A54" w:rsidRDefault="002C5829" w:rsidP="00155A54">
      <w:pPr>
        <w:pStyle w:val="NormalWeb"/>
        <w:spacing w:before="0" w:beforeAutospacing="0" w:after="0" w:afterAutospacing="0"/>
        <w:jc w:val="both"/>
        <w:rPr>
          <w:rFonts w:ascii="Arial" w:hAnsi="Arial" w:cs="Arial"/>
          <w:i/>
          <w:sz w:val="24"/>
          <w:szCs w:val="24"/>
        </w:rPr>
      </w:pPr>
      <w:r w:rsidRPr="00155A54">
        <w:rPr>
          <w:rFonts w:ascii="Arial" w:hAnsi="Arial" w:cs="Arial"/>
          <w:i/>
          <w:sz w:val="24"/>
          <w:szCs w:val="24"/>
        </w:rPr>
        <w:t xml:space="preserve">3. Reporte 24 horas. </w:t>
      </w:r>
    </w:p>
    <w:p w14:paraId="4CCD5DA3" w14:textId="77777777" w:rsidR="00155A54" w:rsidRDefault="00155A54" w:rsidP="00155A54">
      <w:pPr>
        <w:spacing w:after="0" w:line="240" w:lineRule="auto"/>
        <w:jc w:val="both"/>
        <w:rPr>
          <w:rFonts w:ascii="Arial" w:eastAsiaTheme="minorHAnsi" w:hAnsi="Arial" w:cs="Arial"/>
          <w:sz w:val="24"/>
          <w:szCs w:val="24"/>
          <w:lang w:eastAsia="es-ES"/>
        </w:rPr>
      </w:pPr>
    </w:p>
    <w:p w14:paraId="5ECA1EA2" w14:textId="77777777" w:rsidR="00155A54" w:rsidRPr="00155A54" w:rsidRDefault="002C5829" w:rsidP="00155A54">
      <w:pPr>
        <w:pStyle w:val="Prrafodelista"/>
        <w:numPr>
          <w:ilvl w:val="0"/>
          <w:numId w:val="4"/>
        </w:numPr>
        <w:spacing w:after="0" w:line="240" w:lineRule="auto"/>
        <w:ind w:left="426" w:hanging="426"/>
        <w:jc w:val="both"/>
        <w:rPr>
          <w:rFonts w:ascii="Arial" w:eastAsiaTheme="minorHAnsi" w:hAnsi="Arial"/>
          <w:sz w:val="24"/>
          <w:szCs w:val="24"/>
          <w:lang w:eastAsia="es-ES"/>
        </w:rPr>
      </w:pPr>
      <w:r w:rsidRPr="00155A54">
        <w:rPr>
          <w:rFonts w:ascii="Arial" w:eastAsiaTheme="minorHAnsi" w:hAnsi="Arial" w:cs="Arial"/>
          <w:sz w:val="24"/>
          <w:szCs w:val="24"/>
          <w:lang w:eastAsia="es-ES"/>
        </w:rPr>
        <w:t>En caso de que MIDEMI cuente con información basada en indicios o hechos concretos de qu</w:t>
      </w:r>
      <w:r w:rsidR="00155A54" w:rsidRPr="00155A54">
        <w:rPr>
          <w:rFonts w:ascii="Arial" w:eastAsiaTheme="minorHAnsi" w:hAnsi="Arial" w:cs="Arial"/>
          <w:sz w:val="24"/>
          <w:szCs w:val="24"/>
          <w:lang w:eastAsia="es-ES"/>
        </w:rPr>
        <w:t>e, al pretenderse realizar una o</w:t>
      </w:r>
      <w:r w:rsidRPr="00155A54">
        <w:rPr>
          <w:rFonts w:ascii="Arial" w:eastAsiaTheme="minorHAnsi" w:hAnsi="Arial" w:cs="Arial"/>
          <w:sz w:val="24"/>
          <w:szCs w:val="24"/>
          <w:lang w:eastAsia="es-ES"/>
        </w:rPr>
        <w:t>peración, los recursos pudieren provenir de actividades ilícitas o pudieren estar destinados a favorecer, prestar ayuda, auxilio o cooperación de cualquier especie para la comisión del delit</w:t>
      </w:r>
      <w:r w:rsidR="00155A54" w:rsidRPr="00155A54">
        <w:rPr>
          <w:rFonts w:ascii="Arial" w:eastAsiaTheme="minorHAnsi" w:hAnsi="Arial" w:cs="Arial"/>
          <w:sz w:val="24"/>
          <w:szCs w:val="24"/>
          <w:lang w:eastAsia="es-ES"/>
        </w:rPr>
        <w:t>o previsto en el artículo 139 q</w:t>
      </w:r>
      <w:r w:rsidRPr="00155A54">
        <w:rPr>
          <w:rFonts w:ascii="Arial" w:eastAsiaTheme="minorHAnsi" w:hAnsi="Arial" w:cs="Arial"/>
          <w:sz w:val="24"/>
          <w:szCs w:val="24"/>
          <w:lang w:eastAsia="es-ES"/>
        </w:rPr>
        <w:t>uáter del Código Penal Federal, o que pudiesen ubicarse en l</w:t>
      </w:r>
      <w:r w:rsidR="00155A54" w:rsidRPr="00155A54">
        <w:rPr>
          <w:rFonts w:ascii="Arial" w:eastAsiaTheme="minorHAnsi" w:hAnsi="Arial" w:cs="Arial"/>
          <w:sz w:val="24"/>
          <w:szCs w:val="24"/>
          <w:lang w:eastAsia="es-ES"/>
        </w:rPr>
        <w:t>os supuestos del artículo 400 b</w:t>
      </w:r>
      <w:r w:rsidRPr="00155A54">
        <w:rPr>
          <w:rFonts w:ascii="Arial" w:eastAsiaTheme="minorHAnsi" w:hAnsi="Arial" w:cs="Arial"/>
          <w:sz w:val="24"/>
          <w:szCs w:val="24"/>
          <w:lang w:eastAsia="es-ES"/>
        </w:rPr>
        <w:t xml:space="preserve">is del mismo ordenamiento legal, </w:t>
      </w:r>
      <w:r w:rsidR="00155A54" w:rsidRPr="00155A54">
        <w:rPr>
          <w:rFonts w:ascii="Arial" w:eastAsiaTheme="minorHAnsi" w:hAnsi="Arial" w:cs="Arial"/>
          <w:sz w:val="24"/>
          <w:szCs w:val="24"/>
          <w:lang w:eastAsia="es-ES"/>
        </w:rPr>
        <w:t>MIDEMI</w:t>
      </w:r>
      <w:r w:rsidRPr="00155A54">
        <w:rPr>
          <w:rFonts w:ascii="Arial" w:eastAsiaTheme="minorHAnsi" w:hAnsi="Arial" w:cs="Arial"/>
          <w:sz w:val="24"/>
          <w:szCs w:val="24"/>
          <w:lang w:eastAsia="es-ES"/>
        </w:rPr>
        <w:t>, en el even</w:t>
      </w:r>
      <w:r w:rsidR="00155A54" w:rsidRPr="00155A54">
        <w:rPr>
          <w:rFonts w:ascii="Arial" w:eastAsiaTheme="minorHAnsi" w:hAnsi="Arial" w:cs="Arial"/>
          <w:sz w:val="24"/>
          <w:szCs w:val="24"/>
          <w:lang w:eastAsia="es-ES"/>
        </w:rPr>
        <w:t>to en que decida aceptar dicha o</w:t>
      </w:r>
      <w:r w:rsidRPr="00155A54">
        <w:rPr>
          <w:rFonts w:ascii="Arial" w:eastAsiaTheme="minorHAnsi" w:hAnsi="Arial" w:cs="Arial"/>
          <w:sz w:val="24"/>
          <w:szCs w:val="24"/>
          <w:lang w:eastAsia="es-ES"/>
        </w:rPr>
        <w:t>peración, deberá remitir a la</w:t>
      </w:r>
      <w:r w:rsidR="00155A54" w:rsidRPr="00155A54">
        <w:rPr>
          <w:rFonts w:ascii="Arial" w:eastAsiaTheme="minorHAnsi" w:hAnsi="Arial" w:cs="Arial"/>
          <w:sz w:val="24"/>
          <w:szCs w:val="24"/>
          <w:lang w:eastAsia="es-ES"/>
        </w:rPr>
        <w:t xml:space="preserve"> Comisión Nacional Bancaria y de Valores</w:t>
      </w:r>
      <w:r w:rsidRPr="00155A54">
        <w:rPr>
          <w:rFonts w:ascii="Arial" w:eastAsiaTheme="minorHAnsi" w:hAnsi="Arial" w:cs="Arial"/>
          <w:sz w:val="24"/>
          <w:szCs w:val="24"/>
          <w:lang w:eastAsia="es-ES"/>
        </w:rPr>
        <w:t>, dentro de las 24 horas contadas a partir de que conozca dic</w:t>
      </w:r>
      <w:r w:rsidR="00155A54" w:rsidRPr="00155A54">
        <w:rPr>
          <w:rFonts w:ascii="Arial" w:eastAsiaTheme="minorHAnsi" w:hAnsi="Arial" w:cs="Arial"/>
          <w:sz w:val="24"/>
          <w:szCs w:val="24"/>
          <w:lang w:eastAsia="es-ES"/>
        </w:rPr>
        <w:t>ha información, un reporte de operación i</w:t>
      </w:r>
      <w:r w:rsidRPr="00155A54">
        <w:rPr>
          <w:rFonts w:ascii="Arial" w:eastAsiaTheme="minorHAnsi" w:hAnsi="Arial" w:cs="Arial"/>
          <w:sz w:val="24"/>
          <w:szCs w:val="24"/>
          <w:lang w:eastAsia="es-ES"/>
        </w:rPr>
        <w:t>nusual, en el que, en la</w:t>
      </w:r>
      <w:r w:rsidR="00155A54" w:rsidRPr="00155A54">
        <w:rPr>
          <w:rFonts w:ascii="Arial" w:eastAsiaTheme="minorHAnsi" w:hAnsi="Arial" w:cs="Arial"/>
          <w:sz w:val="24"/>
          <w:szCs w:val="24"/>
          <w:lang w:eastAsia="es-ES"/>
        </w:rPr>
        <w:t xml:space="preserve"> columna de descripción de la o</w:t>
      </w:r>
      <w:r w:rsidRPr="00155A54">
        <w:rPr>
          <w:rFonts w:ascii="Arial" w:eastAsiaTheme="minorHAnsi" w:hAnsi="Arial" w:cs="Arial"/>
          <w:sz w:val="24"/>
          <w:szCs w:val="24"/>
          <w:lang w:eastAsia="es-ES"/>
        </w:rPr>
        <w:t>peración, se deberá insertar la leyenda “Reporte de 24 horas”. De igual form</w:t>
      </w:r>
      <w:r w:rsidR="00155A54" w:rsidRPr="00155A54">
        <w:rPr>
          <w:rFonts w:ascii="Arial" w:eastAsiaTheme="minorHAnsi" w:hAnsi="Arial" w:cs="Arial"/>
          <w:sz w:val="24"/>
          <w:szCs w:val="24"/>
          <w:lang w:eastAsia="es-ES"/>
        </w:rPr>
        <w:t>a, en aquellos casos en que el cliente o u</w:t>
      </w:r>
      <w:r w:rsidRPr="00155A54">
        <w:rPr>
          <w:rFonts w:ascii="Arial" w:eastAsiaTheme="minorHAnsi" w:hAnsi="Arial" w:cs="Arial"/>
          <w:sz w:val="24"/>
          <w:szCs w:val="24"/>
          <w:lang w:eastAsia="es-ES"/>
        </w:rPr>
        <w:t>suario</w:t>
      </w:r>
      <w:r w:rsidR="00155A54" w:rsidRPr="00155A54">
        <w:rPr>
          <w:rFonts w:ascii="Arial" w:eastAsiaTheme="minorHAnsi" w:hAnsi="Arial" w:cs="Arial"/>
          <w:sz w:val="24"/>
          <w:szCs w:val="24"/>
          <w:lang w:eastAsia="es-ES"/>
        </w:rPr>
        <w:t xml:space="preserve"> respectivo no lleve a cabo la o</w:t>
      </w:r>
      <w:r w:rsidRPr="00155A54">
        <w:rPr>
          <w:rFonts w:ascii="Arial" w:eastAsiaTheme="minorHAnsi" w:hAnsi="Arial" w:cs="Arial"/>
          <w:sz w:val="24"/>
          <w:szCs w:val="24"/>
          <w:lang w:eastAsia="es-ES"/>
        </w:rPr>
        <w:t xml:space="preserve">peración a que se refiere este párrafo, </w:t>
      </w:r>
      <w:r w:rsidR="00155A54" w:rsidRPr="00155A54">
        <w:rPr>
          <w:rFonts w:ascii="Arial" w:eastAsiaTheme="minorHAnsi" w:hAnsi="Arial" w:cs="Arial"/>
          <w:sz w:val="24"/>
          <w:szCs w:val="24"/>
          <w:lang w:eastAsia="es-ES"/>
        </w:rPr>
        <w:t>MIDEMI</w:t>
      </w:r>
      <w:r w:rsidRPr="00155A54">
        <w:rPr>
          <w:rFonts w:ascii="Arial" w:eastAsiaTheme="minorHAnsi" w:hAnsi="Arial" w:cs="Arial"/>
          <w:sz w:val="24"/>
          <w:szCs w:val="24"/>
          <w:lang w:eastAsia="es-ES"/>
        </w:rPr>
        <w:t xml:space="preserve"> deberá presentar a la Secretaría, por conducto</w:t>
      </w:r>
      <w:r w:rsidR="00155A54" w:rsidRPr="00155A54">
        <w:rPr>
          <w:rFonts w:ascii="Arial" w:eastAsiaTheme="minorHAnsi" w:hAnsi="Arial" w:cs="Arial"/>
          <w:sz w:val="24"/>
          <w:szCs w:val="24"/>
          <w:lang w:eastAsia="es-ES"/>
        </w:rPr>
        <w:t xml:space="preserve"> del Supervisor, el reporte de operación i</w:t>
      </w:r>
      <w:r w:rsidRPr="00155A54">
        <w:rPr>
          <w:rFonts w:ascii="Arial" w:eastAsiaTheme="minorHAnsi" w:hAnsi="Arial" w:cs="Arial"/>
          <w:sz w:val="24"/>
          <w:szCs w:val="24"/>
          <w:lang w:eastAsia="es-ES"/>
        </w:rPr>
        <w:t xml:space="preserve">nusual en los términos señalados en </w:t>
      </w:r>
      <w:r w:rsidR="00155A54" w:rsidRPr="00155A54">
        <w:rPr>
          <w:rFonts w:ascii="Arial" w:eastAsiaTheme="minorHAnsi" w:hAnsi="Arial" w:cs="Arial"/>
          <w:sz w:val="24"/>
          <w:szCs w:val="24"/>
          <w:lang w:eastAsia="es-ES"/>
        </w:rPr>
        <w:t>el presente inciso y, respecto de dichos u</w:t>
      </w:r>
      <w:r w:rsidRPr="00155A54">
        <w:rPr>
          <w:rFonts w:ascii="Arial" w:eastAsiaTheme="minorHAnsi" w:hAnsi="Arial" w:cs="Arial"/>
          <w:sz w:val="24"/>
          <w:szCs w:val="24"/>
          <w:lang w:eastAsia="es-ES"/>
        </w:rPr>
        <w:t xml:space="preserve">suarios, proporcionará, en su caso, toda la información que sobre ellos haya conocido. </w:t>
      </w:r>
    </w:p>
    <w:p w14:paraId="6AC408F2" w14:textId="0B062856" w:rsidR="002C5829" w:rsidRPr="00155A54" w:rsidRDefault="002C5829" w:rsidP="00155A54">
      <w:pPr>
        <w:pStyle w:val="Prrafodelista"/>
        <w:numPr>
          <w:ilvl w:val="0"/>
          <w:numId w:val="4"/>
        </w:numPr>
        <w:spacing w:after="0" w:line="240" w:lineRule="auto"/>
        <w:ind w:left="426" w:hanging="426"/>
        <w:jc w:val="both"/>
        <w:rPr>
          <w:rFonts w:ascii="Arial" w:eastAsiaTheme="minorHAnsi" w:hAnsi="Arial"/>
          <w:sz w:val="24"/>
          <w:szCs w:val="24"/>
          <w:lang w:eastAsia="es-ES"/>
        </w:rPr>
      </w:pPr>
      <w:r w:rsidRPr="00155A54">
        <w:rPr>
          <w:rFonts w:ascii="Arial" w:eastAsiaTheme="minorHAnsi" w:hAnsi="Arial" w:cs="Arial"/>
          <w:sz w:val="24"/>
          <w:szCs w:val="24"/>
          <w:lang w:eastAsia="es-ES"/>
        </w:rPr>
        <w:lastRenderedPageBreak/>
        <w:t xml:space="preserve">Asimismo, </w:t>
      </w:r>
      <w:r w:rsidR="00155A54" w:rsidRPr="00155A54">
        <w:rPr>
          <w:rFonts w:ascii="Arial" w:eastAsiaTheme="minorHAnsi" w:hAnsi="Arial" w:cs="Arial"/>
          <w:sz w:val="24"/>
          <w:szCs w:val="24"/>
          <w:lang w:eastAsia="es-ES"/>
        </w:rPr>
        <w:t>MIDEMI deberá reportar como operación i</w:t>
      </w:r>
      <w:r w:rsidRPr="00155A54">
        <w:rPr>
          <w:rFonts w:ascii="Arial" w:eastAsiaTheme="minorHAnsi" w:hAnsi="Arial" w:cs="Arial"/>
          <w:sz w:val="24"/>
          <w:szCs w:val="24"/>
          <w:lang w:eastAsia="es-ES"/>
        </w:rPr>
        <w:t xml:space="preserve">nusual, dentro del plazo señalado en el </w:t>
      </w:r>
      <w:r w:rsidR="00155A54" w:rsidRPr="00155A54">
        <w:rPr>
          <w:rFonts w:ascii="Arial" w:eastAsiaTheme="minorHAnsi" w:hAnsi="Arial" w:cs="Arial"/>
          <w:sz w:val="24"/>
          <w:szCs w:val="24"/>
          <w:lang w:eastAsia="es-ES"/>
        </w:rPr>
        <w:t xml:space="preserve">inciso </w:t>
      </w:r>
      <w:r w:rsidRPr="00155A54">
        <w:rPr>
          <w:rFonts w:ascii="Arial" w:eastAsiaTheme="minorHAnsi" w:hAnsi="Arial" w:cs="Arial"/>
          <w:sz w:val="24"/>
          <w:szCs w:val="24"/>
          <w:lang w:eastAsia="es-ES"/>
        </w:rPr>
        <w:t>anterior, c</w:t>
      </w:r>
      <w:r w:rsidR="00155A54" w:rsidRPr="00155A54">
        <w:rPr>
          <w:rFonts w:ascii="Arial" w:eastAsiaTheme="minorHAnsi" w:hAnsi="Arial" w:cs="Arial"/>
          <w:sz w:val="24"/>
          <w:szCs w:val="24"/>
          <w:lang w:eastAsia="es-ES"/>
        </w:rPr>
        <w:t>uando haya celebrado cualquier o</w:t>
      </w:r>
      <w:r w:rsidRPr="00155A54">
        <w:rPr>
          <w:rFonts w:ascii="Arial" w:eastAsiaTheme="minorHAnsi" w:hAnsi="Arial" w:cs="Arial"/>
          <w:sz w:val="24"/>
          <w:szCs w:val="24"/>
          <w:lang w:eastAsia="es-ES"/>
        </w:rPr>
        <w:t xml:space="preserve">peración con anterioridad a la fecha en que la Lista de Personas Bloqueadas le hubiese sido notificada; cuando tales personas pretendan realizar operaciones a partir de esa fecha, o cuando terceros pretendan efectuarlas en favor, a cuenta o en nombre de personas </w:t>
      </w:r>
      <w:r w:rsidR="00155A54" w:rsidRPr="00155A54">
        <w:rPr>
          <w:rFonts w:ascii="Arial" w:eastAsiaTheme="minorHAnsi" w:hAnsi="Arial" w:cs="Arial"/>
          <w:sz w:val="24"/>
          <w:szCs w:val="24"/>
          <w:lang w:eastAsia="es-ES"/>
        </w:rPr>
        <w:t>que se encuentren en la citada l</w:t>
      </w:r>
      <w:r w:rsidRPr="00155A54">
        <w:rPr>
          <w:rFonts w:ascii="Arial" w:eastAsiaTheme="minorHAnsi" w:hAnsi="Arial" w:cs="Arial"/>
          <w:sz w:val="24"/>
          <w:szCs w:val="24"/>
          <w:lang w:eastAsia="es-ES"/>
        </w:rPr>
        <w:t xml:space="preserve">ista. </w:t>
      </w:r>
    </w:p>
    <w:p w14:paraId="06462BE9" w14:textId="77777777" w:rsidR="00155A54" w:rsidRPr="00155A54" w:rsidRDefault="00155A54" w:rsidP="00155A54">
      <w:pPr>
        <w:pStyle w:val="Prrafodelista"/>
        <w:spacing w:after="0" w:line="240" w:lineRule="auto"/>
        <w:jc w:val="both"/>
        <w:rPr>
          <w:rFonts w:ascii="Arial" w:eastAsiaTheme="minorHAnsi" w:hAnsi="Arial"/>
          <w:sz w:val="24"/>
          <w:szCs w:val="24"/>
          <w:lang w:eastAsia="es-ES"/>
        </w:rPr>
      </w:pPr>
    </w:p>
    <w:p w14:paraId="51E9EC2E" w14:textId="21633C79" w:rsidR="00B77197" w:rsidRPr="00155A54" w:rsidRDefault="00155A54" w:rsidP="007F5E3A">
      <w:pPr>
        <w:spacing w:after="0" w:line="240" w:lineRule="auto"/>
        <w:jc w:val="both"/>
        <w:rPr>
          <w:rFonts w:ascii="Arial" w:hAnsi="Arial" w:cs="Arial"/>
          <w:i/>
          <w:sz w:val="24"/>
          <w:szCs w:val="24"/>
        </w:rPr>
      </w:pPr>
      <w:r w:rsidRPr="00155A54">
        <w:rPr>
          <w:rFonts w:ascii="Arial" w:hAnsi="Arial" w:cs="Arial"/>
          <w:i/>
          <w:sz w:val="24"/>
          <w:szCs w:val="24"/>
        </w:rPr>
        <w:t xml:space="preserve">4. </w:t>
      </w:r>
      <w:r w:rsidR="00B77197" w:rsidRPr="00155A54">
        <w:rPr>
          <w:rFonts w:ascii="Arial" w:hAnsi="Arial" w:cs="Arial"/>
          <w:i/>
          <w:sz w:val="24"/>
          <w:szCs w:val="24"/>
        </w:rPr>
        <w:t>Reportes de Operaciones internas preocupantes.</w:t>
      </w:r>
    </w:p>
    <w:p w14:paraId="1616942E" w14:textId="77777777" w:rsidR="001347B1" w:rsidRPr="00155A54" w:rsidRDefault="001347B1" w:rsidP="007F5E3A">
      <w:pPr>
        <w:spacing w:after="0" w:line="240" w:lineRule="auto"/>
        <w:jc w:val="both"/>
        <w:rPr>
          <w:rFonts w:ascii="Arial" w:hAnsi="Arial" w:cs="Arial"/>
          <w:sz w:val="24"/>
          <w:szCs w:val="24"/>
        </w:rPr>
      </w:pPr>
    </w:p>
    <w:p w14:paraId="525C0A73" w14:textId="0D3B04B9" w:rsidR="007F5E3A" w:rsidRDefault="007F5E3A" w:rsidP="007F5E3A">
      <w:pPr>
        <w:pStyle w:val="NormalWeb"/>
        <w:spacing w:before="0" w:beforeAutospacing="0" w:after="0" w:afterAutospacing="0"/>
        <w:jc w:val="both"/>
        <w:rPr>
          <w:rFonts w:ascii="Arial" w:hAnsi="Arial"/>
          <w:sz w:val="24"/>
          <w:szCs w:val="24"/>
        </w:rPr>
      </w:pPr>
      <w:r w:rsidRPr="007F5E3A">
        <w:rPr>
          <w:rFonts w:ascii="Arial" w:hAnsi="Arial"/>
          <w:sz w:val="24"/>
          <w:szCs w:val="24"/>
        </w:rPr>
        <w:t>Se entenderá como operación interna preocupante a la operación, actividad, conducta o comportamiento de cualquiera de los accionistas, socios, directivos, funcionarios, apoderados y empleados de MIDEMI de que se trate con independencia del régimen laboral bajo el que presten sus servicios, así como de quienes ejerzan el control de MIDEMI que, por sus características, pudiera contravenir, vulnerar o evadir la aplicación de lo dispuesto por la Ley General de Organizaciones y Actividades Auxiliares del Crédito, las Disposiciones o aquella que, por cualquier otra causa, resulte dubitativa para MIDEMI por considerar que pudiese favorecer o no alertar sobre la actualización de los supuestos previstos en los artículos 139 Quáter o 40</w:t>
      </w:r>
      <w:r>
        <w:rPr>
          <w:rFonts w:ascii="Arial" w:hAnsi="Arial"/>
          <w:sz w:val="24"/>
          <w:szCs w:val="24"/>
        </w:rPr>
        <w:t>0 Bis del Código Penal Federal.</w:t>
      </w:r>
    </w:p>
    <w:p w14:paraId="726AFB63" w14:textId="77777777" w:rsidR="007F5E3A" w:rsidRPr="007F5E3A" w:rsidRDefault="007F5E3A" w:rsidP="007F5E3A">
      <w:pPr>
        <w:pStyle w:val="NormalWeb"/>
        <w:spacing w:before="0" w:beforeAutospacing="0" w:after="0" w:afterAutospacing="0"/>
        <w:jc w:val="both"/>
        <w:rPr>
          <w:sz w:val="24"/>
          <w:szCs w:val="24"/>
        </w:rPr>
      </w:pPr>
      <w:bookmarkStart w:id="0" w:name="_GoBack"/>
      <w:bookmarkEnd w:id="0"/>
    </w:p>
    <w:p w14:paraId="3B3E5DFA" w14:textId="20E5B02B" w:rsidR="00155A54" w:rsidRDefault="00155A54" w:rsidP="007F5E3A">
      <w:pPr>
        <w:spacing w:after="0" w:line="240" w:lineRule="auto"/>
        <w:jc w:val="both"/>
        <w:rPr>
          <w:rFonts w:ascii="Arial" w:eastAsiaTheme="minorHAnsi" w:hAnsi="Arial"/>
          <w:sz w:val="24"/>
          <w:szCs w:val="24"/>
          <w:lang w:eastAsia="es-ES"/>
        </w:rPr>
      </w:pPr>
      <w:r w:rsidRPr="00155A54">
        <w:rPr>
          <w:rFonts w:ascii="Arial" w:eastAsiaTheme="minorHAnsi" w:hAnsi="Arial"/>
          <w:sz w:val="24"/>
          <w:szCs w:val="24"/>
          <w:lang w:eastAsia="es-ES"/>
        </w:rPr>
        <w:t>Por cada operación interna preocupante que detecte</w:t>
      </w:r>
      <w:r>
        <w:rPr>
          <w:rFonts w:ascii="Arial" w:eastAsiaTheme="minorHAnsi" w:hAnsi="Arial"/>
          <w:sz w:val="24"/>
          <w:szCs w:val="24"/>
          <w:lang w:eastAsia="es-ES"/>
        </w:rPr>
        <w:t xml:space="preserve"> MIDEMI</w:t>
      </w:r>
      <w:r w:rsidRPr="00155A54">
        <w:rPr>
          <w:rFonts w:ascii="Arial" w:eastAsiaTheme="minorHAnsi" w:hAnsi="Arial"/>
          <w:sz w:val="24"/>
          <w:szCs w:val="24"/>
          <w:lang w:eastAsia="es-ES"/>
        </w:rPr>
        <w:t>, esta deberá remitir a la</w:t>
      </w:r>
      <w:r w:rsidR="007F5E3A">
        <w:rPr>
          <w:rFonts w:ascii="Arial" w:eastAsiaTheme="minorHAnsi" w:hAnsi="Arial"/>
          <w:sz w:val="24"/>
          <w:szCs w:val="24"/>
          <w:lang w:eastAsia="es-ES"/>
        </w:rPr>
        <w:t xml:space="preserve"> CNBV a través del SITI</w:t>
      </w:r>
      <w:r w:rsidRPr="00155A54">
        <w:rPr>
          <w:rFonts w:ascii="Arial" w:eastAsiaTheme="minorHAnsi" w:hAnsi="Arial"/>
          <w:sz w:val="24"/>
          <w:szCs w:val="24"/>
          <w:lang w:eastAsia="es-ES"/>
        </w:rPr>
        <w:t xml:space="preserve">, el reporte correspondiente, dentro de los tres días hábiles siguientes contados a partir de que concluya la sesión del </w:t>
      </w:r>
      <w:r w:rsidR="007F5E3A">
        <w:rPr>
          <w:rFonts w:ascii="Arial" w:eastAsiaTheme="minorHAnsi" w:hAnsi="Arial"/>
          <w:sz w:val="24"/>
          <w:szCs w:val="24"/>
          <w:lang w:eastAsia="es-ES"/>
        </w:rPr>
        <w:t xml:space="preserve">Oficial de Cumplimiento </w:t>
      </w:r>
      <w:r w:rsidRPr="00155A54">
        <w:rPr>
          <w:rFonts w:ascii="Arial" w:eastAsiaTheme="minorHAnsi" w:hAnsi="Arial"/>
          <w:sz w:val="24"/>
          <w:szCs w:val="24"/>
          <w:lang w:eastAsia="es-ES"/>
        </w:rPr>
        <w:t xml:space="preserve">que la dictamine como tal. Para efectos de llevar a cabo el dictamen en cuestión, </w:t>
      </w:r>
      <w:r w:rsidR="007F5E3A">
        <w:rPr>
          <w:rFonts w:ascii="Arial" w:eastAsiaTheme="minorHAnsi" w:hAnsi="Arial"/>
          <w:sz w:val="24"/>
          <w:szCs w:val="24"/>
          <w:lang w:eastAsia="es-ES"/>
        </w:rPr>
        <w:t xml:space="preserve">MIDEMI </w:t>
      </w:r>
      <w:r w:rsidRPr="00155A54">
        <w:rPr>
          <w:rFonts w:ascii="Arial" w:eastAsiaTheme="minorHAnsi" w:hAnsi="Arial"/>
          <w:sz w:val="24"/>
          <w:szCs w:val="24"/>
          <w:lang w:eastAsia="es-ES"/>
        </w:rPr>
        <w:t>a través de su</w:t>
      </w:r>
      <w:r w:rsidR="007F5E3A">
        <w:rPr>
          <w:rFonts w:ascii="Arial" w:eastAsiaTheme="minorHAnsi" w:hAnsi="Arial"/>
          <w:sz w:val="24"/>
          <w:szCs w:val="24"/>
          <w:lang w:eastAsia="es-ES"/>
        </w:rPr>
        <w:t xml:space="preserve"> Oficial de Cumplimiento</w:t>
      </w:r>
      <w:r w:rsidRPr="00155A54">
        <w:rPr>
          <w:rFonts w:ascii="Arial" w:eastAsiaTheme="minorHAnsi" w:hAnsi="Arial"/>
          <w:sz w:val="24"/>
          <w:szCs w:val="24"/>
          <w:lang w:eastAsia="es-ES"/>
        </w:rPr>
        <w:t xml:space="preserve">, contará con un periodo que no excederá de sesenta días naturales contados a partir de que </w:t>
      </w:r>
      <w:r w:rsidR="007F5E3A">
        <w:rPr>
          <w:rFonts w:ascii="Arial" w:eastAsiaTheme="minorHAnsi" w:hAnsi="Arial"/>
          <w:sz w:val="24"/>
          <w:szCs w:val="24"/>
          <w:lang w:eastAsia="es-ES"/>
        </w:rPr>
        <w:t>MIDEMI detecte esa o</w:t>
      </w:r>
      <w:r w:rsidRPr="00155A54">
        <w:rPr>
          <w:rFonts w:ascii="Arial" w:eastAsiaTheme="minorHAnsi" w:hAnsi="Arial"/>
          <w:sz w:val="24"/>
          <w:szCs w:val="24"/>
          <w:lang w:eastAsia="es-ES"/>
        </w:rPr>
        <w:t xml:space="preserve">peración, por medio de su sistema, modelo, proceso o de cualquier empleado de la misma, lo que ocurra primero. </w:t>
      </w:r>
    </w:p>
    <w:p w14:paraId="4D0F33C1" w14:textId="77777777" w:rsidR="00155A54" w:rsidRPr="00155A54" w:rsidRDefault="00155A54" w:rsidP="00155A54">
      <w:pPr>
        <w:spacing w:after="0" w:line="240" w:lineRule="auto"/>
        <w:jc w:val="both"/>
        <w:rPr>
          <w:rFonts w:ascii="Arial" w:eastAsiaTheme="minorHAnsi" w:hAnsi="Arial"/>
          <w:sz w:val="24"/>
          <w:szCs w:val="24"/>
          <w:lang w:eastAsia="es-ES"/>
        </w:rPr>
      </w:pPr>
    </w:p>
    <w:p w14:paraId="46681813" w14:textId="7E909AE7" w:rsidR="00155A54" w:rsidRPr="00155A54" w:rsidRDefault="007F5E3A" w:rsidP="00155A54">
      <w:pPr>
        <w:spacing w:after="0" w:line="240" w:lineRule="auto"/>
        <w:jc w:val="both"/>
        <w:rPr>
          <w:rFonts w:ascii="Arial" w:eastAsiaTheme="minorHAnsi" w:hAnsi="Arial"/>
          <w:sz w:val="24"/>
          <w:szCs w:val="24"/>
          <w:lang w:eastAsia="es-ES"/>
        </w:rPr>
      </w:pPr>
      <w:r>
        <w:rPr>
          <w:rFonts w:ascii="Arial" w:eastAsiaTheme="minorHAnsi" w:hAnsi="Arial"/>
          <w:sz w:val="24"/>
          <w:szCs w:val="24"/>
          <w:lang w:eastAsia="es-ES"/>
        </w:rPr>
        <w:t>MIDEMI</w:t>
      </w:r>
      <w:r w:rsidR="00155A54" w:rsidRPr="00155A54">
        <w:rPr>
          <w:rFonts w:ascii="Arial" w:eastAsiaTheme="minorHAnsi" w:hAnsi="Arial"/>
          <w:sz w:val="24"/>
          <w:szCs w:val="24"/>
          <w:lang w:eastAsia="es-ES"/>
        </w:rPr>
        <w:t xml:space="preserve">, para efectos de determinar aquellas </w:t>
      </w:r>
      <w:r w:rsidRPr="00155A54">
        <w:rPr>
          <w:rFonts w:ascii="Arial" w:eastAsiaTheme="minorHAnsi" w:hAnsi="Arial"/>
          <w:sz w:val="24"/>
          <w:szCs w:val="24"/>
          <w:lang w:eastAsia="es-ES"/>
        </w:rPr>
        <w:t>operaciones que sean operaciones internas preocupantes</w:t>
      </w:r>
      <w:r w:rsidR="00155A54" w:rsidRPr="00155A54">
        <w:rPr>
          <w:rFonts w:ascii="Arial" w:eastAsiaTheme="minorHAnsi" w:hAnsi="Arial"/>
          <w:sz w:val="24"/>
          <w:szCs w:val="24"/>
          <w:lang w:eastAsia="es-ES"/>
        </w:rPr>
        <w:t xml:space="preserve">, deberán considerar, entre otras, las siguientes circunstancias, con independencia de que se presenten en forma aislada o conjunta: </w:t>
      </w:r>
    </w:p>
    <w:p w14:paraId="45014B60" w14:textId="5F141DD3" w:rsidR="007F5E3A" w:rsidRDefault="00155A54" w:rsidP="007F5E3A">
      <w:pPr>
        <w:pStyle w:val="Prrafodelista"/>
        <w:numPr>
          <w:ilvl w:val="0"/>
          <w:numId w:val="5"/>
        </w:numPr>
        <w:spacing w:after="0" w:line="240" w:lineRule="auto"/>
        <w:ind w:left="426" w:hanging="426"/>
        <w:jc w:val="both"/>
        <w:rPr>
          <w:rFonts w:ascii="Arial" w:eastAsiaTheme="minorHAnsi" w:hAnsi="Arial"/>
          <w:sz w:val="24"/>
          <w:szCs w:val="24"/>
          <w:lang w:eastAsia="es-ES"/>
        </w:rPr>
      </w:pPr>
      <w:r w:rsidRPr="007F5E3A">
        <w:rPr>
          <w:rFonts w:ascii="Arial" w:eastAsiaTheme="minorHAnsi" w:hAnsi="Arial"/>
          <w:sz w:val="24"/>
          <w:szCs w:val="24"/>
          <w:lang w:eastAsia="es-ES"/>
        </w:rPr>
        <w:t>Cuando se detecte que algún accionista, socio, directivo, funcionario, empleado, apode</w:t>
      </w:r>
      <w:r w:rsidR="007F5E3A">
        <w:rPr>
          <w:rFonts w:ascii="Arial" w:eastAsiaTheme="minorHAnsi" w:hAnsi="Arial"/>
          <w:sz w:val="24"/>
          <w:szCs w:val="24"/>
          <w:lang w:eastAsia="es-ES"/>
        </w:rPr>
        <w:t>rado o aquellos que ejerzan el c</w:t>
      </w:r>
      <w:r w:rsidRPr="007F5E3A">
        <w:rPr>
          <w:rFonts w:ascii="Arial" w:eastAsiaTheme="minorHAnsi" w:hAnsi="Arial"/>
          <w:sz w:val="24"/>
          <w:szCs w:val="24"/>
          <w:lang w:eastAsia="es-ES"/>
        </w:rPr>
        <w:t>ontrol de</w:t>
      </w:r>
      <w:r w:rsidR="007F5E3A">
        <w:rPr>
          <w:rFonts w:ascii="Arial" w:eastAsiaTheme="minorHAnsi" w:hAnsi="Arial"/>
          <w:sz w:val="24"/>
          <w:szCs w:val="24"/>
          <w:lang w:eastAsia="es-ES"/>
        </w:rPr>
        <w:t xml:space="preserve"> MIDEMI</w:t>
      </w:r>
      <w:r w:rsidRPr="007F5E3A">
        <w:rPr>
          <w:rFonts w:ascii="Arial" w:eastAsiaTheme="minorHAnsi" w:hAnsi="Arial"/>
          <w:sz w:val="24"/>
          <w:szCs w:val="24"/>
          <w:lang w:eastAsia="es-ES"/>
        </w:rPr>
        <w:t>, mantiene un nivel de vida notoriamente superior al que le correspondería, de acuerdo con lo</w:t>
      </w:r>
      <w:r w:rsidR="007F5E3A">
        <w:rPr>
          <w:rFonts w:ascii="Arial" w:eastAsiaTheme="minorHAnsi" w:hAnsi="Arial"/>
          <w:sz w:val="24"/>
          <w:szCs w:val="24"/>
          <w:lang w:eastAsia="es-ES"/>
        </w:rPr>
        <w:t>s ingresos que percibe de ella.</w:t>
      </w:r>
    </w:p>
    <w:p w14:paraId="1A421BE9" w14:textId="5C8A84E5" w:rsidR="007F5E3A" w:rsidRDefault="00155A54" w:rsidP="007F5E3A">
      <w:pPr>
        <w:pStyle w:val="Prrafodelista"/>
        <w:numPr>
          <w:ilvl w:val="0"/>
          <w:numId w:val="5"/>
        </w:numPr>
        <w:spacing w:after="0" w:line="240" w:lineRule="auto"/>
        <w:ind w:left="426" w:hanging="426"/>
        <w:jc w:val="both"/>
        <w:rPr>
          <w:rFonts w:ascii="Arial" w:eastAsiaTheme="minorHAnsi" w:hAnsi="Arial"/>
          <w:sz w:val="24"/>
          <w:szCs w:val="24"/>
          <w:lang w:eastAsia="es-ES"/>
        </w:rPr>
      </w:pPr>
      <w:r w:rsidRPr="007F5E3A">
        <w:rPr>
          <w:rFonts w:ascii="Arial" w:eastAsiaTheme="minorHAnsi" w:hAnsi="Arial"/>
          <w:sz w:val="24"/>
          <w:szCs w:val="24"/>
          <w:lang w:eastAsia="es-ES"/>
        </w:rPr>
        <w:t xml:space="preserve">Cuando, sin causa justificada, algún directivo, funcionario, empleado o apoderado de </w:t>
      </w:r>
      <w:r w:rsidR="007F5E3A">
        <w:rPr>
          <w:rFonts w:ascii="Arial" w:eastAsiaTheme="minorHAnsi" w:hAnsi="Arial"/>
          <w:sz w:val="24"/>
          <w:szCs w:val="24"/>
          <w:lang w:eastAsia="es-ES"/>
        </w:rPr>
        <w:t xml:space="preserve">MIDEMI </w:t>
      </w:r>
      <w:r w:rsidRPr="007F5E3A">
        <w:rPr>
          <w:rFonts w:ascii="Arial" w:eastAsiaTheme="minorHAnsi" w:hAnsi="Arial"/>
          <w:sz w:val="24"/>
          <w:szCs w:val="24"/>
          <w:lang w:eastAsia="es-ES"/>
        </w:rPr>
        <w:t xml:space="preserve">haya intervenido de manera reiterada en la realización de </w:t>
      </w:r>
      <w:r w:rsidR="007F5E3A" w:rsidRPr="007F5E3A">
        <w:rPr>
          <w:rFonts w:ascii="Arial" w:eastAsiaTheme="minorHAnsi" w:hAnsi="Arial"/>
          <w:sz w:val="24"/>
          <w:szCs w:val="24"/>
          <w:lang w:eastAsia="es-ES"/>
        </w:rPr>
        <w:t>operaciones que hayan sido reporta</w:t>
      </w:r>
      <w:r w:rsidR="007F5E3A">
        <w:rPr>
          <w:rFonts w:ascii="Arial" w:eastAsiaTheme="minorHAnsi" w:hAnsi="Arial"/>
          <w:sz w:val="24"/>
          <w:szCs w:val="24"/>
          <w:lang w:eastAsia="es-ES"/>
        </w:rPr>
        <w:t>das como operaciones inusuales.</w:t>
      </w:r>
    </w:p>
    <w:p w14:paraId="14AB31D2" w14:textId="6851AA55" w:rsidR="007F5E3A" w:rsidRDefault="00155A54" w:rsidP="007F5E3A">
      <w:pPr>
        <w:pStyle w:val="Prrafodelista"/>
        <w:numPr>
          <w:ilvl w:val="0"/>
          <w:numId w:val="5"/>
        </w:numPr>
        <w:spacing w:after="0" w:line="240" w:lineRule="auto"/>
        <w:ind w:left="426" w:hanging="426"/>
        <w:jc w:val="both"/>
        <w:rPr>
          <w:rFonts w:ascii="Arial" w:eastAsiaTheme="minorHAnsi" w:hAnsi="Arial"/>
          <w:sz w:val="24"/>
          <w:szCs w:val="24"/>
          <w:lang w:eastAsia="es-ES"/>
        </w:rPr>
      </w:pPr>
      <w:r w:rsidRPr="007F5E3A">
        <w:rPr>
          <w:rFonts w:ascii="Arial" w:eastAsiaTheme="minorHAnsi" w:hAnsi="Arial"/>
          <w:sz w:val="24"/>
          <w:szCs w:val="24"/>
          <w:lang w:eastAsia="es-ES"/>
        </w:rPr>
        <w:t xml:space="preserve">Cuando existan sospechas de que algún directivo, funcionario, empleado o apoderado de </w:t>
      </w:r>
      <w:r w:rsidR="007F5E3A">
        <w:rPr>
          <w:rFonts w:ascii="Arial" w:eastAsiaTheme="minorHAnsi" w:hAnsi="Arial"/>
          <w:sz w:val="24"/>
          <w:szCs w:val="24"/>
          <w:lang w:eastAsia="es-ES"/>
        </w:rPr>
        <w:t xml:space="preserve">MIDEMI </w:t>
      </w:r>
      <w:r w:rsidRPr="007F5E3A">
        <w:rPr>
          <w:rFonts w:ascii="Arial" w:eastAsiaTheme="minorHAnsi" w:hAnsi="Arial"/>
          <w:sz w:val="24"/>
          <w:szCs w:val="24"/>
          <w:lang w:eastAsia="es-ES"/>
        </w:rPr>
        <w:t>pudiera haber incurrido en actos, omisiones u operaciones que pudiesen actualizar los supuestos previstos en los artículos 139 Quáter o 400 B</w:t>
      </w:r>
      <w:r w:rsidR="007F5E3A">
        <w:rPr>
          <w:rFonts w:ascii="Arial" w:eastAsiaTheme="minorHAnsi" w:hAnsi="Arial"/>
          <w:sz w:val="24"/>
          <w:szCs w:val="24"/>
          <w:lang w:eastAsia="es-ES"/>
        </w:rPr>
        <w:t xml:space="preserve">is del Código Penal Federal. </w:t>
      </w:r>
    </w:p>
    <w:p w14:paraId="3CEA8155" w14:textId="4A60A51B" w:rsidR="00155A54" w:rsidRPr="007F5E3A" w:rsidRDefault="00155A54" w:rsidP="007F5E3A">
      <w:pPr>
        <w:pStyle w:val="Prrafodelista"/>
        <w:numPr>
          <w:ilvl w:val="0"/>
          <w:numId w:val="5"/>
        </w:numPr>
        <w:spacing w:after="0" w:line="240" w:lineRule="auto"/>
        <w:ind w:left="426" w:hanging="426"/>
        <w:jc w:val="both"/>
        <w:rPr>
          <w:rFonts w:ascii="Arial" w:eastAsiaTheme="minorHAnsi" w:hAnsi="Arial"/>
          <w:sz w:val="24"/>
          <w:szCs w:val="24"/>
          <w:lang w:eastAsia="es-ES"/>
        </w:rPr>
      </w:pPr>
      <w:r w:rsidRPr="007F5E3A">
        <w:rPr>
          <w:rFonts w:ascii="Arial" w:eastAsiaTheme="minorHAnsi" w:hAnsi="Arial"/>
          <w:sz w:val="24"/>
          <w:szCs w:val="24"/>
          <w:lang w:eastAsia="es-ES"/>
        </w:rPr>
        <w:t xml:space="preserve">Cuando, sin causa justificada, exista una falta de correspondencia entre las funciones que se le encomendaron al directivo, funcionario, empleado o apoderado de </w:t>
      </w:r>
      <w:r w:rsidR="007F5E3A">
        <w:rPr>
          <w:rFonts w:ascii="Arial" w:eastAsiaTheme="minorHAnsi" w:hAnsi="Arial"/>
          <w:sz w:val="24"/>
          <w:szCs w:val="24"/>
          <w:lang w:eastAsia="es-ES"/>
        </w:rPr>
        <w:t xml:space="preserve">MIDEMI </w:t>
      </w:r>
      <w:r w:rsidRPr="007F5E3A">
        <w:rPr>
          <w:rFonts w:ascii="Arial" w:eastAsiaTheme="minorHAnsi" w:hAnsi="Arial"/>
          <w:sz w:val="24"/>
          <w:szCs w:val="24"/>
          <w:lang w:eastAsia="es-ES"/>
        </w:rPr>
        <w:t xml:space="preserve">y las actividades que de hecho lleva a cabo. </w:t>
      </w:r>
    </w:p>
    <w:p w14:paraId="78AAEB8D" w14:textId="77777777" w:rsidR="007F5E3A" w:rsidRPr="00155A54" w:rsidRDefault="007F5E3A" w:rsidP="00155A54">
      <w:pPr>
        <w:spacing w:after="0" w:line="240" w:lineRule="auto"/>
        <w:jc w:val="both"/>
        <w:rPr>
          <w:rFonts w:ascii="Arial" w:hAnsi="Arial" w:cs="Arial"/>
          <w:sz w:val="24"/>
          <w:szCs w:val="24"/>
        </w:rPr>
      </w:pPr>
    </w:p>
    <w:p w14:paraId="7B3F58A9" w14:textId="77777777" w:rsidR="001347B1" w:rsidRDefault="001347B1" w:rsidP="00155A54">
      <w:pPr>
        <w:spacing w:after="0" w:line="240" w:lineRule="auto"/>
        <w:jc w:val="both"/>
        <w:rPr>
          <w:rFonts w:ascii="Arial" w:hAnsi="Arial" w:cs="Arial"/>
          <w:sz w:val="24"/>
          <w:szCs w:val="24"/>
        </w:rPr>
      </w:pPr>
      <w:r w:rsidRPr="00155A54">
        <w:rPr>
          <w:rFonts w:ascii="Arial" w:hAnsi="Arial" w:cs="Arial"/>
          <w:sz w:val="24"/>
          <w:szCs w:val="24"/>
        </w:rPr>
        <w:t>Sin más por el momento le envió saludos cordiales.</w:t>
      </w:r>
    </w:p>
    <w:p w14:paraId="501B6BE5" w14:textId="77777777" w:rsidR="007F5E3A" w:rsidRPr="00155A54" w:rsidRDefault="007F5E3A" w:rsidP="00155A54">
      <w:pPr>
        <w:spacing w:after="0" w:line="240" w:lineRule="auto"/>
        <w:jc w:val="both"/>
        <w:rPr>
          <w:rFonts w:ascii="Arial" w:hAnsi="Arial" w:cs="Arial"/>
          <w:sz w:val="24"/>
          <w:szCs w:val="24"/>
        </w:rPr>
      </w:pPr>
    </w:p>
    <w:p w14:paraId="48395530" w14:textId="77777777" w:rsidR="005D15F9" w:rsidRDefault="001347B1" w:rsidP="00155A54">
      <w:pPr>
        <w:spacing w:after="0" w:line="240" w:lineRule="auto"/>
        <w:jc w:val="both"/>
        <w:rPr>
          <w:rFonts w:ascii="Arial" w:hAnsi="Arial" w:cs="Arial"/>
          <w:b/>
          <w:sz w:val="24"/>
          <w:szCs w:val="24"/>
        </w:rPr>
      </w:pPr>
      <w:r w:rsidRPr="00155A54">
        <w:rPr>
          <w:rFonts w:ascii="Arial" w:hAnsi="Arial" w:cs="Arial"/>
          <w:b/>
          <w:sz w:val="24"/>
          <w:szCs w:val="24"/>
        </w:rPr>
        <w:t>Atentamente,</w:t>
      </w:r>
    </w:p>
    <w:p w14:paraId="47070AC8" w14:textId="77777777" w:rsidR="007F5E3A" w:rsidRDefault="007F5E3A" w:rsidP="00155A54">
      <w:pPr>
        <w:spacing w:after="0" w:line="240" w:lineRule="auto"/>
        <w:jc w:val="both"/>
        <w:rPr>
          <w:rFonts w:ascii="Arial" w:hAnsi="Arial" w:cs="Arial"/>
          <w:b/>
          <w:sz w:val="24"/>
          <w:szCs w:val="24"/>
        </w:rPr>
      </w:pPr>
    </w:p>
    <w:p w14:paraId="74356548" w14:textId="77777777" w:rsidR="007F5E3A" w:rsidRDefault="007F5E3A" w:rsidP="00155A54">
      <w:pPr>
        <w:spacing w:after="0" w:line="240" w:lineRule="auto"/>
        <w:jc w:val="both"/>
        <w:rPr>
          <w:rFonts w:ascii="Arial" w:hAnsi="Arial" w:cs="Arial"/>
          <w:b/>
          <w:sz w:val="24"/>
          <w:szCs w:val="24"/>
        </w:rPr>
      </w:pPr>
    </w:p>
    <w:p w14:paraId="3F7B7810" w14:textId="77777777" w:rsidR="007F5E3A" w:rsidRPr="00155A54" w:rsidRDefault="007F5E3A" w:rsidP="00155A54">
      <w:pPr>
        <w:spacing w:after="0" w:line="240" w:lineRule="auto"/>
        <w:jc w:val="both"/>
        <w:rPr>
          <w:rFonts w:ascii="Arial" w:hAnsi="Arial" w:cs="Arial"/>
          <w:b/>
          <w:sz w:val="24"/>
          <w:szCs w:val="24"/>
        </w:rPr>
      </w:pPr>
    </w:p>
    <w:p w14:paraId="5A85EDC6" w14:textId="77777777" w:rsidR="001347B1" w:rsidRPr="00155A54" w:rsidRDefault="001347B1" w:rsidP="00155A54">
      <w:pPr>
        <w:spacing w:after="0" w:line="240" w:lineRule="auto"/>
        <w:jc w:val="both"/>
        <w:rPr>
          <w:rFonts w:ascii="Arial" w:hAnsi="Arial" w:cs="Arial"/>
          <w:b/>
          <w:sz w:val="24"/>
          <w:szCs w:val="24"/>
        </w:rPr>
      </w:pPr>
      <w:r w:rsidRPr="00155A54">
        <w:rPr>
          <w:rFonts w:ascii="Arial" w:hAnsi="Arial" w:cs="Arial"/>
          <w:b/>
          <w:sz w:val="24"/>
          <w:szCs w:val="24"/>
        </w:rPr>
        <w:t>Melina Cabrera Pérez</w:t>
      </w:r>
      <w:r w:rsidR="005D15F9" w:rsidRPr="00155A54">
        <w:rPr>
          <w:rFonts w:ascii="Arial" w:hAnsi="Arial" w:cs="Arial"/>
          <w:b/>
          <w:sz w:val="24"/>
          <w:szCs w:val="24"/>
        </w:rPr>
        <w:t>.</w:t>
      </w:r>
    </w:p>
    <w:p w14:paraId="11E4C170" w14:textId="77777777" w:rsidR="001347B1" w:rsidRPr="00155A54" w:rsidRDefault="001347B1" w:rsidP="00155A54">
      <w:pPr>
        <w:spacing w:after="0" w:line="240" w:lineRule="auto"/>
        <w:jc w:val="both"/>
        <w:rPr>
          <w:rFonts w:ascii="Arial" w:hAnsi="Arial" w:cs="Arial"/>
          <w:sz w:val="24"/>
          <w:szCs w:val="24"/>
        </w:rPr>
      </w:pPr>
    </w:p>
    <w:p w14:paraId="0FDD950C" w14:textId="77777777" w:rsidR="00224585" w:rsidRPr="00155A54" w:rsidRDefault="00224585" w:rsidP="00155A54">
      <w:pPr>
        <w:spacing w:after="0" w:line="240" w:lineRule="auto"/>
        <w:jc w:val="both"/>
        <w:rPr>
          <w:rFonts w:ascii="Arial" w:hAnsi="Arial" w:cs="Arial"/>
          <w:sz w:val="24"/>
          <w:szCs w:val="24"/>
        </w:rPr>
      </w:pPr>
    </w:p>
    <w:p w14:paraId="4C1B10DD" w14:textId="77777777" w:rsidR="00D01657" w:rsidRPr="00155A54" w:rsidRDefault="00D01657" w:rsidP="00155A54">
      <w:pPr>
        <w:spacing w:after="0" w:line="240" w:lineRule="auto"/>
        <w:jc w:val="both"/>
        <w:rPr>
          <w:rFonts w:ascii="Arial" w:hAnsi="Arial"/>
          <w:sz w:val="24"/>
          <w:szCs w:val="24"/>
        </w:rPr>
      </w:pPr>
    </w:p>
    <w:sectPr w:rsidR="00D01657" w:rsidRPr="00155A54">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46D76" w14:textId="77777777" w:rsidR="007F5E3A" w:rsidRDefault="007F5E3A" w:rsidP="007F5E3A">
      <w:pPr>
        <w:spacing w:after="0" w:line="240" w:lineRule="auto"/>
      </w:pPr>
      <w:r>
        <w:separator/>
      </w:r>
    </w:p>
  </w:endnote>
  <w:endnote w:type="continuationSeparator" w:id="0">
    <w:p w14:paraId="6AB9C7E5" w14:textId="77777777" w:rsidR="007F5E3A" w:rsidRDefault="007F5E3A" w:rsidP="007F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86EC" w14:textId="77777777" w:rsidR="007F5E3A" w:rsidRDefault="007F5E3A" w:rsidP="00B839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095EDA" w14:textId="77777777" w:rsidR="007F5E3A" w:rsidRDefault="007F5E3A" w:rsidP="007F5E3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3990B" w14:textId="77777777" w:rsidR="007F5E3A" w:rsidRPr="007F5E3A" w:rsidRDefault="007F5E3A" w:rsidP="00B83967">
    <w:pPr>
      <w:pStyle w:val="Piedepgina"/>
      <w:framePr w:wrap="around" w:vAnchor="text" w:hAnchor="margin" w:xAlign="right" w:y="1"/>
      <w:rPr>
        <w:rStyle w:val="Nmerodepgina"/>
        <w:rFonts w:ascii="Arial" w:hAnsi="Arial"/>
      </w:rPr>
    </w:pPr>
    <w:r w:rsidRPr="007F5E3A">
      <w:rPr>
        <w:rStyle w:val="Nmerodepgina"/>
        <w:rFonts w:ascii="Arial" w:hAnsi="Arial"/>
      </w:rPr>
      <w:fldChar w:fldCharType="begin"/>
    </w:r>
    <w:r w:rsidRPr="007F5E3A">
      <w:rPr>
        <w:rStyle w:val="Nmerodepgina"/>
        <w:rFonts w:ascii="Arial" w:hAnsi="Arial"/>
      </w:rPr>
      <w:instrText xml:space="preserve">PAGE  </w:instrText>
    </w:r>
    <w:r w:rsidRPr="007F5E3A">
      <w:rPr>
        <w:rStyle w:val="Nmerodepgina"/>
        <w:rFonts w:ascii="Arial" w:hAnsi="Arial"/>
      </w:rPr>
      <w:fldChar w:fldCharType="separate"/>
    </w:r>
    <w:r>
      <w:rPr>
        <w:rStyle w:val="Nmerodepgina"/>
        <w:rFonts w:ascii="Arial" w:hAnsi="Arial"/>
        <w:noProof/>
      </w:rPr>
      <w:t>5</w:t>
    </w:r>
    <w:r w:rsidRPr="007F5E3A">
      <w:rPr>
        <w:rStyle w:val="Nmerodepgina"/>
        <w:rFonts w:ascii="Arial" w:hAnsi="Arial"/>
      </w:rPr>
      <w:fldChar w:fldCharType="end"/>
    </w:r>
  </w:p>
  <w:p w14:paraId="368C1CA4" w14:textId="77777777" w:rsidR="007F5E3A" w:rsidRDefault="007F5E3A" w:rsidP="007F5E3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F68E2" w14:textId="77777777" w:rsidR="007F5E3A" w:rsidRDefault="007F5E3A" w:rsidP="007F5E3A">
      <w:pPr>
        <w:spacing w:after="0" w:line="240" w:lineRule="auto"/>
      </w:pPr>
      <w:r>
        <w:separator/>
      </w:r>
    </w:p>
  </w:footnote>
  <w:footnote w:type="continuationSeparator" w:id="0">
    <w:p w14:paraId="11FE27FE" w14:textId="77777777" w:rsidR="007F5E3A" w:rsidRDefault="007F5E3A" w:rsidP="007F5E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F8D"/>
    <w:multiLevelType w:val="hybridMultilevel"/>
    <w:tmpl w:val="2B6C31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1C50952"/>
    <w:multiLevelType w:val="hybridMultilevel"/>
    <w:tmpl w:val="9E5223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4C9245BD"/>
    <w:multiLevelType w:val="hybridMultilevel"/>
    <w:tmpl w:val="5FFA89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47762E"/>
    <w:multiLevelType w:val="hybridMultilevel"/>
    <w:tmpl w:val="1598B5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6E55731"/>
    <w:multiLevelType w:val="hybridMultilevel"/>
    <w:tmpl w:val="71F0A5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585"/>
    <w:rsid w:val="001347B1"/>
    <w:rsid w:val="00155A54"/>
    <w:rsid w:val="00224585"/>
    <w:rsid w:val="002C5829"/>
    <w:rsid w:val="005D15F9"/>
    <w:rsid w:val="007F5E3A"/>
    <w:rsid w:val="0083689F"/>
    <w:rsid w:val="00A31C95"/>
    <w:rsid w:val="00A41BF7"/>
    <w:rsid w:val="00B77197"/>
    <w:rsid w:val="00D01657"/>
    <w:rsid w:val="00EF15E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F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58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224585"/>
    <w:rPr>
      <w:color w:val="0000FF"/>
      <w:u w:val="single"/>
    </w:rPr>
  </w:style>
  <w:style w:type="paragraph" w:styleId="Prrafodelista">
    <w:name w:val="List Paragraph"/>
    <w:basedOn w:val="Normal"/>
    <w:uiPriority w:val="34"/>
    <w:qFormat/>
    <w:rsid w:val="00224585"/>
    <w:pPr>
      <w:ind w:left="720"/>
      <w:contextualSpacing/>
    </w:pPr>
  </w:style>
  <w:style w:type="paragraph" w:styleId="NormalWeb">
    <w:name w:val="Normal (Web)"/>
    <w:basedOn w:val="Normal"/>
    <w:uiPriority w:val="99"/>
    <w:unhideWhenUsed/>
    <w:rsid w:val="00A31C95"/>
    <w:pPr>
      <w:spacing w:before="100" w:beforeAutospacing="1" w:after="100" w:afterAutospacing="1" w:line="240" w:lineRule="auto"/>
    </w:pPr>
    <w:rPr>
      <w:rFonts w:ascii="Times New Roman" w:eastAsiaTheme="minorHAnsi" w:hAnsi="Times New Roman"/>
      <w:sz w:val="20"/>
      <w:szCs w:val="20"/>
      <w:lang w:eastAsia="es-ES"/>
    </w:rPr>
  </w:style>
  <w:style w:type="paragraph" w:styleId="Piedepgina">
    <w:name w:val="footer"/>
    <w:basedOn w:val="Normal"/>
    <w:link w:val="PiedepginaCar"/>
    <w:uiPriority w:val="99"/>
    <w:unhideWhenUsed/>
    <w:rsid w:val="007F5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E3A"/>
    <w:rPr>
      <w:rFonts w:ascii="Calibri" w:eastAsia="Calibri" w:hAnsi="Calibri" w:cs="Times New Roman"/>
    </w:rPr>
  </w:style>
  <w:style w:type="character" w:styleId="Nmerodepgina">
    <w:name w:val="page number"/>
    <w:basedOn w:val="Fuentedeprrafopredeter"/>
    <w:uiPriority w:val="99"/>
    <w:semiHidden/>
    <w:unhideWhenUsed/>
    <w:rsid w:val="007F5E3A"/>
  </w:style>
  <w:style w:type="paragraph" w:styleId="Encabezado">
    <w:name w:val="header"/>
    <w:basedOn w:val="Normal"/>
    <w:link w:val="EncabezadoCar"/>
    <w:uiPriority w:val="99"/>
    <w:unhideWhenUsed/>
    <w:rsid w:val="007F5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E3A"/>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58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224585"/>
    <w:rPr>
      <w:color w:val="0000FF"/>
      <w:u w:val="single"/>
    </w:rPr>
  </w:style>
  <w:style w:type="paragraph" w:styleId="Prrafodelista">
    <w:name w:val="List Paragraph"/>
    <w:basedOn w:val="Normal"/>
    <w:uiPriority w:val="34"/>
    <w:qFormat/>
    <w:rsid w:val="00224585"/>
    <w:pPr>
      <w:ind w:left="720"/>
      <w:contextualSpacing/>
    </w:pPr>
  </w:style>
  <w:style w:type="paragraph" w:styleId="NormalWeb">
    <w:name w:val="Normal (Web)"/>
    <w:basedOn w:val="Normal"/>
    <w:uiPriority w:val="99"/>
    <w:unhideWhenUsed/>
    <w:rsid w:val="00A31C95"/>
    <w:pPr>
      <w:spacing w:before="100" w:beforeAutospacing="1" w:after="100" w:afterAutospacing="1" w:line="240" w:lineRule="auto"/>
    </w:pPr>
    <w:rPr>
      <w:rFonts w:ascii="Times New Roman" w:eastAsiaTheme="minorHAnsi" w:hAnsi="Times New Roman"/>
      <w:sz w:val="20"/>
      <w:szCs w:val="20"/>
      <w:lang w:eastAsia="es-ES"/>
    </w:rPr>
  </w:style>
  <w:style w:type="paragraph" w:styleId="Piedepgina">
    <w:name w:val="footer"/>
    <w:basedOn w:val="Normal"/>
    <w:link w:val="PiedepginaCar"/>
    <w:uiPriority w:val="99"/>
    <w:unhideWhenUsed/>
    <w:rsid w:val="007F5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E3A"/>
    <w:rPr>
      <w:rFonts w:ascii="Calibri" w:eastAsia="Calibri" w:hAnsi="Calibri" w:cs="Times New Roman"/>
    </w:rPr>
  </w:style>
  <w:style w:type="character" w:styleId="Nmerodepgina">
    <w:name w:val="page number"/>
    <w:basedOn w:val="Fuentedeprrafopredeter"/>
    <w:uiPriority w:val="99"/>
    <w:semiHidden/>
    <w:unhideWhenUsed/>
    <w:rsid w:val="007F5E3A"/>
  </w:style>
  <w:style w:type="paragraph" w:styleId="Encabezado">
    <w:name w:val="header"/>
    <w:basedOn w:val="Normal"/>
    <w:link w:val="EncabezadoCar"/>
    <w:uiPriority w:val="99"/>
    <w:unhideWhenUsed/>
    <w:rsid w:val="007F5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E3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33344">
      <w:bodyDiv w:val="1"/>
      <w:marLeft w:val="0"/>
      <w:marRight w:val="0"/>
      <w:marTop w:val="0"/>
      <w:marBottom w:val="0"/>
      <w:divBdr>
        <w:top w:val="none" w:sz="0" w:space="0" w:color="auto"/>
        <w:left w:val="none" w:sz="0" w:space="0" w:color="auto"/>
        <w:bottom w:val="none" w:sz="0" w:space="0" w:color="auto"/>
        <w:right w:val="none" w:sz="0" w:space="0" w:color="auto"/>
      </w:divBdr>
      <w:divsChild>
        <w:div w:id="1617103065">
          <w:marLeft w:val="0"/>
          <w:marRight w:val="0"/>
          <w:marTop w:val="0"/>
          <w:marBottom w:val="0"/>
          <w:divBdr>
            <w:top w:val="none" w:sz="0" w:space="0" w:color="auto"/>
            <w:left w:val="none" w:sz="0" w:space="0" w:color="auto"/>
            <w:bottom w:val="none" w:sz="0" w:space="0" w:color="auto"/>
            <w:right w:val="none" w:sz="0" w:space="0" w:color="auto"/>
          </w:divBdr>
          <w:divsChild>
            <w:div w:id="1540898289">
              <w:marLeft w:val="0"/>
              <w:marRight w:val="0"/>
              <w:marTop w:val="0"/>
              <w:marBottom w:val="0"/>
              <w:divBdr>
                <w:top w:val="none" w:sz="0" w:space="0" w:color="auto"/>
                <w:left w:val="none" w:sz="0" w:space="0" w:color="auto"/>
                <w:bottom w:val="none" w:sz="0" w:space="0" w:color="auto"/>
                <w:right w:val="none" w:sz="0" w:space="0" w:color="auto"/>
              </w:divBdr>
              <w:divsChild>
                <w:div w:id="813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966">
      <w:bodyDiv w:val="1"/>
      <w:marLeft w:val="0"/>
      <w:marRight w:val="0"/>
      <w:marTop w:val="0"/>
      <w:marBottom w:val="0"/>
      <w:divBdr>
        <w:top w:val="none" w:sz="0" w:space="0" w:color="auto"/>
        <w:left w:val="none" w:sz="0" w:space="0" w:color="auto"/>
        <w:bottom w:val="none" w:sz="0" w:space="0" w:color="auto"/>
        <w:right w:val="none" w:sz="0" w:space="0" w:color="auto"/>
      </w:divBdr>
      <w:divsChild>
        <w:div w:id="865289058">
          <w:marLeft w:val="0"/>
          <w:marRight w:val="0"/>
          <w:marTop w:val="0"/>
          <w:marBottom w:val="0"/>
          <w:divBdr>
            <w:top w:val="none" w:sz="0" w:space="0" w:color="auto"/>
            <w:left w:val="none" w:sz="0" w:space="0" w:color="auto"/>
            <w:bottom w:val="none" w:sz="0" w:space="0" w:color="auto"/>
            <w:right w:val="none" w:sz="0" w:space="0" w:color="auto"/>
          </w:divBdr>
          <w:divsChild>
            <w:div w:id="166527681">
              <w:marLeft w:val="0"/>
              <w:marRight w:val="0"/>
              <w:marTop w:val="0"/>
              <w:marBottom w:val="0"/>
              <w:divBdr>
                <w:top w:val="none" w:sz="0" w:space="0" w:color="auto"/>
                <w:left w:val="none" w:sz="0" w:space="0" w:color="auto"/>
                <w:bottom w:val="none" w:sz="0" w:space="0" w:color="auto"/>
                <w:right w:val="none" w:sz="0" w:space="0" w:color="auto"/>
              </w:divBdr>
              <w:divsChild>
                <w:div w:id="18189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2413">
      <w:bodyDiv w:val="1"/>
      <w:marLeft w:val="0"/>
      <w:marRight w:val="0"/>
      <w:marTop w:val="0"/>
      <w:marBottom w:val="0"/>
      <w:divBdr>
        <w:top w:val="none" w:sz="0" w:space="0" w:color="auto"/>
        <w:left w:val="none" w:sz="0" w:space="0" w:color="auto"/>
        <w:bottom w:val="none" w:sz="0" w:space="0" w:color="auto"/>
        <w:right w:val="none" w:sz="0" w:space="0" w:color="auto"/>
      </w:divBdr>
      <w:divsChild>
        <w:div w:id="1271081591">
          <w:marLeft w:val="0"/>
          <w:marRight w:val="0"/>
          <w:marTop w:val="0"/>
          <w:marBottom w:val="0"/>
          <w:divBdr>
            <w:top w:val="none" w:sz="0" w:space="0" w:color="auto"/>
            <w:left w:val="none" w:sz="0" w:space="0" w:color="auto"/>
            <w:bottom w:val="none" w:sz="0" w:space="0" w:color="auto"/>
            <w:right w:val="none" w:sz="0" w:space="0" w:color="auto"/>
          </w:divBdr>
          <w:divsChild>
            <w:div w:id="455300067">
              <w:marLeft w:val="0"/>
              <w:marRight w:val="0"/>
              <w:marTop w:val="0"/>
              <w:marBottom w:val="0"/>
              <w:divBdr>
                <w:top w:val="none" w:sz="0" w:space="0" w:color="auto"/>
                <w:left w:val="none" w:sz="0" w:space="0" w:color="auto"/>
                <w:bottom w:val="none" w:sz="0" w:space="0" w:color="auto"/>
                <w:right w:val="none" w:sz="0" w:space="0" w:color="auto"/>
              </w:divBdr>
              <w:divsChild>
                <w:div w:id="7162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7440">
      <w:bodyDiv w:val="1"/>
      <w:marLeft w:val="0"/>
      <w:marRight w:val="0"/>
      <w:marTop w:val="0"/>
      <w:marBottom w:val="0"/>
      <w:divBdr>
        <w:top w:val="none" w:sz="0" w:space="0" w:color="auto"/>
        <w:left w:val="none" w:sz="0" w:space="0" w:color="auto"/>
        <w:bottom w:val="none" w:sz="0" w:space="0" w:color="auto"/>
        <w:right w:val="none" w:sz="0" w:space="0" w:color="auto"/>
      </w:divBdr>
      <w:divsChild>
        <w:div w:id="593708008">
          <w:marLeft w:val="0"/>
          <w:marRight w:val="0"/>
          <w:marTop w:val="0"/>
          <w:marBottom w:val="0"/>
          <w:divBdr>
            <w:top w:val="none" w:sz="0" w:space="0" w:color="auto"/>
            <w:left w:val="none" w:sz="0" w:space="0" w:color="auto"/>
            <w:bottom w:val="none" w:sz="0" w:space="0" w:color="auto"/>
            <w:right w:val="none" w:sz="0" w:space="0" w:color="auto"/>
          </w:divBdr>
          <w:divsChild>
            <w:div w:id="1419785157">
              <w:marLeft w:val="0"/>
              <w:marRight w:val="0"/>
              <w:marTop w:val="0"/>
              <w:marBottom w:val="0"/>
              <w:divBdr>
                <w:top w:val="none" w:sz="0" w:space="0" w:color="auto"/>
                <w:left w:val="none" w:sz="0" w:space="0" w:color="auto"/>
                <w:bottom w:val="none" w:sz="0" w:space="0" w:color="auto"/>
                <w:right w:val="none" w:sz="0" w:space="0" w:color="auto"/>
              </w:divBdr>
              <w:divsChild>
                <w:div w:id="1081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7153">
      <w:bodyDiv w:val="1"/>
      <w:marLeft w:val="0"/>
      <w:marRight w:val="0"/>
      <w:marTop w:val="0"/>
      <w:marBottom w:val="0"/>
      <w:divBdr>
        <w:top w:val="none" w:sz="0" w:space="0" w:color="auto"/>
        <w:left w:val="none" w:sz="0" w:space="0" w:color="auto"/>
        <w:bottom w:val="none" w:sz="0" w:space="0" w:color="auto"/>
        <w:right w:val="none" w:sz="0" w:space="0" w:color="auto"/>
      </w:divBdr>
      <w:divsChild>
        <w:div w:id="2039425608">
          <w:marLeft w:val="0"/>
          <w:marRight w:val="0"/>
          <w:marTop w:val="0"/>
          <w:marBottom w:val="0"/>
          <w:divBdr>
            <w:top w:val="none" w:sz="0" w:space="0" w:color="auto"/>
            <w:left w:val="none" w:sz="0" w:space="0" w:color="auto"/>
            <w:bottom w:val="none" w:sz="0" w:space="0" w:color="auto"/>
            <w:right w:val="none" w:sz="0" w:space="0" w:color="auto"/>
          </w:divBdr>
          <w:divsChild>
            <w:div w:id="25565272">
              <w:marLeft w:val="0"/>
              <w:marRight w:val="0"/>
              <w:marTop w:val="0"/>
              <w:marBottom w:val="0"/>
              <w:divBdr>
                <w:top w:val="none" w:sz="0" w:space="0" w:color="auto"/>
                <w:left w:val="none" w:sz="0" w:space="0" w:color="auto"/>
                <w:bottom w:val="none" w:sz="0" w:space="0" w:color="auto"/>
                <w:right w:val="none" w:sz="0" w:space="0" w:color="auto"/>
              </w:divBdr>
              <w:divsChild>
                <w:div w:id="434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9884">
      <w:bodyDiv w:val="1"/>
      <w:marLeft w:val="0"/>
      <w:marRight w:val="0"/>
      <w:marTop w:val="0"/>
      <w:marBottom w:val="0"/>
      <w:divBdr>
        <w:top w:val="none" w:sz="0" w:space="0" w:color="auto"/>
        <w:left w:val="none" w:sz="0" w:space="0" w:color="auto"/>
        <w:bottom w:val="none" w:sz="0" w:space="0" w:color="auto"/>
        <w:right w:val="none" w:sz="0" w:space="0" w:color="auto"/>
      </w:divBdr>
    </w:div>
    <w:div w:id="1021780938">
      <w:bodyDiv w:val="1"/>
      <w:marLeft w:val="0"/>
      <w:marRight w:val="0"/>
      <w:marTop w:val="0"/>
      <w:marBottom w:val="0"/>
      <w:divBdr>
        <w:top w:val="none" w:sz="0" w:space="0" w:color="auto"/>
        <w:left w:val="none" w:sz="0" w:space="0" w:color="auto"/>
        <w:bottom w:val="none" w:sz="0" w:space="0" w:color="auto"/>
        <w:right w:val="none" w:sz="0" w:space="0" w:color="auto"/>
      </w:divBdr>
      <w:divsChild>
        <w:div w:id="1410227305">
          <w:marLeft w:val="0"/>
          <w:marRight w:val="0"/>
          <w:marTop w:val="0"/>
          <w:marBottom w:val="0"/>
          <w:divBdr>
            <w:top w:val="none" w:sz="0" w:space="0" w:color="auto"/>
            <w:left w:val="none" w:sz="0" w:space="0" w:color="auto"/>
            <w:bottom w:val="none" w:sz="0" w:space="0" w:color="auto"/>
            <w:right w:val="none" w:sz="0" w:space="0" w:color="auto"/>
          </w:divBdr>
          <w:divsChild>
            <w:div w:id="134959369">
              <w:marLeft w:val="0"/>
              <w:marRight w:val="0"/>
              <w:marTop w:val="0"/>
              <w:marBottom w:val="0"/>
              <w:divBdr>
                <w:top w:val="none" w:sz="0" w:space="0" w:color="auto"/>
                <w:left w:val="none" w:sz="0" w:space="0" w:color="auto"/>
                <w:bottom w:val="none" w:sz="0" w:space="0" w:color="auto"/>
                <w:right w:val="none" w:sz="0" w:space="0" w:color="auto"/>
              </w:divBdr>
              <w:divsChild>
                <w:div w:id="6066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1637">
      <w:bodyDiv w:val="1"/>
      <w:marLeft w:val="0"/>
      <w:marRight w:val="0"/>
      <w:marTop w:val="0"/>
      <w:marBottom w:val="0"/>
      <w:divBdr>
        <w:top w:val="none" w:sz="0" w:space="0" w:color="auto"/>
        <w:left w:val="none" w:sz="0" w:space="0" w:color="auto"/>
        <w:bottom w:val="none" w:sz="0" w:space="0" w:color="auto"/>
        <w:right w:val="none" w:sz="0" w:space="0" w:color="auto"/>
      </w:divBdr>
      <w:divsChild>
        <w:div w:id="426318142">
          <w:marLeft w:val="0"/>
          <w:marRight w:val="0"/>
          <w:marTop w:val="0"/>
          <w:marBottom w:val="0"/>
          <w:divBdr>
            <w:top w:val="none" w:sz="0" w:space="0" w:color="auto"/>
            <w:left w:val="none" w:sz="0" w:space="0" w:color="auto"/>
            <w:bottom w:val="none" w:sz="0" w:space="0" w:color="auto"/>
            <w:right w:val="none" w:sz="0" w:space="0" w:color="auto"/>
          </w:divBdr>
          <w:divsChild>
            <w:div w:id="1755735708">
              <w:marLeft w:val="0"/>
              <w:marRight w:val="0"/>
              <w:marTop w:val="0"/>
              <w:marBottom w:val="0"/>
              <w:divBdr>
                <w:top w:val="none" w:sz="0" w:space="0" w:color="auto"/>
                <w:left w:val="none" w:sz="0" w:space="0" w:color="auto"/>
                <w:bottom w:val="none" w:sz="0" w:space="0" w:color="auto"/>
                <w:right w:val="none" w:sz="0" w:space="0" w:color="auto"/>
              </w:divBdr>
              <w:divsChild>
                <w:div w:id="15871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9063">
      <w:bodyDiv w:val="1"/>
      <w:marLeft w:val="0"/>
      <w:marRight w:val="0"/>
      <w:marTop w:val="0"/>
      <w:marBottom w:val="0"/>
      <w:divBdr>
        <w:top w:val="none" w:sz="0" w:space="0" w:color="auto"/>
        <w:left w:val="none" w:sz="0" w:space="0" w:color="auto"/>
        <w:bottom w:val="none" w:sz="0" w:space="0" w:color="auto"/>
        <w:right w:val="none" w:sz="0" w:space="0" w:color="auto"/>
      </w:divBdr>
      <w:divsChild>
        <w:div w:id="587350874">
          <w:marLeft w:val="0"/>
          <w:marRight w:val="0"/>
          <w:marTop w:val="0"/>
          <w:marBottom w:val="0"/>
          <w:divBdr>
            <w:top w:val="none" w:sz="0" w:space="0" w:color="auto"/>
            <w:left w:val="none" w:sz="0" w:space="0" w:color="auto"/>
            <w:bottom w:val="none" w:sz="0" w:space="0" w:color="auto"/>
            <w:right w:val="none" w:sz="0" w:space="0" w:color="auto"/>
          </w:divBdr>
          <w:divsChild>
            <w:div w:id="1457333785">
              <w:marLeft w:val="0"/>
              <w:marRight w:val="0"/>
              <w:marTop w:val="0"/>
              <w:marBottom w:val="0"/>
              <w:divBdr>
                <w:top w:val="none" w:sz="0" w:space="0" w:color="auto"/>
                <w:left w:val="none" w:sz="0" w:space="0" w:color="auto"/>
                <w:bottom w:val="none" w:sz="0" w:space="0" w:color="auto"/>
                <w:right w:val="none" w:sz="0" w:space="0" w:color="auto"/>
              </w:divBdr>
              <w:divsChild>
                <w:div w:id="4381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nm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1760</Words>
  <Characters>9681</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Romero</dc:creator>
  <cp:keywords/>
  <dc:description/>
  <cp:lastModifiedBy>M C</cp:lastModifiedBy>
  <cp:revision>5</cp:revision>
  <dcterms:created xsi:type="dcterms:W3CDTF">2018-06-01T15:58:00Z</dcterms:created>
  <dcterms:modified xsi:type="dcterms:W3CDTF">2018-06-14T12:59:00Z</dcterms:modified>
</cp:coreProperties>
</file>