
<file path=[Content_Types].xml><?xml version="1.0" encoding="utf-8"?>
<Types xmlns="http://schemas.openxmlformats.org/package/2006/content-types">
  <Default Extension="xml" ContentType="application/xml"/>
  <Default Extension="rels" ContentType="application/vnd.openxmlformats-package.relationships+xml"/>
  <Default Extension="png" ContentType="image/png"/>
  <Default Extension="jpeg" ContentType="image/jpeg"/>
  <Override PartName="/_rels/.rels" ContentType="application/vnd.openxmlformats-package.relationships+xml"/>
  <Override PartName="/docProps/core.xml" ContentType="application/vnd.openxmlformats-package.core-properties+xml"/>
  <Override PartName="/docProps/app.xml" ContentType="application/vnd.openxmlformats-officedocument.extended-properties+xml"/>
  <Override PartName="/word/_rels/document.xml.rels" ContentType="application/vnd.openxmlformats-package.relationships+xml"/>
  <Override PartName="/word/document.xml" ContentType="application/vnd.openxmlformats-officedocument.wordprocessingml.document.main+xml"/>
  <Override PartName="/word/media/image1.png" ContentType="image/png"/>
  <Override PartName="/word/styles.xml" ContentType="application/vnd.openxmlformats-officedocument.wordprocessingml.styles+xml"/>
  <Override PartName="/word/numbering.xml" ContentType="application/vnd.openxmlformats-officedocument.wordprocessingml.numbering+xml"/>
  <Override PartName="/word/fontTable.xml" ContentType="application/vnd.openxmlformats-officedocument.wordprocessingml.fontTable+xml"/>
  <Override PartName="/word/settings.xml" ContentType="application/vnd.openxmlformats-officedocument.wordprocessingml.settings+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
        <w:bidi w:val="0"/>
        <w:spacing w:before="57" w:after="57"/>
        <w:jc w:val="left"/>
        <w:rPr>
          <w:b/>
          <w:b/>
          <w:bCs/>
          <w:sz w:val="28"/>
          <w:szCs w:val="28"/>
          <w:u w:val="single"/>
        </w:rPr>
      </w:pPr>
      <w:r>
        <w:rPr>
          <w:b/>
          <w:bCs/>
          <w:sz w:val="28"/>
          <w:szCs w:val="28"/>
          <w:u w:val="single"/>
        </w:rPr>
        <w:t xml:space="preserve">1 </w:t>
      </w:r>
      <w:r>
        <w:rPr>
          <w:b/>
          <w:bCs/>
          <w:sz w:val="28"/>
          <w:szCs w:val="28"/>
          <w:u w:val="single"/>
        </w:rPr>
        <w:t>Introduction</w:t>
      </w:r>
    </w:p>
    <w:p>
      <w:pPr>
        <w:pStyle w:val="Normal"/>
        <w:bidi w:val="0"/>
        <w:spacing w:before="57" w:after="57"/>
        <w:jc w:val="left"/>
        <w:rPr>
          <w:b/>
          <w:b/>
          <w:bCs/>
          <w:sz w:val="26"/>
          <w:szCs w:val="26"/>
          <w:u w:val="none"/>
        </w:rPr>
      </w:pPr>
      <w:r>
        <w:rPr>
          <w:b/>
          <w:bCs/>
          <w:sz w:val="26"/>
          <w:szCs w:val="26"/>
          <w:u w:val="none"/>
        </w:rPr>
        <w:t>1.</w:t>
      </w:r>
      <w:r>
        <w:rPr>
          <w:b/>
          <w:bCs/>
          <w:sz w:val="26"/>
          <w:szCs w:val="26"/>
          <w:u w:val="none"/>
        </w:rPr>
        <w:t>1</w:t>
      </w:r>
      <w:r>
        <w:rPr>
          <w:b/>
          <w:bCs/>
          <w:sz w:val="26"/>
          <w:szCs w:val="26"/>
          <w:u w:val="none"/>
        </w:rPr>
        <w:t xml:space="preserve"> </w:t>
      </w:r>
      <w:r>
        <w:rPr>
          <w:b/>
          <w:bCs/>
          <w:sz w:val="26"/>
          <w:szCs w:val="26"/>
          <w:u w:val="none"/>
        </w:rPr>
        <w:t>Drug-</w:t>
      </w:r>
      <w:r>
        <w:rPr>
          <w:b/>
          <w:bCs/>
          <w:sz w:val="26"/>
          <w:szCs w:val="26"/>
          <w:u w:val="none"/>
        </w:rPr>
        <w:t>Target Affinity Prediction</w:t>
      </w:r>
    </w:p>
    <w:p>
      <w:pPr>
        <w:pStyle w:val="Normal"/>
        <w:bidi w:val="0"/>
        <w:spacing w:before="57" w:after="57"/>
        <w:jc w:val="left"/>
        <w:rPr>
          <w:b w:val="false"/>
          <w:b w:val="false"/>
          <w:bCs w:val="false"/>
          <w:sz w:val="24"/>
          <w:szCs w:val="24"/>
          <w:u w:val="none"/>
        </w:rPr>
      </w:pPr>
      <w:r>
        <w:rPr>
          <w:b w:val="false"/>
          <w:bCs w:val="false"/>
          <w:sz w:val="24"/>
          <w:szCs w:val="24"/>
          <w:u w:val="none"/>
        </w:rPr>
        <w:t xml:space="preserve">Modern prediction of drug efficacy on cancerous cell lines and tumours employs a number of mechanisms to improve predictive accuracy </w:t>
      </w:r>
      <w:r>
        <w:rPr>
          <w:b w:val="false"/>
          <w:bCs w:val="false"/>
          <w:sz w:val="24"/>
          <w:szCs w:val="24"/>
          <w:u w:val="none"/>
        </w:rPr>
        <w:t>and therefore patient response and recovery</w:t>
      </w:r>
      <w:r>
        <w:rPr>
          <w:b w:val="false"/>
          <w:bCs w:val="false"/>
          <w:sz w:val="24"/>
          <w:szCs w:val="24"/>
          <w:u w:val="none"/>
        </w:rPr>
        <w:t>: Machine Learning techniques such as deep neural networks or random forests (</w:t>
      </w:r>
      <w:r>
        <w:rPr>
          <w:b w:val="false"/>
          <w:bCs w:val="false"/>
          <w:color w:val="C9211E"/>
          <w:sz w:val="24"/>
          <w:szCs w:val="24"/>
          <w:u w:val="none"/>
        </w:rPr>
        <w:t>REFERENCE</w:t>
      </w:r>
      <w:r>
        <w:rPr>
          <w:b w:val="false"/>
          <w:bCs w:val="false"/>
          <w:sz w:val="24"/>
          <w:szCs w:val="24"/>
          <w:u w:val="none"/>
        </w:rPr>
        <w:t>); integration of multi-omic data from cells (</w:t>
      </w:r>
      <w:r>
        <w:rPr>
          <w:b w:val="false"/>
          <w:bCs w:val="false"/>
          <w:color w:val="C9211E"/>
          <w:sz w:val="24"/>
          <w:szCs w:val="24"/>
          <w:u w:val="none"/>
        </w:rPr>
        <w:t>REFERENCE</w:t>
      </w:r>
      <w:r>
        <w:rPr>
          <w:b w:val="false"/>
          <w:bCs w:val="false"/>
          <w:sz w:val="24"/>
          <w:szCs w:val="24"/>
          <w:u w:val="none"/>
        </w:rPr>
        <w:t>); knowledge of protein and gene interaction networks (</w:t>
      </w:r>
      <w:r>
        <w:rPr>
          <w:b w:val="false"/>
          <w:bCs w:val="false"/>
          <w:color w:val="C9211E"/>
          <w:sz w:val="24"/>
          <w:szCs w:val="24"/>
          <w:u w:val="none"/>
        </w:rPr>
        <w:t>REFERENCE</w:t>
      </w:r>
      <w:r>
        <w:rPr>
          <w:b w:val="false"/>
          <w:bCs w:val="false"/>
          <w:sz w:val="24"/>
          <w:szCs w:val="24"/>
          <w:u w:val="none"/>
        </w:rPr>
        <w:t xml:space="preserve">). </w:t>
      </w:r>
      <w:r>
        <w:rPr>
          <w:b w:val="false"/>
          <w:bCs w:val="false"/>
          <w:sz w:val="24"/>
          <w:szCs w:val="24"/>
          <w:u w:val="none"/>
        </w:rPr>
        <w:t xml:space="preserve">However, these techniques depend on reliable information regarding drug-target affinity </w:t>
      </w:r>
      <w:r>
        <w:rPr>
          <w:b w:val="false"/>
          <w:bCs w:val="false"/>
          <w:sz w:val="24"/>
          <w:szCs w:val="24"/>
          <w:u w:val="none"/>
        </w:rPr>
        <w:t>(DTA)</w:t>
      </w:r>
      <w:r>
        <w:rPr>
          <w:b w:val="false"/>
          <w:bCs w:val="false"/>
          <w:sz w:val="24"/>
          <w:szCs w:val="24"/>
          <w:u w:val="none"/>
        </w:rPr>
        <w:t>, i.e. knowledge of what proteins and genes a given drug should impact, and the degree to which they impact them.</w:t>
      </w:r>
    </w:p>
    <w:p>
      <w:pPr>
        <w:pStyle w:val="Normal"/>
        <w:bidi w:val="0"/>
        <w:spacing w:before="57" w:after="57"/>
        <w:jc w:val="left"/>
        <w:rPr>
          <w:b w:val="false"/>
          <w:b w:val="false"/>
          <w:bCs w:val="false"/>
          <w:sz w:val="24"/>
          <w:szCs w:val="24"/>
          <w:u w:val="none"/>
        </w:rPr>
      </w:pPr>
      <w:r>
        <w:rPr>
          <w:b w:val="false"/>
          <w:bCs w:val="false"/>
          <w:sz w:val="24"/>
          <w:szCs w:val="24"/>
          <w:u w:val="none"/>
        </w:rPr>
        <w:t xml:space="preserve">Accurate DTA predictions improve drug research efforts, treatment efficacy, and reduce costs and, as such, is discussed in the literature and improvements are actively under research (Debnath et al., 2025; </w:t>
      </w:r>
      <w:r>
        <w:rPr>
          <w:b w:val="false"/>
          <w:bCs w:val="false"/>
          <w:sz w:val="24"/>
          <w:szCs w:val="24"/>
          <w:u w:val="none"/>
        </w:rPr>
        <w:t>Wu et al. 2024</w:t>
      </w:r>
      <w:r>
        <w:rPr>
          <w:b w:val="false"/>
          <w:bCs w:val="false"/>
          <w:sz w:val="24"/>
          <w:szCs w:val="24"/>
          <w:u w:val="none"/>
        </w:rPr>
        <w:t xml:space="preserve">). DTA prediction traditionally utilises structural information about drugs and target proteins to achieve results, and has increased in complexity and capacity with advances in Machine Learning. </w:t>
      </w:r>
      <w:r>
        <w:rPr>
          <w:b w:val="false"/>
          <w:bCs w:val="false"/>
          <w:sz w:val="24"/>
          <w:szCs w:val="24"/>
          <w:u w:val="none"/>
        </w:rPr>
        <w:t>GCNs have been employed with molecular graphs (Nguyen et al., 2020) and graph-based protein representations (Jiang et a., 2020), CNNs have been employed to extract information from protein sequences and SMILE representations (</w:t>
      </w:r>
      <w:r>
        <w:rPr>
          <w:b w:val="false"/>
          <w:bCs w:val="false"/>
          <w:sz w:val="24"/>
          <w:szCs w:val="24"/>
          <w:u w:val="none"/>
        </w:rPr>
        <w:t xml:space="preserve">Hirohara et al., 2018; </w:t>
      </w:r>
      <w:r>
        <w:rPr>
          <w:b w:val="false"/>
          <w:bCs w:val="false"/>
          <w:sz w:val="24"/>
          <w:szCs w:val="24"/>
          <w:u w:val="none"/>
        </w:rPr>
        <w:t xml:space="preserve">Ozturk et al., 2018), </w:t>
      </w:r>
      <w:r>
        <w:rPr>
          <w:b w:val="false"/>
          <w:bCs w:val="false"/>
          <w:sz w:val="24"/>
          <w:szCs w:val="24"/>
          <w:u w:val="none"/>
        </w:rPr>
        <w:t>which has been combined with LSTM architecture to also encode drug information (Abbasi et al., 2020).</w:t>
      </w:r>
    </w:p>
    <w:p>
      <w:pPr>
        <w:pStyle w:val="Normal"/>
        <w:bidi w:val="0"/>
        <w:spacing w:before="57" w:after="57"/>
        <w:jc w:val="left"/>
        <w:rPr>
          <w:b w:val="false"/>
          <w:b w:val="false"/>
          <w:bCs w:val="false"/>
          <w:sz w:val="24"/>
          <w:szCs w:val="24"/>
          <w:u w:val="none"/>
        </w:rPr>
      </w:pPr>
      <w:r>
        <w:rPr>
          <w:b w:val="false"/>
          <w:bCs w:val="false"/>
          <w:sz w:val="24"/>
          <w:szCs w:val="24"/>
          <w:u w:val="none"/>
        </w:rPr>
        <w:t xml:space="preserve">However, while encoding and feature extraction of protein and drug structural and functional information is obviously an essential facet of DTA prediction, many of these models fail to leverage available biological data of interaction between drugs and cancerous cell lines, </w:t>
      </w:r>
      <w:r>
        <w:rPr>
          <w:b w:val="false"/>
          <w:bCs w:val="false"/>
          <w:sz w:val="24"/>
          <w:szCs w:val="24"/>
          <w:u w:val="none"/>
        </w:rPr>
        <w:t>in spite of this data being both available and predictively useful (Koras et al., 2021)</w:t>
      </w:r>
      <w:r>
        <w:rPr>
          <w:b w:val="false"/>
          <w:bCs w:val="false"/>
          <w:sz w:val="24"/>
          <w:szCs w:val="24"/>
          <w:u w:val="none"/>
        </w:rPr>
        <w:t xml:space="preserve">. </w:t>
      </w:r>
      <w:r>
        <w:rPr>
          <w:b w:val="false"/>
          <w:bCs w:val="false"/>
          <w:sz w:val="24"/>
          <w:szCs w:val="24"/>
          <w:u w:val="none"/>
        </w:rPr>
        <w:t>Here, we aim to determine the predictability of known drug-gene targets utilising cell line data, use our drug-gene interaction method to predict other drug-gene targets, and investigate the apparent power of combination drug treatment through this DTA prediction lens.</w:t>
      </w:r>
    </w:p>
    <w:p>
      <w:pPr>
        <w:pStyle w:val="Normal"/>
        <w:bidi w:val="0"/>
        <w:spacing w:before="57" w:after="57"/>
        <w:jc w:val="left"/>
        <w:rPr>
          <w:b/>
          <w:b/>
          <w:bCs/>
          <w:sz w:val="26"/>
          <w:szCs w:val="26"/>
          <w:u w:val="none"/>
        </w:rPr>
      </w:pPr>
      <w:r>
        <w:rPr>
          <w:b/>
          <w:bCs/>
          <w:sz w:val="26"/>
          <w:szCs w:val="26"/>
          <w:u w:val="none"/>
        </w:rPr>
        <w:t>1.</w:t>
      </w:r>
      <w:r>
        <w:rPr>
          <w:b/>
          <w:bCs/>
          <w:sz w:val="26"/>
          <w:szCs w:val="26"/>
          <w:u w:val="none"/>
        </w:rPr>
        <w:t>2</w:t>
      </w:r>
      <w:r>
        <w:rPr>
          <w:b/>
          <w:bCs/>
          <w:sz w:val="26"/>
          <w:szCs w:val="26"/>
          <w:u w:val="none"/>
        </w:rPr>
        <w:t xml:space="preserve"> </w:t>
      </w:r>
      <w:r>
        <w:rPr>
          <w:b/>
          <w:bCs/>
          <w:sz w:val="26"/>
          <w:szCs w:val="26"/>
          <w:u w:val="none"/>
        </w:rPr>
        <w:t>GDSC</w:t>
      </w:r>
    </w:p>
    <w:p>
      <w:pPr>
        <w:pStyle w:val="Normal"/>
        <w:bidi w:val="0"/>
        <w:spacing w:before="57" w:after="57"/>
        <w:jc w:val="left"/>
        <w:rPr>
          <w:b w:val="false"/>
          <w:b w:val="false"/>
          <w:bCs w:val="false"/>
          <w:sz w:val="24"/>
          <w:szCs w:val="24"/>
          <w:u w:val="none"/>
        </w:rPr>
      </w:pPr>
      <w:r>
        <w:rPr>
          <w:b w:val="false"/>
          <w:bCs w:val="false"/>
          <w:sz w:val="24"/>
          <w:szCs w:val="24"/>
          <w:u w:val="none"/>
        </w:rPr>
        <w:t xml:space="preserve">The Genomics of Drug Sensitivity in Cancer </w:t>
      </w:r>
      <w:r>
        <w:rPr>
          <w:b w:val="false"/>
          <w:bCs w:val="false"/>
          <w:sz w:val="24"/>
          <w:szCs w:val="24"/>
          <w:u w:val="none"/>
        </w:rPr>
        <w:t>(</w:t>
      </w:r>
      <w:r>
        <w:rPr>
          <w:b w:val="false"/>
          <w:bCs w:val="false"/>
          <w:sz w:val="24"/>
          <w:szCs w:val="24"/>
          <w:u w:val="none"/>
        </w:rPr>
        <w:t>GDSC</w:t>
      </w:r>
      <w:r>
        <w:rPr>
          <w:b w:val="false"/>
          <w:bCs w:val="false"/>
          <w:sz w:val="24"/>
          <w:szCs w:val="24"/>
          <w:u w:val="none"/>
        </w:rPr>
        <w:t>)</w:t>
      </w:r>
      <w:r>
        <w:rPr>
          <w:b w:val="false"/>
          <w:bCs w:val="false"/>
          <w:sz w:val="24"/>
          <w:szCs w:val="24"/>
          <w:u w:val="none"/>
        </w:rPr>
        <w:t xml:space="preserve"> database contains thousands of experimental results exposing known cell lines to numerous pharmacological compounds </w:t>
      </w:r>
      <w:r>
        <w:rPr>
          <w:b w:val="false"/>
          <w:bCs w:val="false"/>
          <w:sz w:val="24"/>
          <w:szCs w:val="24"/>
          <w:u w:val="none"/>
        </w:rPr>
        <w:t xml:space="preserve">(Yang </w:t>
      </w:r>
      <w:r>
        <w:rPr>
          <w:b w:val="false"/>
          <w:bCs w:val="false"/>
          <w:sz w:val="24"/>
          <w:szCs w:val="24"/>
          <w:u w:val="none"/>
        </w:rPr>
        <w:t>et al.,</w:t>
      </w:r>
      <w:r>
        <w:rPr>
          <w:b w:val="false"/>
          <w:bCs w:val="false"/>
          <w:sz w:val="24"/>
          <w:szCs w:val="24"/>
          <w:u w:val="none"/>
        </w:rPr>
        <w:t xml:space="preserve"> 2013)</w:t>
      </w:r>
      <w:r>
        <w:rPr>
          <w:b w:val="false"/>
          <w:bCs w:val="false"/>
          <w:sz w:val="24"/>
          <w:szCs w:val="24"/>
          <w:u w:val="none"/>
        </w:rPr>
        <w:t xml:space="preserve">. </w:t>
      </w:r>
      <w:r>
        <w:rPr>
          <w:b w:val="false"/>
          <w:bCs w:val="false"/>
          <w:sz w:val="24"/>
          <w:szCs w:val="24"/>
          <w:u w:val="none"/>
        </w:rPr>
        <w:t xml:space="preserve">As of </w:t>
      </w:r>
      <w:r>
        <w:rPr>
          <w:b w:val="false"/>
          <w:bCs w:val="false"/>
          <w:sz w:val="24"/>
          <w:szCs w:val="24"/>
          <w:u w:val="none"/>
        </w:rPr>
        <w:t>now</w:t>
      </w:r>
      <w:r>
        <w:rPr>
          <w:b w:val="false"/>
          <w:bCs w:val="false"/>
          <w:sz w:val="24"/>
          <w:szCs w:val="24"/>
          <w:u w:val="none"/>
        </w:rPr>
        <w:t xml:space="preserve">, the GDSC database has been used to some capacity in over 4, 000 articles, </w:t>
      </w:r>
      <w:r>
        <w:rPr>
          <w:b w:val="false"/>
          <w:bCs w:val="false"/>
          <w:sz w:val="24"/>
          <w:szCs w:val="24"/>
          <w:u w:val="none"/>
        </w:rPr>
        <w:t>being used as data for AI models, integration into larger datasets, reference material for practical experiments concerning specific drugs or genes, and more</w:t>
      </w:r>
      <w:r>
        <w:rPr>
          <w:b w:val="false"/>
          <w:bCs w:val="false"/>
          <w:sz w:val="24"/>
          <w:szCs w:val="24"/>
          <w:u w:val="none"/>
        </w:rPr>
        <w:t>.</w:t>
      </w:r>
    </w:p>
    <w:p>
      <w:pPr>
        <w:pStyle w:val="Normal"/>
        <w:bidi w:val="0"/>
        <w:spacing w:before="57" w:after="57"/>
        <w:jc w:val="left"/>
        <w:rPr>
          <w:b w:val="false"/>
          <w:b w:val="false"/>
          <w:bCs w:val="false"/>
          <w:sz w:val="24"/>
          <w:szCs w:val="24"/>
          <w:u w:val="none"/>
        </w:rPr>
      </w:pPr>
      <w:r>
        <w:rPr>
          <w:b w:val="false"/>
          <w:bCs w:val="false"/>
          <w:sz w:val="24"/>
          <w:szCs w:val="24"/>
          <w:u w:val="none"/>
        </w:rPr>
        <w:t xml:space="preserve">The results found in the GDSC database demonstrate that, even within a given cancer tissue type, different pharmacological compounds, i.e. different drugs, can show radically different responses. </w:t>
      </w:r>
      <w:r>
        <w:rPr>
          <w:b w:val="false"/>
          <w:bCs w:val="false"/>
          <w:sz w:val="24"/>
          <w:szCs w:val="24"/>
          <w:u w:val="none"/>
        </w:rPr>
        <w:t xml:space="preserve">This is now a well-known fact, especially in the context of synthetic lethality; PARP inhibitors can show great effectiveness when used in BRCA1/2 mutant breast cancers </w:t>
      </w:r>
      <w:r>
        <w:rPr>
          <w:b w:val="false"/>
          <w:bCs w:val="false"/>
          <w:sz w:val="24"/>
          <w:szCs w:val="24"/>
          <w:u w:val="none"/>
        </w:rPr>
        <w:t>(Lord and Ashworth, 2017)</w:t>
      </w:r>
      <w:r>
        <w:rPr>
          <w:b w:val="false"/>
          <w:bCs w:val="false"/>
          <w:sz w:val="24"/>
          <w:szCs w:val="24"/>
          <w:u w:val="none"/>
        </w:rPr>
        <w:t xml:space="preserve">; ATR inhibitors show response against ARID1A-deficient tumours </w:t>
      </w:r>
      <w:r>
        <w:rPr>
          <w:b w:val="false"/>
          <w:bCs w:val="false"/>
          <w:sz w:val="24"/>
          <w:szCs w:val="24"/>
          <w:u w:val="none"/>
        </w:rPr>
        <w:t>(Williamson et al., 2016)</w:t>
      </w:r>
      <w:r>
        <w:rPr>
          <w:b w:val="false"/>
          <w:bCs w:val="false"/>
          <w:sz w:val="24"/>
          <w:szCs w:val="24"/>
          <w:u w:val="none"/>
        </w:rPr>
        <w:t xml:space="preserve">; Wee1 inhibitors can target p53-mutant cells </w:t>
      </w:r>
      <w:r>
        <w:rPr>
          <w:b w:val="false"/>
          <w:bCs w:val="false"/>
          <w:sz w:val="24"/>
          <w:szCs w:val="24"/>
          <w:u w:val="none"/>
        </w:rPr>
        <w:t>(Meng et al., 2021)</w:t>
      </w:r>
      <w:r>
        <w:rPr>
          <w:b w:val="false"/>
          <w:bCs w:val="false"/>
          <w:sz w:val="24"/>
          <w:szCs w:val="24"/>
          <w:u w:val="none"/>
        </w:rPr>
        <w:t xml:space="preserve">; etc.. </w:t>
      </w:r>
      <w:r>
        <w:rPr>
          <w:b w:val="false"/>
          <w:bCs w:val="false"/>
          <w:sz w:val="24"/>
          <w:szCs w:val="24"/>
          <w:u w:val="none"/>
        </w:rPr>
        <w:t>However, while a number of specific synthetically lethal links have been identified, the sheer quantity of genes and possible mutations thereof, along with available existing drugs, means that a number of these have potentially not been identified. Especially where these effects are statistically notable but not complete, i.e. given gene mutations increase drug susceptibility but not completely (</w:t>
      </w:r>
      <w:r>
        <w:rPr>
          <w:b w:val="false"/>
          <w:bCs w:val="false"/>
          <w:color w:val="C9211E"/>
          <w:sz w:val="24"/>
          <w:szCs w:val="24"/>
          <w:u w:val="none"/>
        </w:rPr>
        <w:t>IDEALLY NEED TO FIND SOME EXAMPLES OF THIS</w:t>
      </w:r>
      <w:r>
        <w:rPr>
          <w:b w:val="false"/>
          <w:bCs w:val="false"/>
          <w:sz w:val="24"/>
          <w:szCs w:val="24"/>
          <w:u w:val="none"/>
        </w:rPr>
        <w:t>). Finally, this does not take into account the possibility of applying multiple drugs, and thereby targeting multiple genes/proteins, simultaneously.</w:t>
      </w:r>
    </w:p>
    <w:p>
      <w:pPr>
        <w:pStyle w:val="Normal"/>
        <w:bidi w:val="0"/>
        <w:spacing w:before="57" w:after="57"/>
        <w:jc w:val="left"/>
        <w:rPr>
          <w:b/>
          <w:b/>
          <w:bCs/>
          <w:sz w:val="26"/>
          <w:szCs w:val="26"/>
          <w:u w:val="none"/>
        </w:rPr>
      </w:pPr>
      <w:r>
        <w:rPr>
          <w:b/>
          <w:bCs/>
          <w:sz w:val="26"/>
          <w:szCs w:val="26"/>
          <w:u w:val="none"/>
        </w:rPr>
        <w:t>1.3 Drug Combination Effects</w:t>
      </w:r>
    </w:p>
    <w:p>
      <w:pPr>
        <w:pStyle w:val="Normal"/>
        <w:bidi w:val="0"/>
        <w:spacing w:before="57" w:after="57"/>
        <w:jc w:val="left"/>
        <w:rPr/>
      </w:pPr>
      <w:r>
        <w:rPr>
          <w:b w:val="false"/>
          <w:bCs w:val="false"/>
          <w:sz w:val="24"/>
          <w:szCs w:val="24"/>
          <w:u w:val="none"/>
        </w:rPr>
        <w:t xml:space="preserve">A number of studies have found that, </w:t>
      </w:r>
      <w:r>
        <w:rPr>
          <w:b w:val="false"/>
          <w:bCs w:val="false"/>
          <w:sz w:val="24"/>
          <w:szCs w:val="24"/>
          <w:u w:val="none"/>
        </w:rPr>
        <w:t>as one would expect,</w:t>
      </w:r>
      <w:r>
        <w:rPr>
          <w:b w:val="false"/>
          <w:bCs w:val="false"/>
          <w:sz w:val="24"/>
          <w:szCs w:val="24"/>
          <w:u w:val="none"/>
        </w:rPr>
        <w:t xml:space="preserve"> certain cancers respond well to multiple anti-cancer drugs being used in tandem as opposed to one individually, </w:t>
      </w:r>
      <w:r>
        <w:rPr>
          <w:b w:val="false"/>
          <w:bCs w:val="false"/>
          <w:sz w:val="24"/>
          <w:szCs w:val="24"/>
          <w:u w:val="none"/>
        </w:rPr>
        <w:t>and as such are often employed in a clinical setting</w:t>
      </w:r>
      <w:r>
        <w:rPr>
          <w:b w:val="false"/>
          <w:bCs w:val="false"/>
          <w:sz w:val="24"/>
          <w:szCs w:val="24"/>
          <w:u w:val="none"/>
        </w:rPr>
        <w:t xml:space="preserve"> (</w:t>
      </w:r>
      <w:r>
        <w:rPr>
          <w:b w:val="false"/>
          <w:bCs w:val="false"/>
          <w:sz w:val="24"/>
          <w:szCs w:val="24"/>
          <w:u w:val="none"/>
        </w:rPr>
        <w:t xml:space="preserve">Ling and Huang, 2020; </w:t>
      </w:r>
      <w:r>
        <w:rPr>
          <w:b w:val="false"/>
          <w:bCs w:val="false"/>
          <w:sz w:val="24"/>
          <w:szCs w:val="24"/>
          <w:u w:val="none"/>
        </w:rPr>
        <w:t xml:space="preserve">Shouten et al., 2016; </w:t>
      </w:r>
      <w:r>
        <w:rPr>
          <w:b w:val="false"/>
          <w:bCs w:val="false"/>
          <w:sz w:val="24"/>
          <w:szCs w:val="24"/>
          <w:u w:val="none"/>
        </w:rPr>
        <w:t>Bukowska et al., 2015)</w:t>
      </w:r>
      <w:r>
        <w:rPr>
          <w:b w:val="false"/>
          <w:bCs w:val="false"/>
          <w:sz w:val="24"/>
          <w:szCs w:val="24"/>
          <w:u w:val="none"/>
        </w:rPr>
        <w:t xml:space="preserve">. </w:t>
      </w:r>
      <w:r>
        <w:rPr>
          <w:b w:val="false"/>
          <w:bCs w:val="false"/>
          <w:sz w:val="24"/>
          <w:szCs w:val="24"/>
          <w:u w:val="none"/>
        </w:rPr>
        <w:t>Whether these drug combinations improve upon single-drug treatment through drug synergy or dual-functioning independent drugs is an ongoing struggle with no clear answers (Foucquier et al., 2015; Frei et al., 1961), however, the fact that certain drugs show desirable results when employed in tandem is undeniable.</w:t>
      </w:r>
      <w:r>
        <w:rPr>
          <w:b w:val="false"/>
          <w:bCs w:val="false"/>
          <w:sz w:val="24"/>
          <w:szCs w:val="24"/>
          <w:u w:val="none"/>
        </w:rPr>
        <w:t xml:space="preserve"> </w:t>
      </w:r>
      <w:r>
        <w:rPr>
          <w:b w:val="false"/>
          <w:bCs w:val="false"/>
          <w:sz w:val="24"/>
          <w:szCs w:val="24"/>
          <w:u w:val="none"/>
        </w:rPr>
        <w:t xml:space="preserve">Similarly to </w:t>
      </w:r>
      <w:r>
        <w:rPr>
          <w:b w:val="false"/>
          <w:bCs w:val="false"/>
          <w:sz w:val="24"/>
          <w:szCs w:val="24"/>
          <w:u w:val="none"/>
        </w:rPr>
        <w:t xml:space="preserve">in the previous discussion, </w:t>
      </w:r>
      <w:r>
        <w:rPr>
          <w:b w:val="false"/>
          <w:bCs w:val="false"/>
          <w:sz w:val="24"/>
          <w:szCs w:val="24"/>
          <w:u w:val="none"/>
        </w:rPr>
        <w:t>however,</w:t>
      </w:r>
      <w:r>
        <w:rPr>
          <w:b w:val="false"/>
          <w:bCs w:val="false"/>
          <w:sz w:val="24"/>
          <w:szCs w:val="24"/>
          <w:u w:val="none"/>
        </w:rPr>
        <w:t xml:space="preserve"> the efficacy of these drug combinations is highly dependent on the cancer tissue and acquired mutations. </w:t>
      </w:r>
      <w:r>
        <w:rPr>
          <w:b w:val="false"/>
          <w:bCs w:val="false"/>
          <w:sz w:val="24"/>
          <w:szCs w:val="24"/>
          <w:u w:val="none"/>
        </w:rPr>
        <w:t>Here, we employ our method of determining drug-gene interactions in the case of both individually-acting drugs and their efficacy in tandem, to investigate both how drug efficacy appears to change when drugs are combined, and whether the genes which appear to be targeted are simply a combination of the two individually or more novel.</w:t>
      </w:r>
    </w:p>
    <w:p>
      <w:pPr>
        <w:pStyle w:val="Normal"/>
        <w:bidi w:val="0"/>
        <w:spacing w:before="57" w:after="57"/>
        <w:jc w:val="left"/>
        <w:rPr>
          <w:b/>
          <w:b/>
          <w:bCs/>
          <w:sz w:val="28"/>
          <w:szCs w:val="28"/>
          <w:u w:val="single"/>
        </w:rPr>
      </w:pPr>
      <w:r>
        <w:rPr>
          <w:b/>
          <w:bCs/>
          <w:sz w:val="28"/>
          <w:szCs w:val="28"/>
          <w:u w:val="single"/>
        </w:rPr>
        <w:t xml:space="preserve">2 </w:t>
      </w:r>
      <w:r>
        <w:rPr>
          <w:b/>
          <w:bCs/>
          <w:sz w:val="28"/>
          <w:szCs w:val="28"/>
          <w:u w:val="single"/>
        </w:rPr>
        <w:t>Methodology</w:t>
      </w:r>
    </w:p>
    <w:p>
      <w:pPr>
        <w:pStyle w:val="Normal"/>
        <w:bidi w:val="0"/>
        <w:spacing w:before="57" w:after="57"/>
        <w:jc w:val="left"/>
        <w:rPr>
          <w:b/>
          <w:b/>
          <w:bCs/>
          <w:sz w:val="26"/>
          <w:szCs w:val="26"/>
        </w:rPr>
      </w:pPr>
      <w:r>
        <w:rPr>
          <w:b/>
          <w:bCs/>
          <w:sz w:val="26"/>
          <w:szCs w:val="26"/>
        </w:rPr>
        <w:t xml:space="preserve">2.1 </w:t>
      </w:r>
      <w:r>
        <w:rPr>
          <w:b/>
          <w:bCs/>
          <w:sz w:val="26"/>
          <w:szCs w:val="26"/>
        </w:rPr>
        <w:t>Data Source</w:t>
      </w:r>
      <w:r>
        <w:rPr>
          <w:b/>
          <w:bCs/>
          <w:sz w:val="26"/>
          <w:szCs w:val="26"/>
        </w:rPr>
        <w:t>s</w:t>
      </w:r>
    </w:p>
    <w:p>
      <w:pPr>
        <w:pStyle w:val="Normal"/>
        <w:bidi w:val="0"/>
        <w:spacing w:before="57" w:after="57"/>
        <w:jc w:val="left"/>
        <w:rPr/>
      </w:pPr>
      <w:r>
        <w:rPr/>
        <w:t xml:space="preserve">Survivability of </w:t>
      </w:r>
      <w:r>
        <w:rPr/>
        <w:t xml:space="preserve">cancer </w:t>
      </w:r>
      <w:r>
        <w:rPr/>
        <w:t>cell lines</w:t>
      </w:r>
      <w:r>
        <w:rPr/>
        <w:t xml:space="preserve"> when exposed to numerous pharmacological </w:t>
      </w:r>
      <w:r>
        <w:rPr/>
        <w:t>compounds, or ‘drugs’,</w:t>
      </w:r>
      <w:r>
        <w:rPr/>
        <w:t xml:space="preserve"> was taken from GDSC </w:t>
      </w:r>
      <w:r>
        <w:rPr/>
        <w:t>and GDSCC</w:t>
      </w:r>
      <w:r>
        <w:rPr/>
        <w:t xml:space="preserve">. </w:t>
      </w:r>
      <w:r>
        <w:rPr/>
        <w:t xml:space="preserve">This data took the form of </w:t>
      </w:r>
      <w:r>
        <w:rPr>
          <w:color w:val="auto"/>
        </w:rPr>
        <w:t>drug lethality</w:t>
      </w:r>
      <w:r>
        <w:rPr/>
        <w:t xml:space="preserve"> for cell lines when exposed to these drugs, as well as controls. For each drug-gene pair, there were numerous cell lines demonstrating mutations within the given gene. </w:t>
      </w:r>
      <w:r>
        <w:rPr/>
        <w:t xml:space="preserve">The </w:t>
      </w:r>
      <w:r>
        <w:rPr/>
        <w:t xml:space="preserve">individual-drug GDSC datasets </w:t>
      </w:r>
      <w:r>
        <w:rPr/>
        <w:t xml:space="preserve">(GDSC1 and GDSC2) </w:t>
      </w:r>
      <w:r>
        <w:rPr/>
        <w:t>contained</w:t>
      </w:r>
      <w:r>
        <w:rPr>
          <w:color w:val="auto"/>
        </w:rPr>
        <w:t xml:space="preserve"> </w:t>
      </w:r>
      <w:r>
        <w:rPr>
          <w:color w:val="auto"/>
        </w:rPr>
        <w:t>542</w:t>
      </w:r>
      <w:r>
        <w:rPr>
          <w:color w:val="auto"/>
        </w:rPr>
        <w:t xml:space="preserve"> pharm</w:t>
      </w:r>
      <w:r>
        <w:rPr/>
        <w:t xml:space="preserve">acological </w:t>
      </w:r>
      <w:r>
        <w:rPr/>
        <w:t>compounds</w:t>
      </w:r>
      <w:r>
        <w:rPr/>
        <w:t xml:space="preserve"> and their </w:t>
      </w:r>
      <w:r>
        <w:rPr/>
        <w:t xml:space="preserve">impact on the survivability of 978 </w:t>
      </w:r>
      <w:r>
        <w:rPr/>
        <w:t xml:space="preserve">cell lines. </w:t>
      </w:r>
      <w:r>
        <w:rPr/>
        <w:t xml:space="preserve">Utilising CRISPR-derived gene dependency data for each cell line taken from </w:t>
      </w:r>
      <w:r>
        <w:rPr>
          <w:color w:val="C9211E"/>
        </w:rPr>
        <w:t>INSERT CRISPR DEPENDENCY SOURCE HERE</w:t>
      </w:r>
      <w:r>
        <w:rPr/>
        <w:t xml:space="preserve"> gives us the correlation between these 542 pharmacological compounds and </w:t>
      </w:r>
      <w:r>
        <w:rPr/>
        <w:t xml:space="preserve">their interaction with </w:t>
      </w:r>
      <w:r>
        <w:rPr/>
        <w:t xml:space="preserve">18,443 </w:t>
      </w:r>
      <w:r>
        <w:rPr/>
        <w:t xml:space="preserve">genes. </w:t>
      </w:r>
      <w:r>
        <w:rPr/>
        <w:t>Similarly, GDSCC gives us 1,394 different combinations of these pharmacological compounds and their impact on the survivability of 767 cell lines, allowing for comparison of these 1,394 compound combinations and their interaction with 18, 443 genes utilising the CRISPR dependency data.</w:t>
      </w:r>
    </w:p>
    <w:p>
      <w:pPr>
        <w:pStyle w:val="Normal"/>
        <w:bidi w:val="0"/>
        <w:spacing w:before="57" w:after="57"/>
        <w:jc w:val="left"/>
        <w:rPr>
          <w:b/>
          <w:b/>
          <w:bCs/>
          <w:sz w:val="26"/>
          <w:szCs w:val="26"/>
        </w:rPr>
      </w:pPr>
      <w:r>
        <w:rPr>
          <w:b/>
          <w:bCs/>
          <w:sz w:val="26"/>
          <w:szCs w:val="26"/>
        </w:rPr>
        <w:t xml:space="preserve">2.2 </w:t>
      </w:r>
      <w:r>
        <w:rPr>
          <w:b/>
          <w:bCs/>
          <w:sz w:val="26"/>
          <w:szCs w:val="26"/>
        </w:rPr>
        <w:t xml:space="preserve">Survivability </w:t>
      </w:r>
      <w:r>
        <w:rPr>
          <w:b/>
          <w:bCs/>
          <w:sz w:val="26"/>
          <w:szCs w:val="26"/>
        </w:rPr>
        <w:t>Correlation</w:t>
      </w:r>
    </w:p>
    <w:p>
      <w:pPr>
        <w:pStyle w:val="Normal"/>
        <w:bidi w:val="0"/>
        <w:spacing w:before="57" w:after="57"/>
        <w:jc w:val="left"/>
        <w:rPr/>
      </w:pPr>
      <w:r>
        <w:rPr>
          <w:color w:val="C9211E"/>
        </w:rPr>
        <w:t>CRISPR DEPENDENCY SOURCE</w:t>
      </w:r>
      <w:r>
        <w:rPr/>
        <w:t xml:space="preserve"> </w:t>
      </w:r>
      <w:r>
        <w:rPr/>
        <w:t xml:space="preserve">gives information on </w:t>
      </w:r>
      <w:r>
        <w:rPr/>
        <w:t xml:space="preserve">gene essentiality for each cell line </w:t>
      </w:r>
      <w:r>
        <w:rPr/>
        <w:t xml:space="preserve">used in GDSC by generating CRISPR knockout versions of the cell lines. </w:t>
      </w:r>
      <w:r>
        <w:rPr/>
        <w:t xml:space="preserve">This allows us to </w:t>
      </w:r>
      <w:r>
        <w:rPr/>
        <w:t xml:space="preserve">test the effect of knocking out each gene on cell growth </w:t>
      </w:r>
      <w:r>
        <w:rPr/>
        <w:t>and viability</w:t>
      </w:r>
      <w:r>
        <w:rPr/>
        <w:t>. This gene essentiality data</w:t>
      </w:r>
      <w:r>
        <w:rPr/>
        <w:t xml:space="preserve"> was combined with GDSC drug-gene binding affinity, i.e. pKi values, and tested to compute the Pearson correlation coefficient between each, detailed in equation 1 below. This gives a single </w:t>
      </w:r>
      <w:r>
        <w:rPr/>
        <w:t xml:space="preserve">‘survivability correlation’ </w:t>
      </w:r>
      <w:r>
        <w:rPr/>
        <w:t xml:space="preserve">giving the relative importance of each pharmacological compound for each gene </w:t>
      </w:r>
      <w:r>
        <w:rPr/>
        <w:t>and vice versa</w:t>
      </w:r>
      <w:r>
        <w:rPr/>
        <w:t xml:space="preserve">. </w:t>
      </w:r>
      <w:r>
        <w:rPr/>
        <w:t>From this</w:t>
      </w:r>
      <w:r>
        <w:rPr/>
        <w:t>, we obtain a matrix of survivability correlations between pharmacological drugs and gene</w:t>
      </w:r>
      <w:r>
        <w:rPr/>
        <w:t>s,</w:t>
      </w:r>
      <w:r>
        <w:rPr/>
        <w:t xml:space="preserve"> </w:t>
      </w:r>
      <w:r>
        <w:rPr/>
        <w:t>or, in the case of GDSCC, a matrix between pharmacological drug combinations and gene knockouts</w:t>
      </w:r>
      <w:r>
        <w:rPr/>
        <w:t>.</w:t>
      </w:r>
    </w:p>
    <w:p>
      <w:pPr>
        <w:pStyle w:val="Normal"/>
        <w:bidi w:val="0"/>
        <w:spacing w:before="57" w:after="57"/>
        <w:jc w:val="left"/>
        <w:rPr>
          <w:sz w:val="20"/>
          <w:szCs w:val="20"/>
        </w:rPr>
      </w:pPr>
      <w:r>
        <w:rPr>
          <w:sz w:val="20"/>
          <w:szCs w:val="20"/>
        </w:rPr>
        <w:t>Equation</w:t>
      </w:r>
      <w:r>
        <w:rPr>
          <w:sz w:val="20"/>
          <w:szCs w:val="20"/>
        </w:rPr>
        <w:t xml:space="preserve"> 1: Survivability correlation calculation</w:t>
      </w:r>
    </w:p>
    <w:p>
      <w:pPr>
        <w:pStyle w:val="Normal"/>
        <w:bidi w:val="0"/>
        <w:spacing w:before="57" w:after="57"/>
        <w:jc w:val="left"/>
        <w:rPr>
          <w:color w:val="C9211E"/>
        </w:rPr>
      </w:pPr>
      <w:r>
        <w:rPr>
          <w:color w:val="C9211E"/>
        </w:rPr>
        <w:t>INSERT ALGORITHM FOR CALCULATING SURVIVABILITY CORRELATION</w:t>
      </w:r>
    </w:p>
    <w:p>
      <w:pPr>
        <w:pStyle w:val="Normal"/>
        <w:bidi w:val="0"/>
        <w:spacing w:before="57" w:after="57"/>
        <w:jc w:val="left"/>
        <w:rPr>
          <w:color w:val="auto"/>
        </w:rPr>
      </w:pPr>
      <w:r>
        <w:rPr>
          <w:color w:val="auto"/>
        </w:rPr>
        <w:t xml:space="preserve">Unfortunately, GDSCC does not give binding affinity data; as such, eMax values were used in place of pKi to calculate survivability correlation as these were available for each drug individually and when used in tandem. </w:t>
      </w:r>
      <w:r>
        <w:rPr>
          <w:color w:val="auto"/>
        </w:rPr>
        <w:t>As such, comparisons between GDSC and GDSCC are not performed in this investigation.</w:t>
      </w:r>
    </w:p>
    <w:p>
      <w:pPr>
        <w:pStyle w:val="Normal"/>
        <w:bidi w:val="0"/>
        <w:spacing w:before="57" w:after="57"/>
        <w:jc w:val="left"/>
        <w:rPr>
          <w:b/>
          <w:b/>
          <w:bCs/>
          <w:sz w:val="26"/>
          <w:szCs w:val="26"/>
        </w:rPr>
      </w:pPr>
      <w:r>
        <w:rPr>
          <w:b/>
          <w:bCs/>
          <w:sz w:val="26"/>
          <w:szCs w:val="26"/>
        </w:rPr>
        <w:t xml:space="preserve">2.3 </w:t>
      </w:r>
      <w:r>
        <w:rPr>
          <w:b/>
          <w:bCs/>
          <w:sz w:val="26"/>
          <w:szCs w:val="26"/>
        </w:rPr>
        <w:t>Survivability Threshold</w:t>
      </w:r>
    </w:p>
    <w:p>
      <w:pPr>
        <w:pStyle w:val="Normal"/>
        <w:bidi w:val="0"/>
        <w:spacing w:before="57" w:after="57"/>
        <w:jc w:val="left"/>
        <w:rPr/>
      </w:pPr>
      <w:r>
        <w:rPr/>
        <w:t xml:space="preserve">From this </w:t>
      </w:r>
      <w:r>
        <w:rPr/>
        <w:t xml:space="preserve">survivability correlation </w:t>
      </w:r>
      <w:r>
        <w:rPr/>
        <w:t xml:space="preserve">matrix we can extract the </w:t>
      </w:r>
      <w:r>
        <w:rPr/>
        <w:t>correlations</w:t>
      </w:r>
      <w:r>
        <w:rPr/>
        <w:t xml:space="preserve"> for genes per given drug, giving us a distribution of gene survivability correlations for each individual drug. </w:t>
      </w:r>
      <w:r>
        <w:rPr/>
        <w:t xml:space="preserve">This distribution is used to calculate ‘survivability thresholds’ for each drug; any gene above the calculated survivability threshold is considered a strong target which the drug affects. See </w:t>
      </w:r>
      <w:r>
        <w:rPr/>
        <w:t>equation</w:t>
      </w:r>
      <w:r>
        <w:rPr/>
        <w:t xml:space="preserve"> </w:t>
      </w:r>
      <w:r>
        <w:rPr/>
        <w:t>2</w:t>
      </w:r>
      <w:r>
        <w:rPr/>
        <w:t xml:space="preserve"> below for how these thresholds are calculated.</w:t>
      </w:r>
    </w:p>
    <w:p>
      <w:pPr>
        <w:pStyle w:val="Normal"/>
        <w:bidi w:val="0"/>
        <w:spacing w:before="57" w:after="57"/>
        <w:jc w:val="left"/>
        <w:rPr>
          <w:sz w:val="20"/>
          <w:szCs w:val="20"/>
        </w:rPr>
      </w:pPr>
      <w:r>
        <w:rPr>
          <w:sz w:val="20"/>
          <w:szCs w:val="20"/>
        </w:rPr>
        <w:t>Equation</w:t>
      </w:r>
      <w:r>
        <w:rPr>
          <w:sz w:val="20"/>
          <w:szCs w:val="20"/>
        </w:rPr>
        <w:t xml:space="preserve"> </w:t>
      </w:r>
      <w:r>
        <w:rPr>
          <w:sz w:val="20"/>
          <w:szCs w:val="20"/>
        </w:rPr>
        <w:t>2</w:t>
      </w:r>
      <w:r>
        <w:rPr>
          <w:sz w:val="20"/>
          <w:szCs w:val="20"/>
        </w:rPr>
        <w:t>: Survivability threshold calculation</w:t>
      </w:r>
    </w:p>
    <w:p>
      <w:pPr>
        <w:pStyle w:val="Normal"/>
        <w:bidi w:val="0"/>
        <w:spacing w:before="57" w:after="57"/>
        <w:jc w:val="left"/>
        <w:rPr/>
      </w:pPr>
      <w:r>
        <w:rPr/>
        <w:t xml:space="preserve">{Dip test result &lt; </w:t>
      </w:r>
      <w:r>
        <w:rPr/>
        <w:t>0.6</w:t>
      </w:r>
      <w:r>
        <w:rPr/>
        <w:t xml:space="preserve"> </w:t>
      </w:r>
      <w:r>
        <w:rPr/>
        <w:t>OR equation below leads to unusable threshold</w:t>
      </w:r>
      <w:r>
        <w:rPr/>
        <w:t xml:space="preserve">→ </w:t>
      </w:r>
      <w:r>
        <w:rPr/>
        <w:t>mean + (3*standard deviation)</w:t>
      </w:r>
    </w:p>
    <w:p>
      <w:pPr>
        <w:pStyle w:val="Normal"/>
        <w:bidi w:val="0"/>
        <w:spacing w:before="57" w:after="57"/>
        <w:jc w:val="left"/>
        <w:rPr/>
      </w:pPr>
      <w:r>
        <w:rPr/>
        <w:t>{</w:t>
      </w:r>
      <w:r>
        <w:rPr/>
        <w:t>Dip test result &gt;= 0.6 → max(mu1, mu2) + 3*(max(sigma1, sigma2))</w:t>
      </w:r>
    </w:p>
    <w:p>
      <w:pPr>
        <w:pStyle w:val="Normal"/>
        <w:bidi w:val="0"/>
        <w:spacing w:before="57" w:after="57"/>
        <w:jc w:val="left"/>
        <w:rPr>
          <w:sz w:val="20"/>
          <w:szCs w:val="20"/>
        </w:rPr>
      </w:pPr>
      <w:r>
        <w:rPr>
          <w:sz w:val="20"/>
          <w:szCs w:val="20"/>
        </w:rPr>
        <w:t xml:space="preserve">Where mu1, mu2, sigma1 and sigma2 are fitted variables calculated for the curve </w:t>
      </w:r>
      <w:r>
        <w:rPr>
          <w:color w:val="C9211E"/>
          <w:sz w:val="20"/>
          <w:szCs w:val="20"/>
        </w:rPr>
        <w:t>INSERT BIMODAL CURVE EQUATION HERE</w:t>
      </w:r>
    </w:p>
    <w:p>
      <w:pPr>
        <w:pStyle w:val="Normal"/>
        <w:bidi w:val="0"/>
        <w:spacing w:before="57" w:after="57"/>
        <w:jc w:val="left"/>
        <w:rPr/>
      </w:pPr>
      <w:r>
        <w:rPr/>
        <w:t xml:space="preserve">With the survivability threshold calculated, we can determine which genes appear to act as ‘strong’ targets for each drug </w:t>
      </w:r>
      <w:r>
        <w:rPr/>
        <w:t>and vice versa</w:t>
      </w:r>
      <w:r>
        <w:rPr/>
        <w:t xml:space="preserve">, </w:t>
      </w:r>
      <w:r>
        <w:rPr/>
        <w:t>henceforth referred to as ‘survivability correlation-predicted (SCP) targets’</w:t>
      </w:r>
      <w:r>
        <w:rPr/>
        <w:t xml:space="preserve">. This can be compared to known drug targets, </w:t>
      </w:r>
      <w:r>
        <w:rPr/>
        <w:t xml:space="preserve">found </w:t>
      </w:r>
      <w:r>
        <w:rPr/>
        <w:t xml:space="preserve">through DrugBank, ChEMBL, </w:t>
      </w:r>
      <w:r>
        <w:rPr/>
        <w:t>PubChem, etc.,</w:t>
      </w:r>
      <w:r>
        <w:rPr/>
        <w:t xml:space="preserve"> to investigate whether these official targets align with our </w:t>
      </w:r>
      <w:r>
        <w:rPr/>
        <w:t>predictions</w:t>
      </w:r>
      <w:r>
        <w:rPr/>
        <w:t>.</w:t>
      </w:r>
    </w:p>
    <w:p>
      <w:pPr>
        <w:pStyle w:val="Normal"/>
        <w:bidi w:val="0"/>
        <w:spacing w:before="57" w:after="57"/>
        <w:jc w:val="left"/>
        <w:rPr>
          <w:b/>
          <w:b/>
          <w:bCs/>
          <w:sz w:val="26"/>
          <w:szCs w:val="26"/>
        </w:rPr>
      </w:pPr>
      <w:r>
        <w:rPr>
          <w:b/>
          <w:bCs/>
          <w:sz w:val="26"/>
          <w:szCs w:val="26"/>
        </w:rPr>
        <w:t xml:space="preserve">2.4 </w:t>
      </w:r>
      <w:r>
        <w:rPr>
          <w:b/>
          <w:bCs/>
          <w:sz w:val="26"/>
          <w:szCs w:val="26"/>
        </w:rPr>
        <w:t>SCP-true target comparisons</w:t>
      </w:r>
    </w:p>
    <w:p>
      <w:pPr>
        <w:pStyle w:val="Normal"/>
        <w:bidi w:val="0"/>
        <w:spacing w:before="57" w:after="57"/>
        <w:jc w:val="left"/>
        <w:rPr>
          <w:b w:val="false"/>
          <w:b w:val="false"/>
          <w:bCs w:val="false"/>
          <w:sz w:val="24"/>
          <w:szCs w:val="24"/>
        </w:rPr>
      </w:pPr>
      <w:r>
        <w:rPr>
          <w:b w:val="false"/>
          <w:bCs w:val="false"/>
          <w:sz w:val="24"/>
          <w:szCs w:val="24"/>
        </w:rPr>
        <w:t xml:space="preserve">Using the STRING database </w:t>
      </w:r>
      <w:r>
        <w:rPr>
          <w:b w:val="false"/>
          <w:bCs w:val="false"/>
          <w:sz w:val="24"/>
          <w:szCs w:val="24"/>
        </w:rPr>
        <w:t>(Szklarczyk et al., 2023)</w:t>
      </w:r>
      <w:r>
        <w:rPr>
          <w:b w:val="false"/>
          <w:bCs w:val="false"/>
          <w:sz w:val="24"/>
          <w:szCs w:val="24"/>
        </w:rPr>
        <w:t xml:space="preserve">, a PPI network graph can be formed which allows for further investigation. The genes which were found above the Survivability Threshold of a given drug can be located in the STRING network, which allows for both investigation of their own proximity within </w:t>
      </w:r>
      <w:r>
        <w:rPr>
          <w:b w:val="false"/>
          <w:bCs w:val="false"/>
          <w:sz w:val="24"/>
          <w:szCs w:val="24"/>
        </w:rPr>
        <w:t xml:space="preserve">the </w:t>
      </w:r>
      <w:r>
        <w:rPr>
          <w:b w:val="false"/>
          <w:bCs w:val="false"/>
          <w:sz w:val="24"/>
          <w:szCs w:val="24"/>
        </w:rPr>
        <w:t xml:space="preserve">PPI network </w:t>
      </w:r>
      <w:r>
        <w:rPr>
          <w:b w:val="false"/>
          <w:bCs w:val="false"/>
          <w:sz w:val="24"/>
          <w:szCs w:val="24"/>
        </w:rPr>
        <w:t xml:space="preserve">and their distance to chemically identified, known targets of the drug. </w:t>
      </w:r>
      <w:r>
        <w:rPr>
          <w:b w:val="false"/>
          <w:bCs w:val="false"/>
          <w:sz w:val="24"/>
          <w:szCs w:val="24"/>
        </w:rPr>
        <w:t>The former can inform the diversity of biological networks impacted by the drugs tested, while the latter can suggest both the accuracy of SCP targets and whether the drug in question acts directly or indirectly.</w:t>
      </w:r>
    </w:p>
    <w:p>
      <w:pPr>
        <w:pStyle w:val="Normal"/>
        <w:bidi w:val="0"/>
        <w:spacing w:before="57" w:after="57"/>
        <w:jc w:val="left"/>
        <w:rPr>
          <w:b/>
          <w:b/>
          <w:bCs/>
          <w:sz w:val="28"/>
          <w:szCs w:val="28"/>
          <w:u w:val="single"/>
        </w:rPr>
      </w:pPr>
      <w:r>
        <w:rPr>
          <w:b/>
          <w:bCs/>
          <w:sz w:val="28"/>
          <w:szCs w:val="28"/>
          <w:u w:val="single"/>
        </w:rPr>
        <w:t xml:space="preserve">3 </w:t>
      </w:r>
      <w:r>
        <w:rPr>
          <w:b/>
          <w:bCs/>
          <w:sz w:val="28"/>
          <w:szCs w:val="28"/>
          <w:u w:val="single"/>
        </w:rPr>
        <w:t>Results</w:t>
      </w:r>
    </w:p>
    <w:p>
      <w:pPr>
        <w:pStyle w:val="Normal"/>
        <w:bidi w:val="0"/>
        <w:spacing w:before="57" w:after="57"/>
        <w:jc w:val="left"/>
        <w:rPr>
          <w:b/>
          <w:b/>
          <w:bCs/>
          <w:sz w:val="26"/>
          <w:szCs w:val="26"/>
          <w:u w:val="none"/>
        </w:rPr>
      </w:pPr>
      <w:r>
        <w:rPr>
          <w:b/>
          <w:bCs/>
          <w:sz w:val="26"/>
          <w:szCs w:val="26"/>
          <w:u w:val="none"/>
        </w:rPr>
        <w:t xml:space="preserve">3.1 </w:t>
      </w:r>
      <w:r>
        <w:rPr>
          <w:b/>
          <w:bCs/>
          <w:sz w:val="26"/>
          <w:szCs w:val="26"/>
          <w:u w:val="none"/>
        </w:rPr>
        <w:t>SC distributions</w:t>
      </w:r>
    </w:p>
    <w:p>
      <w:pPr>
        <w:pStyle w:val="Normal"/>
        <w:bidi w:val="0"/>
        <w:spacing w:before="57" w:after="57"/>
        <w:jc w:val="left"/>
        <w:rPr>
          <w:b w:val="false"/>
          <w:b w:val="false"/>
          <w:bCs w:val="false"/>
          <w:sz w:val="24"/>
          <w:szCs w:val="24"/>
          <w:u w:val="none"/>
        </w:rPr>
      </w:pPr>
      <w:r>
        <w:drawing>
          <wp:anchor behindDoc="0" distT="0" distB="0" distL="0" distR="0" simplePos="0" locked="0" layoutInCell="0" allowOverlap="1" relativeHeight="2">
            <wp:simplePos x="0" y="0"/>
            <wp:positionH relativeFrom="column">
              <wp:posOffset>9525</wp:posOffset>
            </wp:positionH>
            <wp:positionV relativeFrom="paragraph">
              <wp:posOffset>34925</wp:posOffset>
            </wp:positionV>
            <wp:extent cx="3708400" cy="4183380"/>
            <wp:effectExtent l="0" t="0" r="0" b="0"/>
            <wp:wrapSquare wrapText="largest"/>
            <wp:docPr id="1" name="Image1"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Image1" descr=""/>
                    <pic:cNvPicPr>
                      <a:picLocks noChangeAspect="1" noChangeArrowheads="1"/>
                    </pic:cNvPicPr>
                  </pic:nvPicPr>
                  <pic:blipFill>
                    <a:blip r:embed="rId2"/>
                    <a:stretch>
                      <a:fillRect/>
                    </a:stretch>
                  </pic:blipFill>
                  <pic:spPr bwMode="auto">
                    <a:xfrm>
                      <a:off x="0" y="0"/>
                      <a:ext cx="3708400" cy="4183380"/>
                    </a:xfrm>
                    <a:prstGeom prst="rect">
                      <a:avLst/>
                    </a:prstGeom>
                  </pic:spPr>
                </pic:pic>
              </a:graphicData>
            </a:graphic>
          </wp:anchor>
        </w:drawing>
      </w:r>
      <w:r>
        <w:rPr>
          <w:b w:val="false"/>
          <w:bCs w:val="false"/>
          <w:sz w:val="24"/>
          <w:szCs w:val="24"/>
          <w:u w:val="none"/>
        </w:rPr>
        <w:t xml:space="preserve"> </w:t>
      </w:r>
      <w:r>
        <w:rPr>
          <w:b w:val="false"/>
          <w:bCs w:val="false"/>
          <w:sz w:val="24"/>
          <w:szCs w:val="24"/>
          <w:u w:val="none"/>
        </w:rPr>
        <w:t>Figure 1: Survivability Correlation distributions.</w:t>
      </w:r>
    </w:p>
    <w:p>
      <w:pPr>
        <w:pStyle w:val="Normal"/>
        <w:bidi w:val="0"/>
        <w:spacing w:before="57" w:after="57"/>
        <w:jc w:val="left"/>
        <w:rPr>
          <w:b w:val="false"/>
          <w:b w:val="false"/>
          <w:bCs w:val="false"/>
          <w:sz w:val="20"/>
          <w:szCs w:val="20"/>
          <w:u w:val="none"/>
        </w:rPr>
      </w:pPr>
      <w:r>
        <w:rPr>
          <w:b w:val="false"/>
          <w:bCs w:val="false"/>
          <w:sz w:val="20"/>
          <w:szCs w:val="20"/>
          <w:u w:val="none"/>
        </w:rPr>
        <w:t>a) histogram of distribution of SCs of an example drug (in this case Cediranib); the histogram uses 18,443 SC scores from the 18, 443 genes</w:t>
      </w:r>
    </w:p>
    <w:p>
      <w:pPr>
        <w:pStyle w:val="Normal"/>
        <w:bidi w:val="0"/>
        <w:spacing w:before="57" w:after="57"/>
        <w:jc w:val="left"/>
        <w:rPr>
          <w:b w:val="false"/>
          <w:b w:val="false"/>
          <w:bCs w:val="false"/>
          <w:sz w:val="20"/>
          <w:szCs w:val="20"/>
          <w:u w:val="none"/>
        </w:rPr>
      </w:pPr>
      <w:r>
        <w:rPr>
          <w:b w:val="false"/>
          <w:bCs w:val="false"/>
          <w:sz w:val="20"/>
          <w:szCs w:val="20"/>
          <w:u w:val="none"/>
        </w:rPr>
        <w:t>b) histogram of distribution of SCs of an example gene (in this case BAX); the histogram uses 542 SC scores from the 542 pharmacological compounds (or, more simply, drugs)</w:t>
      </w:r>
    </w:p>
    <w:p>
      <w:pPr>
        <w:pStyle w:val="Normal"/>
        <w:bidi w:val="0"/>
        <w:spacing w:before="57" w:after="57"/>
        <w:jc w:val="left"/>
        <w:rPr>
          <w:b w:val="false"/>
          <w:b w:val="false"/>
          <w:bCs w:val="false"/>
          <w:sz w:val="20"/>
          <w:szCs w:val="20"/>
          <w:u w:val="none"/>
        </w:rPr>
      </w:pPr>
      <w:r>
        <w:rPr>
          <w:b w:val="false"/>
          <w:bCs w:val="false"/>
          <w:sz w:val="20"/>
          <w:szCs w:val="20"/>
          <w:u w:val="none"/>
        </w:rPr>
        <w:t>c) Cumulative frequency graph of median values of pharmacological compound SC distributions</w:t>
      </w:r>
    </w:p>
    <w:p>
      <w:pPr>
        <w:pStyle w:val="Normal"/>
        <w:bidi w:val="0"/>
        <w:spacing w:before="57" w:after="57"/>
        <w:jc w:val="left"/>
        <w:rPr>
          <w:b w:val="false"/>
          <w:b w:val="false"/>
          <w:bCs w:val="false"/>
          <w:sz w:val="20"/>
          <w:szCs w:val="20"/>
          <w:u w:val="none"/>
        </w:rPr>
      </w:pPr>
      <w:r>
        <w:rPr>
          <w:b w:val="false"/>
          <w:bCs w:val="false"/>
          <w:sz w:val="20"/>
          <w:szCs w:val="20"/>
          <w:u w:val="none"/>
        </w:rPr>
        <w:t>d) Cumulative frequency graph of threshold values of pharmacological compound SC distributions (as explained in 2.3)</w:t>
      </w:r>
    </w:p>
    <w:p>
      <w:pPr>
        <w:pStyle w:val="Normal"/>
        <w:bidi w:val="0"/>
        <w:spacing w:before="57" w:after="57"/>
        <w:jc w:val="left"/>
        <w:rPr>
          <w:b w:val="false"/>
          <w:b w:val="false"/>
          <w:bCs w:val="false"/>
          <w:sz w:val="20"/>
          <w:szCs w:val="20"/>
          <w:u w:val="none"/>
        </w:rPr>
      </w:pPr>
      <w:r>
        <w:rPr>
          <w:b w:val="false"/>
          <w:bCs w:val="false"/>
          <w:sz w:val="20"/>
          <w:szCs w:val="20"/>
          <w:u w:val="none"/>
        </w:rPr>
        <w:t>e) Waterfall diagram of SCP target count per drug for drugs with unimodal SC distributions</w:t>
      </w:r>
    </w:p>
    <w:p>
      <w:pPr>
        <w:pStyle w:val="Normal"/>
        <w:bidi w:val="0"/>
        <w:spacing w:before="57" w:after="57"/>
        <w:jc w:val="left"/>
        <w:rPr>
          <w:b w:val="false"/>
          <w:b w:val="false"/>
          <w:bCs w:val="false"/>
          <w:sz w:val="20"/>
          <w:szCs w:val="20"/>
          <w:u w:val="none"/>
        </w:rPr>
      </w:pPr>
      <w:r>
        <w:rPr>
          <w:b w:val="false"/>
          <w:bCs w:val="false"/>
          <w:sz w:val="20"/>
          <w:szCs w:val="20"/>
          <w:u w:val="none"/>
        </w:rPr>
        <w:t>f) waterfall diagram of SCP target count per drug for drugs with non-unimodal SC distributions</w:t>
      </w:r>
    </w:p>
    <w:p>
      <w:pPr>
        <w:pStyle w:val="Normal"/>
        <w:bidi w:val="0"/>
        <w:spacing w:before="57" w:after="57"/>
        <w:jc w:val="left"/>
        <w:rPr>
          <w:b w:val="false"/>
          <w:b w:val="false"/>
          <w:bCs w:val="false"/>
          <w:sz w:val="20"/>
          <w:szCs w:val="20"/>
          <w:u w:val="none"/>
        </w:rPr>
      </w:pPr>
      <w:r>
        <w:rPr>
          <w:b w:val="false"/>
          <w:bCs w:val="false"/>
          <w:sz w:val="20"/>
          <w:szCs w:val="20"/>
          <w:u w:val="none"/>
        </w:rPr>
      </w:r>
    </w:p>
    <w:p>
      <w:pPr>
        <w:pStyle w:val="Normal"/>
        <w:bidi w:val="0"/>
        <w:spacing w:before="57" w:after="57"/>
        <w:jc w:val="left"/>
        <w:rPr>
          <w:b w:val="false"/>
          <w:b w:val="false"/>
          <w:bCs w:val="false"/>
          <w:sz w:val="20"/>
          <w:szCs w:val="20"/>
          <w:u w:val="none"/>
        </w:rPr>
      </w:pPr>
      <w:r>
        <w:rPr>
          <w:b w:val="false"/>
          <w:bCs w:val="false"/>
          <w:sz w:val="20"/>
          <w:szCs w:val="20"/>
          <w:u w:val="none"/>
        </w:rPr>
      </w:r>
    </w:p>
    <w:p>
      <w:pPr>
        <w:pStyle w:val="Normal"/>
        <w:bidi w:val="0"/>
        <w:spacing w:before="57" w:after="57"/>
        <w:jc w:val="left"/>
        <w:rPr>
          <w:b w:val="false"/>
          <w:b w:val="false"/>
          <w:bCs w:val="false"/>
          <w:sz w:val="24"/>
          <w:szCs w:val="24"/>
          <w:u w:val="none"/>
        </w:rPr>
      </w:pPr>
      <w:r>
        <w:rPr>
          <w:b w:val="false"/>
          <w:bCs w:val="false"/>
          <w:sz w:val="24"/>
          <w:szCs w:val="24"/>
          <w:u w:val="none"/>
        </w:rPr>
        <w:t>Figure 1 gives a summary of key details for the distributions of survivability correlation scores found in the investigation, as well as relevant information on thresholds and SCP targets found from these thresholds. As can be seen from 1a and 1b, the typical distribution of both drug SC distributions and gene SC distributions is a basic unimodal distribution centred around an SC of zero. Further investigation was constrained to drug distributions as this investigation was more focused on drug impacts on gene/PPI networks rather than gene impactability based on drug similarity. This focus shows that of the 542 pharmacological compounds tested, 537 showed a unimodal distribution, 4 showed a non-unimodal distribution, and 1 did not have sufficient data for the purposes of our tests.</w:t>
      </w:r>
    </w:p>
    <w:p>
      <w:pPr>
        <w:pStyle w:val="Normal"/>
        <w:bidi w:val="0"/>
        <w:spacing w:before="57" w:after="57"/>
        <w:jc w:val="left"/>
        <w:rPr>
          <w:b w:val="false"/>
          <w:b w:val="false"/>
          <w:bCs w:val="false"/>
          <w:sz w:val="24"/>
          <w:szCs w:val="24"/>
          <w:u w:val="none"/>
        </w:rPr>
      </w:pPr>
      <w:r>
        <w:rPr>
          <w:b w:val="false"/>
          <w:bCs w:val="false"/>
          <w:sz w:val="24"/>
          <w:szCs w:val="24"/>
          <w:u w:val="none"/>
        </w:rPr>
        <w:t xml:space="preserve">1c shows that median drug SC distributions consistently revolved around a score of 0, with median values rarely extending beyond the -0.03 to +0.02 range. In contrast, 1d shows that the SC threshold varied considerably, from 0.13 to 0.3 for 90% of cases. These two figures show that despite relatively consistent median values around a SC of 0, </w:t>
      </w:r>
      <w:r>
        <w:rPr>
          <w:b w:val="false"/>
          <w:bCs w:val="false"/>
          <w:sz w:val="24"/>
          <w:szCs w:val="24"/>
          <w:u w:val="none"/>
        </w:rPr>
        <w:t>the range of these distributions varied considerably.</w:t>
      </w:r>
    </w:p>
    <w:p>
      <w:pPr>
        <w:pStyle w:val="Normal"/>
        <w:bidi w:val="0"/>
        <w:spacing w:before="57" w:after="57"/>
        <w:jc w:val="left"/>
        <w:rPr>
          <w:b w:val="false"/>
          <w:b w:val="false"/>
          <w:bCs w:val="false"/>
          <w:sz w:val="24"/>
          <w:szCs w:val="24"/>
          <w:u w:val="none"/>
        </w:rPr>
      </w:pPr>
      <w:r>
        <w:rPr>
          <w:b w:val="false"/>
          <w:bCs w:val="false"/>
          <w:sz w:val="24"/>
          <w:szCs w:val="24"/>
          <w:u w:val="none"/>
        </w:rPr>
        <w:t>Finally, 1e shows that despite the threshold simply being determined by the median + 3 standard deviations for unimodal distributions, the number of genes considered SCP targets for each drug showed great variability, ranging from less than a dozen genes to more than 400 depending on the drug in question, with most drugs having between 50 and 300 SCP targets. 1f, meanwhile, shows that for the few drugs with bimodal distributions, the more refined formula finds a far smaller number of genes to be SCP targets, with 32 being the maximum and two drugs showing only 4 SCP targets.</w:t>
      </w:r>
    </w:p>
    <w:p>
      <w:pPr>
        <w:pStyle w:val="Normal"/>
        <w:bidi w:val="0"/>
        <w:spacing w:before="57" w:after="57"/>
        <w:jc w:val="left"/>
        <w:rPr>
          <w:b/>
          <w:b/>
          <w:bCs/>
          <w:sz w:val="26"/>
          <w:szCs w:val="26"/>
          <w:u w:val="none"/>
        </w:rPr>
      </w:pPr>
      <w:r>
        <w:rPr>
          <w:b/>
          <w:bCs/>
          <w:sz w:val="26"/>
          <w:szCs w:val="26"/>
          <w:u w:val="none"/>
        </w:rPr>
        <w:t xml:space="preserve">3.2 </w:t>
      </w:r>
      <w:r>
        <w:rPr>
          <w:b/>
          <w:bCs/>
          <w:sz w:val="26"/>
          <w:szCs w:val="26"/>
          <w:u w:val="none"/>
        </w:rPr>
        <w:t>SCP-true target comparisons</w:t>
      </w:r>
    </w:p>
    <w:p>
      <w:pPr>
        <w:pStyle w:val="Normal"/>
        <w:bidi w:val="0"/>
        <w:spacing w:before="57" w:after="57"/>
        <w:jc w:val="left"/>
        <w:rPr>
          <w:b/>
          <w:b/>
          <w:bCs/>
          <w:sz w:val="26"/>
          <w:szCs w:val="26"/>
          <w:u w:val="none"/>
        </w:rPr>
      </w:pPr>
      <w:r>
        <w:rPr>
          <w:b/>
          <w:bCs/>
          <w:sz w:val="26"/>
          <w:szCs w:val="26"/>
          <w:u w:val="none"/>
        </w:rPr>
        <w:t>3.3 Drug combination results</w:t>
      </w:r>
    </w:p>
    <w:p>
      <w:pPr>
        <w:pStyle w:val="Normal"/>
        <w:bidi w:val="0"/>
        <w:spacing w:before="57" w:after="57"/>
        <w:jc w:val="left"/>
        <w:rPr>
          <w:b/>
          <w:b/>
          <w:bCs/>
          <w:sz w:val="28"/>
          <w:szCs w:val="28"/>
          <w:u w:val="single"/>
        </w:rPr>
      </w:pPr>
      <w:r>
        <w:rPr>
          <w:b/>
          <w:bCs/>
          <w:sz w:val="28"/>
          <w:szCs w:val="28"/>
          <w:u w:val="single"/>
        </w:rPr>
        <w:t xml:space="preserve">4 </w:t>
      </w:r>
      <w:r>
        <w:rPr>
          <w:b/>
          <w:bCs/>
          <w:sz w:val="28"/>
          <w:szCs w:val="28"/>
          <w:u w:val="single"/>
        </w:rPr>
        <w:t>Discussion</w:t>
      </w:r>
    </w:p>
    <w:p>
      <w:pPr>
        <w:pStyle w:val="Normal"/>
        <w:bidi w:val="0"/>
        <w:spacing w:before="57" w:after="57"/>
        <w:jc w:val="left"/>
        <w:rPr>
          <w:b w:val="false"/>
          <w:b w:val="false"/>
          <w:bCs w:val="false"/>
          <w:color w:val="C9211E"/>
          <w:sz w:val="22"/>
          <w:szCs w:val="22"/>
          <w:u w:val="none"/>
        </w:rPr>
      </w:pPr>
      <w:r>
        <w:rPr>
          <w:b w:val="false"/>
          <w:bCs w:val="false"/>
          <w:color w:val="C9211E"/>
          <w:sz w:val="22"/>
          <w:szCs w:val="22"/>
          <w:u w:val="none"/>
        </w:rPr>
        <w:t>Lack of proper controls (non cancerous cell lines) in GDSC data (i.e. impact of each drug on healthy cells)</w:t>
      </w:r>
    </w:p>
    <w:p>
      <w:pPr>
        <w:pStyle w:val="Normal"/>
        <w:bidi w:val="0"/>
        <w:spacing w:before="57" w:after="57"/>
        <w:jc w:val="left"/>
        <w:rPr>
          <w:b/>
          <w:b/>
          <w:bCs/>
          <w:color w:val="auto"/>
          <w:sz w:val="28"/>
          <w:szCs w:val="28"/>
          <w:u w:val="single"/>
        </w:rPr>
      </w:pPr>
      <w:r>
        <w:rPr>
          <w:b/>
          <w:bCs/>
          <w:color w:val="auto"/>
          <w:sz w:val="28"/>
          <w:szCs w:val="28"/>
          <w:u w:val="single"/>
        </w:rPr>
        <w:t>5 References</w:t>
      </w:r>
    </w:p>
    <w:p>
      <w:pPr>
        <w:pStyle w:val="Normal"/>
        <w:numPr>
          <w:ilvl w:val="0"/>
          <w:numId w:val="1"/>
        </w:numPr>
        <w:bidi w:val="0"/>
        <w:spacing w:before="57" w:after="57"/>
        <w:jc w:val="left"/>
        <w:rPr>
          <w:b w:val="false"/>
          <w:b w:val="false"/>
          <w:bCs w:val="false"/>
          <w:color w:val="auto"/>
          <w:sz w:val="20"/>
          <w:szCs w:val="20"/>
          <w:u w:val="none"/>
        </w:rPr>
      </w:pPr>
      <w:r>
        <w:rPr>
          <w:b w:val="false"/>
          <w:bCs w:val="false"/>
          <w:color w:val="auto"/>
          <w:sz w:val="20"/>
          <w:szCs w:val="20"/>
          <w:u w:val="none"/>
        </w:rPr>
        <w:t>Abbasi, K., Razzaghi, P., Poso, A., Amanlou, M., Ghasemi, J.B., Masoudi-Nejad, A., 2020. DeepCDA: deep cross-domain compound–protein affinity prediction through LSTM and convolutional neural networks. Bioinformatics 36, 4633–4642. https://doi.org/10.1093/bioinformatics/btaa544</w:t>
      </w:r>
    </w:p>
    <w:p>
      <w:pPr>
        <w:pStyle w:val="Normal"/>
        <w:numPr>
          <w:ilvl w:val="0"/>
          <w:numId w:val="1"/>
        </w:numPr>
        <w:bidi w:val="0"/>
        <w:spacing w:before="57" w:after="57"/>
        <w:jc w:val="left"/>
        <w:rPr>
          <w:b w:val="false"/>
          <w:b w:val="false"/>
          <w:bCs w:val="false"/>
          <w:color w:val="auto"/>
          <w:sz w:val="20"/>
          <w:szCs w:val="20"/>
          <w:u w:val="none"/>
        </w:rPr>
      </w:pPr>
      <w:r>
        <w:rPr>
          <w:b w:val="false"/>
          <w:bCs w:val="false"/>
          <w:color w:val="auto"/>
          <w:sz w:val="20"/>
          <w:szCs w:val="20"/>
          <w:u w:val="none"/>
        </w:rPr>
        <w:t>Bukowska, B., Gajek, A., Marczak, A., 2015. Two drugs are better than one. A short history of combined therapy of ovarian cancer. Contemp Oncol (Pozn) 19, 350–353. https://doi.org/10.5114/wo.2014.43975</w:t>
      </w:r>
    </w:p>
    <w:p>
      <w:pPr>
        <w:pStyle w:val="Normal"/>
        <w:numPr>
          <w:ilvl w:val="0"/>
          <w:numId w:val="1"/>
        </w:numPr>
        <w:bidi w:val="0"/>
        <w:spacing w:before="57" w:after="57"/>
        <w:jc w:val="left"/>
        <w:rPr>
          <w:b w:val="false"/>
          <w:b w:val="false"/>
          <w:bCs w:val="false"/>
          <w:color w:val="auto"/>
          <w:sz w:val="20"/>
          <w:szCs w:val="20"/>
          <w:u w:val="none"/>
        </w:rPr>
      </w:pPr>
      <w:r>
        <w:rPr>
          <w:b w:val="false"/>
          <w:bCs w:val="false"/>
          <w:color w:val="auto"/>
          <w:sz w:val="20"/>
          <w:szCs w:val="20"/>
          <w:u w:val="none"/>
        </w:rPr>
        <w:t>Debnath, K., Rana, P., Ghosh, P., 2025. GramSeq-DTA: A Grammar-Based Drug–Target Affinity Prediction Approach Fusing Gene Expression Information. Biomolecules 15, 405. https://doi.org/10.3390/biom15030405</w:t>
      </w:r>
    </w:p>
    <w:p>
      <w:pPr>
        <w:pStyle w:val="Normal"/>
        <w:numPr>
          <w:ilvl w:val="0"/>
          <w:numId w:val="1"/>
        </w:numPr>
        <w:bidi w:val="0"/>
        <w:spacing w:before="57" w:after="57"/>
        <w:jc w:val="left"/>
        <w:rPr>
          <w:b w:val="false"/>
          <w:b w:val="false"/>
          <w:bCs w:val="false"/>
          <w:color w:val="auto"/>
          <w:sz w:val="20"/>
          <w:szCs w:val="20"/>
          <w:u w:val="none"/>
        </w:rPr>
      </w:pPr>
      <w:r>
        <w:rPr>
          <w:b w:val="false"/>
          <w:bCs w:val="false"/>
          <w:color w:val="auto"/>
          <w:sz w:val="20"/>
          <w:szCs w:val="20"/>
          <w:u w:val="none"/>
        </w:rPr>
        <w:t>Foucquier, J., Guedj, M., 2015. Analysis of drug combinations: current methodological landscape. Pharmacol Res Perspect 3, e00149. https://doi.org/10.1002/prp2.149</w:t>
      </w:r>
    </w:p>
    <w:p>
      <w:pPr>
        <w:pStyle w:val="Normal"/>
        <w:numPr>
          <w:ilvl w:val="0"/>
          <w:numId w:val="1"/>
        </w:numPr>
        <w:bidi w:val="0"/>
        <w:spacing w:before="57" w:after="57"/>
        <w:jc w:val="left"/>
        <w:rPr>
          <w:b w:val="false"/>
          <w:b w:val="false"/>
          <w:bCs w:val="false"/>
          <w:color w:val="auto"/>
          <w:sz w:val="20"/>
          <w:szCs w:val="20"/>
          <w:u w:val="none"/>
        </w:rPr>
      </w:pPr>
      <w:r>
        <w:rPr>
          <w:b w:val="false"/>
          <w:bCs w:val="false"/>
          <w:color w:val="auto"/>
          <w:sz w:val="20"/>
          <w:szCs w:val="20"/>
          <w:u w:val="none"/>
        </w:rPr>
        <w:t>Frei, E., III, Freireich, E.J., Gehan, E., Pinkel, D., Holland, J.F., Selawry, O., Haurani, F., Spurr, C.L., Hayes, D.M., James, G.W., Rothberg, H., Sodee, D.B., Rundles, R.W., Schroeder, L.R., Hoogstraten, B., Wolman, I.J., Traggis, D.G., Cooper, T., Gendel, B.R., Ebaugh, F., Taylor, R., 1961. Studies of Sequential and Combination Antimetabolite Therapy in Acute Leukemia: 6-Mercaptopurine and Methotrexate. Blood 18, 431–454. https://doi.org/10.1182/blood.V18.4.431.431</w:t>
      </w:r>
    </w:p>
    <w:p>
      <w:pPr>
        <w:pStyle w:val="Normal"/>
        <w:numPr>
          <w:ilvl w:val="0"/>
          <w:numId w:val="1"/>
        </w:numPr>
        <w:bidi w:val="0"/>
        <w:spacing w:before="57" w:after="57"/>
        <w:jc w:val="left"/>
        <w:rPr>
          <w:b w:val="false"/>
          <w:b w:val="false"/>
          <w:bCs w:val="false"/>
          <w:color w:val="auto"/>
          <w:sz w:val="20"/>
          <w:szCs w:val="20"/>
          <w:u w:val="none"/>
        </w:rPr>
      </w:pPr>
      <w:r>
        <w:rPr>
          <w:b w:val="false"/>
          <w:bCs w:val="false"/>
          <w:color w:val="auto"/>
          <w:sz w:val="20"/>
          <w:szCs w:val="20"/>
          <w:u w:val="none"/>
        </w:rPr>
        <w:t>Hirohara, M., Saito, Y., Koda, Y., Sato, K., Sakakibara, Y., 2018. Convolutional neural network based on SMILES representation of compounds for detecting chemical motif. BMC Bioinformatics 19, 526. https://doi.org/10.1186/s12859-018-2523-5</w:t>
      </w:r>
    </w:p>
    <w:p>
      <w:pPr>
        <w:pStyle w:val="Normal"/>
        <w:numPr>
          <w:ilvl w:val="0"/>
          <w:numId w:val="1"/>
        </w:numPr>
        <w:bidi w:val="0"/>
        <w:spacing w:before="57" w:after="57"/>
        <w:jc w:val="left"/>
        <w:rPr>
          <w:b w:val="false"/>
          <w:b w:val="false"/>
          <w:bCs w:val="false"/>
          <w:color w:val="auto"/>
          <w:sz w:val="20"/>
          <w:szCs w:val="20"/>
          <w:u w:val="none"/>
        </w:rPr>
      </w:pPr>
      <w:r>
        <w:rPr>
          <w:b w:val="false"/>
          <w:bCs w:val="false"/>
          <w:color w:val="auto"/>
          <w:sz w:val="20"/>
          <w:szCs w:val="20"/>
          <w:u w:val="none"/>
        </w:rPr>
        <w:t>Jiang, M., Li, Z., Zhang, S., Wang, S., Wang, X., Yuan, Q., Wei, Z., 2020. Drug–target affinity prediction using graph neural network and contact maps. RSC Advances 10, 20701–20712. https://doi.org/10.1039/D0RA02297G</w:t>
      </w:r>
    </w:p>
    <w:p>
      <w:pPr>
        <w:pStyle w:val="Normal"/>
        <w:numPr>
          <w:ilvl w:val="0"/>
          <w:numId w:val="1"/>
        </w:numPr>
        <w:bidi w:val="0"/>
        <w:spacing w:before="57" w:after="57"/>
        <w:jc w:val="left"/>
        <w:rPr>
          <w:b w:val="false"/>
          <w:b w:val="false"/>
          <w:bCs w:val="false"/>
          <w:color w:val="auto"/>
          <w:sz w:val="20"/>
          <w:szCs w:val="20"/>
          <w:u w:val="none"/>
        </w:rPr>
      </w:pPr>
      <w:r>
        <w:rPr>
          <w:b w:val="false"/>
          <w:bCs w:val="false"/>
          <w:color w:val="auto"/>
          <w:sz w:val="20"/>
          <w:szCs w:val="20"/>
          <w:u w:val="none"/>
        </w:rPr>
        <w:t>Koras, K., Kizling, E., Juraeva, D., Staub, E., Szczurek, E., 2021. Interpretable deep recommender system model for prediction of kinase inhibitor efficacy across cancer cell lines. Sci Rep 11, 15993. https://doi.org/10.1038/s41598-021-94564-z</w:t>
      </w:r>
    </w:p>
    <w:p>
      <w:pPr>
        <w:pStyle w:val="Normal"/>
        <w:numPr>
          <w:ilvl w:val="0"/>
          <w:numId w:val="1"/>
        </w:numPr>
        <w:bidi w:val="0"/>
        <w:spacing w:before="57" w:after="57"/>
        <w:jc w:val="left"/>
        <w:rPr>
          <w:b w:val="false"/>
          <w:b w:val="false"/>
          <w:bCs w:val="false"/>
          <w:color w:val="auto"/>
          <w:sz w:val="20"/>
          <w:szCs w:val="20"/>
          <w:u w:val="none"/>
        </w:rPr>
      </w:pPr>
      <w:r>
        <w:rPr>
          <w:b w:val="false"/>
          <w:bCs w:val="false"/>
          <w:color w:val="auto"/>
          <w:sz w:val="20"/>
          <w:szCs w:val="20"/>
          <w:u w:val="none"/>
        </w:rPr>
        <w:t>Ling, A., Huang, R.S., 2020. Computationally predicting clinical drug combination efficacy with cancer cell line screens and independent drug action. Nat Commun 11, 5848. https://doi.org/10.1038/s41467-020-19563-6</w:t>
      </w:r>
    </w:p>
    <w:p>
      <w:pPr>
        <w:pStyle w:val="Normal"/>
        <w:numPr>
          <w:ilvl w:val="0"/>
          <w:numId w:val="1"/>
        </w:numPr>
        <w:bidi w:val="0"/>
        <w:spacing w:before="57" w:after="57"/>
        <w:jc w:val="left"/>
        <w:rPr>
          <w:b w:val="false"/>
          <w:b w:val="false"/>
          <w:bCs w:val="false"/>
          <w:color w:val="auto"/>
          <w:sz w:val="20"/>
          <w:szCs w:val="20"/>
          <w:u w:val="none"/>
        </w:rPr>
      </w:pPr>
      <w:r>
        <w:rPr>
          <w:b w:val="false"/>
          <w:bCs w:val="false"/>
          <w:color w:val="auto"/>
          <w:sz w:val="20"/>
          <w:szCs w:val="20"/>
          <w:u w:val="none"/>
        </w:rPr>
        <w:t>Lord, C.J., Ashworth, A., 2017. PARP inhibitors: Science 355, 1152–1158.</w:t>
      </w:r>
    </w:p>
    <w:p>
      <w:pPr>
        <w:pStyle w:val="Normal"/>
        <w:numPr>
          <w:ilvl w:val="0"/>
          <w:numId w:val="1"/>
        </w:numPr>
        <w:bidi w:val="0"/>
        <w:spacing w:before="57" w:after="57"/>
        <w:jc w:val="left"/>
        <w:rPr>
          <w:b w:val="false"/>
          <w:b w:val="false"/>
          <w:bCs w:val="false"/>
          <w:color w:val="auto"/>
          <w:sz w:val="20"/>
          <w:szCs w:val="20"/>
          <w:u w:val="none"/>
        </w:rPr>
      </w:pPr>
      <w:r>
        <w:rPr>
          <w:b w:val="false"/>
          <w:bCs w:val="false"/>
          <w:color w:val="auto"/>
          <w:sz w:val="20"/>
          <w:szCs w:val="20"/>
          <w:u w:val="none"/>
        </w:rPr>
        <w:t>Meng, X., Gao, J.Z., Gomendoza, S.M.T., Li, J.W., Yang, S., 2021. Recent Advances of WEE1 Inhibitors and Statins in Cancers With p53 Mutations. Front. Med. 8. https://doi.org/10.3389/fmed.2021.737951</w:t>
      </w:r>
    </w:p>
    <w:p>
      <w:pPr>
        <w:pStyle w:val="Normal"/>
        <w:numPr>
          <w:ilvl w:val="0"/>
          <w:numId w:val="1"/>
        </w:numPr>
        <w:bidi w:val="0"/>
        <w:spacing w:before="57" w:after="57"/>
        <w:jc w:val="left"/>
        <w:rPr>
          <w:b w:val="false"/>
          <w:b w:val="false"/>
          <w:bCs w:val="false"/>
          <w:color w:val="auto"/>
          <w:sz w:val="20"/>
          <w:szCs w:val="20"/>
          <w:u w:val="none"/>
        </w:rPr>
      </w:pPr>
      <w:r>
        <w:rPr>
          <w:b w:val="false"/>
          <w:bCs w:val="false"/>
          <w:color w:val="auto"/>
          <w:sz w:val="20"/>
          <w:szCs w:val="20"/>
          <w:u w:val="none"/>
        </w:rPr>
        <w:t>Nguyen, Tuan, Nguyen, G.T.T., Nguyen, Thin, Le, D.-H., 2021. Graph convolutional networks for drug response prediction. https://doi.org/10.1101/2020.04.07.030908</w:t>
      </w:r>
    </w:p>
    <w:p>
      <w:pPr>
        <w:pStyle w:val="Normal"/>
        <w:numPr>
          <w:ilvl w:val="0"/>
          <w:numId w:val="1"/>
        </w:numPr>
        <w:bidi w:val="0"/>
        <w:spacing w:before="57" w:after="57"/>
        <w:jc w:val="left"/>
        <w:rPr>
          <w:b w:val="false"/>
          <w:b w:val="false"/>
          <w:bCs w:val="false"/>
          <w:color w:val="auto"/>
          <w:sz w:val="20"/>
          <w:szCs w:val="20"/>
          <w:u w:val="none"/>
        </w:rPr>
      </w:pPr>
      <w:r>
        <w:rPr>
          <w:b w:val="false"/>
          <w:bCs w:val="false"/>
          <w:color w:val="auto"/>
          <w:sz w:val="20"/>
          <w:szCs w:val="20"/>
          <w:u w:val="none"/>
        </w:rPr>
        <w:t>Öztürk, H., Özgür, A., Ozkirimli, E., 2018. DeepDTA: deep drug-target binding affinity prediction. Bioinformatics 34, i821–i829. https://doi.org/10.1093/bioinformatics/bty593</w:t>
      </w:r>
    </w:p>
    <w:p>
      <w:pPr>
        <w:pStyle w:val="Normal"/>
        <w:numPr>
          <w:ilvl w:val="0"/>
          <w:numId w:val="1"/>
        </w:numPr>
        <w:bidi w:val="0"/>
        <w:spacing w:before="57" w:after="57"/>
        <w:jc w:val="left"/>
        <w:rPr>
          <w:b w:val="false"/>
          <w:b w:val="false"/>
          <w:bCs w:val="false"/>
          <w:color w:val="auto"/>
          <w:sz w:val="20"/>
          <w:szCs w:val="20"/>
          <w:u w:val="none"/>
        </w:rPr>
      </w:pPr>
      <w:r>
        <w:rPr>
          <w:b w:val="false"/>
          <w:bCs w:val="false"/>
          <w:color w:val="auto"/>
          <w:sz w:val="20"/>
          <w:szCs w:val="20"/>
          <w:u w:val="none"/>
        </w:rPr>
        <w:t>Schouten, P.C., Gluz, O., Harbeck, N., Mohrmann, S., Diallo-Danebrock, R., Pelz, E., Kruizinga, J., Velds, A., Nieuwland, M., Kerkhoven, R.M., Liedtke, C., Frick, M., Kates, R., Linn, S.C., Nitz, U., Marme, F., 2016. BRCA1-like profile predicts benefit of tandem high dose epirubicin-cyclophospamide-thiotepa in high risk breast cancer patients randomized in the WSG-AM01 trial. Int J Cancer 139, 882–889. https://doi.org/10.1002/ijc.30078</w:t>
      </w:r>
    </w:p>
    <w:p>
      <w:pPr>
        <w:pStyle w:val="Normal"/>
        <w:numPr>
          <w:ilvl w:val="0"/>
          <w:numId w:val="1"/>
        </w:numPr>
        <w:bidi w:val="0"/>
        <w:spacing w:before="57" w:after="57"/>
        <w:jc w:val="left"/>
        <w:rPr>
          <w:b w:val="false"/>
          <w:b w:val="false"/>
          <w:bCs w:val="false"/>
          <w:color w:val="auto"/>
          <w:sz w:val="20"/>
          <w:szCs w:val="20"/>
          <w:u w:val="none"/>
        </w:rPr>
      </w:pPr>
      <w:r>
        <w:rPr>
          <w:b w:val="false"/>
          <w:bCs w:val="false"/>
          <w:color w:val="auto"/>
          <w:sz w:val="20"/>
          <w:szCs w:val="20"/>
          <w:u w:val="none"/>
        </w:rPr>
        <w:t>Szklarczyk, D., Kirsch, R., Koutrouli, M., Nastou, K., Mehryary, F., Hachilif, R., Gable, A.L., Fang, T., Doncheva, N.T., Pyysalo, S., Bork, P., Jensen, L.J., von Mering, C., 2023. The STRING database in 2023: protein-protein association networks and functional enrichment analyses for any sequenced genome of interest. Nucleic Acids Res 51, D638–D646. https://doi.org/10.1093/nar/gkac1000</w:t>
      </w:r>
    </w:p>
    <w:p>
      <w:pPr>
        <w:pStyle w:val="Normal"/>
        <w:numPr>
          <w:ilvl w:val="0"/>
          <w:numId w:val="1"/>
        </w:numPr>
        <w:bidi w:val="0"/>
        <w:spacing w:before="57" w:after="57"/>
        <w:jc w:val="left"/>
        <w:rPr>
          <w:b w:val="false"/>
          <w:b w:val="false"/>
          <w:bCs w:val="false"/>
          <w:color w:val="auto"/>
          <w:sz w:val="20"/>
          <w:szCs w:val="20"/>
          <w:u w:val="none"/>
        </w:rPr>
      </w:pPr>
      <w:r>
        <w:rPr>
          <w:b w:val="false"/>
          <w:bCs w:val="false"/>
          <w:color w:val="auto"/>
          <w:sz w:val="20"/>
          <w:szCs w:val="20"/>
          <w:u w:val="none"/>
        </w:rPr>
        <w:t>Williamson, C.T., Miller, R., Pemberton, H.N., Jones, S.E., Campbell, J., Konde, A., Badham, N., Rafiq, R., Brough, R., Gulati, A., Ryan, C.J., Francis, J., Vermulen, P.B., Reynolds, A.R., Reaper, P.M., Pollard, J.R., Ashworth, A., Lord, C.J., 2016. ATR inhibitors as a synthetic lethal therapy for tumours deficient in ARID1A. Nat Commun 7, 13837. https://doi.org/10.1038/ncomms13837</w:t>
      </w:r>
    </w:p>
    <w:p>
      <w:pPr>
        <w:pStyle w:val="Normal"/>
        <w:numPr>
          <w:ilvl w:val="0"/>
          <w:numId w:val="1"/>
        </w:numPr>
        <w:bidi w:val="0"/>
        <w:spacing w:before="57" w:after="57"/>
        <w:jc w:val="left"/>
        <w:rPr>
          <w:b w:val="false"/>
          <w:b w:val="false"/>
          <w:bCs w:val="false"/>
          <w:color w:val="auto"/>
          <w:sz w:val="20"/>
          <w:szCs w:val="20"/>
          <w:u w:val="none"/>
        </w:rPr>
      </w:pPr>
      <w:r>
        <w:rPr>
          <w:b w:val="false"/>
          <w:bCs w:val="false"/>
          <w:color w:val="auto"/>
          <w:sz w:val="20"/>
          <w:szCs w:val="20"/>
          <w:u w:val="none"/>
        </w:rPr>
        <w:t>Wu, H., Liu, J., Jiang, T., Zou, Q., Qi, S., Cui, Z., Tiwari, P., Ding, Y., 2024. AttentionMGT-DTA: A multi-modal drug-target affinity prediction using graph transformer and attention mechanism. Neural Networks 169, 623–636. https://doi.org/10.1016/j.neunet.2023.11.018</w:t>
      </w:r>
    </w:p>
    <w:p>
      <w:pPr>
        <w:pStyle w:val="Normal"/>
        <w:numPr>
          <w:ilvl w:val="0"/>
          <w:numId w:val="1"/>
        </w:numPr>
        <w:bidi w:val="0"/>
        <w:spacing w:before="57" w:after="57"/>
        <w:jc w:val="left"/>
        <w:rPr>
          <w:b w:val="false"/>
          <w:b w:val="false"/>
          <w:bCs w:val="false"/>
          <w:color w:val="auto"/>
          <w:sz w:val="20"/>
          <w:szCs w:val="20"/>
          <w:u w:val="none"/>
        </w:rPr>
      </w:pPr>
      <w:r>
        <w:rPr>
          <w:b w:val="false"/>
          <w:bCs w:val="false"/>
          <w:color w:val="auto"/>
          <w:sz w:val="20"/>
          <w:szCs w:val="20"/>
          <w:u w:val="none"/>
        </w:rPr>
        <w:t>Yang, W., Soares, J., Greninger, P., Edelman, E.J., Lightfoot, H., Forbes, S., Bindal, N., Beare, D., Smith, J.A., Thompson, I.R., Ramaswamy, S., Futreal, P.A., Haber, D.A., Stratton, M.R., Benes, C., McDermott, U., Garnett, M.J., 2013. Genomics of Drug Sensitivity in Cancer (GDSC): a resource for therapeutic biomarker discovery in cancer cells. Nucleic Acids Res 41, D955–D961. https://doi.org/10.1093/nar/gks1111</w:t>
      </w:r>
    </w:p>
    <w:sectPr>
      <w:type w:val="nextPage"/>
      <w:pgSz w:w="11906" w:h="16838"/>
      <w:pgMar w:left="1134" w:right="1134" w:gutter="0" w:header="0" w:top="1134" w:footer="0" w:bottom="1134"/>
      <w:pgNumType w:fmt="decimal"/>
      <w:formProt w:val="false"/>
      <w:textDirection w:val="lrTb"/>
      <w:docGrid w:type="default" w:linePitch="600" w:charSpace="32768"/>
    </w:sectPr>
  </w:body>
</w:document>
</file>

<file path=word/fontTable.xml><?xml version="1.0" encoding="utf-8"?>
<w:fonts xmlns:w="http://schemas.openxmlformats.org/wordprocessingml/2006/main" xmlns:r="http://schemas.openxmlformats.org/officeDocument/2006/relationships">
  <w:font w:name="Times New Roman">
    <w:charset w:val="00"/>
    <w:family w:val="roman"/>
    <w:pitch w:val="variable"/>
  </w:font>
  <w:font w:name="Symbol">
    <w:charset w:val="02"/>
    <w:family w:val="roman"/>
    <w:pitch w:val="variable"/>
  </w:font>
  <w:font w:name="Arial">
    <w:charset w:val="00"/>
    <w:family w:val="swiss"/>
    <w:pitch w:val="variable"/>
  </w:font>
  <w:font w:name="Liberation Serif">
    <w:altName w:val="Times New Roman"/>
    <w:charset w:val="01"/>
    <w:family w:val="roman"/>
    <w:pitch w:val="variable"/>
  </w:font>
  <w:font w:name="OpenSymbol">
    <w:altName w:val="Arial Unicode MS"/>
    <w:charset w:val="02"/>
    <w:family w:val="auto"/>
    <w:pitch w:val="default"/>
  </w:font>
  <w:font w:name="Liberation Sans">
    <w:altName w:val="Arial"/>
    <w:charset w:val="01"/>
    <w:family w:val="swiss"/>
    <w:pitch w:val="variable"/>
  </w:font>
  <w:font w:name="OpenSymbol">
    <w:altName w:val="Arial Unicode MS"/>
    <w:charset w:val="01"/>
    <w:family w:val="auto"/>
    <w:pitch w:val="default"/>
  </w:font>
  <w:font w:name="Symbol">
    <w:charset w:val="02"/>
    <w:family w:val="auto"/>
    <w:pitch w:val="default"/>
  </w:font>
</w:fonts>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bullet"/>
      <w:lvlText w:val="-"/>
      <w:lvlJc w:val="left"/>
      <w:pPr>
        <w:tabs>
          <w:tab w:val="num" w:pos="720"/>
        </w:tabs>
        <w:ind w:left="720" w:hanging="360"/>
      </w:pPr>
      <w:rPr>
        <w:rFonts w:ascii="OpenSymbol" w:hAnsi="OpenSymbol" w:cs="OpenSymbol" w:hint="default"/>
      </w:rPr>
    </w:lvl>
    <w:lvl w:ilvl="1">
      <w:start w:val="1"/>
      <w:numFmt w:val="bullet"/>
      <w:lvlText w:val="◦"/>
      <w:lvlJc w:val="left"/>
      <w:pPr>
        <w:tabs>
          <w:tab w:val="num" w:pos="1080"/>
        </w:tabs>
        <w:ind w:left="1080" w:hanging="360"/>
      </w:pPr>
      <w:rPr>
        <w:rFonts w:ascii="OpenSymbol" w:hAnsi="OpenSymbol" w:cs="OpenSymbol" w:hint="default"/>
      </w:rPr>
    </w:lvl>
    <w:lvl w:ilvl="2">
      <w:start w:val="1"/>
      <w:numFmt w:val="bullet"/>
      <w:lvlText w:val="▪"/>
      <w:lvlJc w:val="left"/>
      <w:pPr>
        <w:tabs>
          <w:tab w:val="num" w:pos="1440"/>
        </w:tabs>
        <w:ind w:left="1440" w:hanging="360"/>
      </w:pPr>
      <w:rPr>
        <w:rFonts w:ascii="OpenSymbol" w:hAnsi="OpenSymbol" w:cs="OpenSymbol" w:hint="default"/>
      </w:rPr>
    </w:lvl>
    <w:lvl w:ilvl="3">
      <w:start w:val="1"/>
      <w:numFmt w:val="bullet"/>
      <w:lvlText w:val=""/>
      <w:lvlJc w:val="left"/>
      <w:pPr>
        <w:tabs>
          <w:tab w:val="num" w:pos="1800"/>
        </w:tabs>
        <w:ind w:left="1800" w:hanging="360"/>
      </w:pPr>
      <w:rPr>
        <w:rFonts w:ascii="Symbol" w:hAnsi="Symbol" w:cs="Symbol" w:hint="default"/>
      </w:rPr>
    </w:lvl>
    <w:lvl w:ilvl="4">
      <w:start w:val="1"/>
      <w:numFmt w:val="bullet"/>
      <w:lvlText w:val="◦"/>
      <w:lvlJc w:val="left"/>
      <w:pPr>
        <w:tabs>
          <w:tab w:val="num" w:pos="2160"/>
        </w:tabs>
        <w:ind w:left="2160" w:hanging="360"/>
      </w:pPr>
      <w:rPr>
        <w:rFonts w:ascii="OpenSymbol" w:hAnsi="OpenSymbol" w:cs="OpenSymbol" w:hint="default"/>
      </w:rPr>
    </w:lvl>
    <w:lvl w:ilvl="5">
      <w:start w:val="1"/>
      <w:numFmt w:val="bullet"/>
      <w:lvlText w:val="▪"/>
      <w:lvlJc w:val="left"/>
      <w:pPr>
        <w:tabs>
          <w:tab w:val="num" w:pos="2520"/>
        </w:tabs>
        <w:ind w:left="2520" w:hanging="360"/>
      </w:pPr>
      <w:rPr>
        <w:rFonts w:ascii="OpenSymbol" w:hAnsi="OpenSymbol" w:cs="OpenSymbol" w:hint="default"/>
      </w:rPr>
    </w:lvl>
    <w:lvl w:ilvl="6">
      <w:start w:val="1"/>
      <w:numFmt w:val="bullet"/>
      <w:lvlText w:val=""/>
      <w:lvlJc w:val="left"/>
      <w:pPr>
        <w:tabs>
          <w:tab w:val="num" w:pos="2880"/>
        </w:tabs>
        <w:ind w:left="2880" w:hanging="360"/>
      </w:pPr>
      <w:rPr>
        <w:rFonts w:ascii="Symbol" w:hAnsi="Symbol" w:cs="Symbol" w:hint="default"/>
      </w:rPr>
    </w:lvl>
    <w:lvl w:ilvl="7">
      <w:start w:val="1"/>
      <w:numFmt w:val="bullet"/>
      <w:lvlText w:val="◦"/>
      <w:lvlJc w:val="left"/>
      <w:pPr>
        <w:tabs>
          <w:tab w:val="num" w:pos="3240"/>
        </w:tabs>
        <w:ind w:left="3240" w:hanging="360"/>
      </w:pPr>
      <w:rPr>
        <w:rFonts w:ascii="OpenSymbol" w:hAnsi="OpenSymbol" w:cs="OpenSymbol" w:hint="default"/>
      </w:rPr>
    </w:lvl>
    <w:lvl w:ilvl="8">
      <w:start w:val="1"/>
      <w:numFmt w:val="bullet"/>
      <w:lvlText w:val="▪"/>
      <w:lvlJc w:val="left"/>
      <w:pPr>
        <w:tabs>
          <w:tab w:val="num" w:pos="3600"/>
        </w:tabs>
        <w:ind w:left="3600" w:hanging="360"/>
      </w:pPr>
      <w:rPr>
        <w:rFonts w:ascii="OpenSymbol" w:hAnsi="OpenSymbol" w:cs="OpenSymbol" w:hint="default"/>
      </w:rPr>
    </w:lvl>
  </w:abstractNum>
  <w:abstractNum w:abstractNumId="2">
    <w:lvl w:ilvl="0">
      <w:start w:val="1"/>
      <w:numFmt w:val="none"/>
      <w:suff w:val="nothing"/>
      <w:lvlText w:val="%1"/>
      <w:lvlJc w:val="left"/>
      <w:pPr>
        <w:tabs>
          <w:tab w:val="num" w:pos="0"/>
        </w:tabs>
        <w:ind w:left="0" w:hanging="0"/>
      </w:pPr>
    </w:lvl>
    <w:lvl w:ilvl="1">
      <w:start w:val="1"/>
      <w:numFmt w:val="none"/>
      <w:suff w:val="nothing"/>
      <w:lvlText w:val="%2"/>
      <w:lvlJc w:val="left"/>
      <w:pPr>
        <w:tabs>
          <w:tab w:val="num" w:pos="0"/>
        </w:tabs>
        <w:ind w:left="0" w:hanging="0"/>
      </w:pPr>
    </w:lvl>
    <w:lvl w:ilvl="2">
      <w:start w:val="1"/>
      <w:numFmt w:val="none"/>
      <w:suff w:val="nothing"/>
      <w:lvlText w:val="%3"/>
      <w:lvlJc w:val="left"/>
      <w:pPr>
        <w:tabs>
          <w:tab w:val="num" w:pos="0"/>
        </w:tabs>
        <w:ind w:left="0" w:hanging="0"/>
      </w:pPr>
    </w:lvl>
    <w:lvl w:ilvl="3">
      <w:start w:val="1"/>
      <w:numFmt w:val="none"/>
      <w:suff w:val="nothing"/>
      <w:lvlText w:val="%4"/>
      <w:lvlJc w:val="left"/>
      <w:pPr>
        <w:tabs>
          <w:tab w:val="num" w:pos="0"/>
        </w:tabs>
        <w:ind w:left="0" w:hanging="0"/>
      </w:pPr>
    </w:lvl>
    <w:lvl w:ilvl="4">
      <w:start w:val="1"/>
      <w:numFmt w:val="none"/>
      <w:suff w:val="nothing"/>
      <w:lvlText w:val="%5"/>
      <w:lvlJc w:val="left"/>
      <w:pPr>
        <w:tabs>
          <w:tab w:val="num" w:pos="0"/>
        </w:tabs>
        <w:ind w:left="0" w:hanging="0"/>
      </w:pPr>
    </w:lvl>
    <w:lvl w:ilvl="5">
      <w:start w:val="1"/>
      <w:numFmt w:val="none"/>
      <w:suff w:val="nothing"/>
      <w:lvlText w:val="%6"/>
      <w:lvlJc w:val="left"/>
      <w:pPr>
        <w:tabs>
          <w:tab w:val="num" w:pos="0"/>
        </w:tabs>
        <w:ind w:left="0" w:hanging="0"/>
      </w:pPr>
    </w:lvl>
    <w:lvl w:ilvl="6">
      <w:start w:val="1"/>
      <w:numFmt w:val="none"/>
      <w:suff w:val="nothing"/>
      <w:lvlText w:val="%7"/>
      <w:lvlJc w:val="left"/>
      <w:pPr>
        <w:tabs>
          <w:tab w:val="num" w:pos="0"/>
        </w:tabs>
        <w:ind w:left="0" w:hanging="0"/>
      </w:pPr>
    </w:lvl>
    <w:lvl w:ilvl="7">
      <w:start w:val="1"/>
      <w:numFmt w:val="none"/>
      <w:suff w:val="nothing"/>
      <w:lvlText w:val="%8"/>
      <w:lvlJc w:val="left"/>
      <w:pPr>
        <w:tabs>
          <w:tab w:val="num" w:pos="0"/>
        </w:tabs>
        <w:ind w:left="0" w:hanging="0"/>
      </w:pPr>
    </w:lvl>
    <w:lvl w:ilvl="8">
      <w:start w:val="1"/>
      <w:numFmt w:val="none"/>
      <w:suff w:val="nothing"/>
      <w:lvlText w:val="%9"/>
      <w:lvlJc w:val="left"/>
      <w:pPr>
        <w:tabs>
          <w:tab w:val="num" w:pos="0"/>
        </w:tabs>
        <w:ind w:left="0" w:hanging="0"/>
      </w:pPr>
    </w:lvl>
  </w:abstractNum>
  <w:num w:numId="1">
    <w:abstractNumId w:val="1"/>
  </w:num>
  <w:num w:numId="2">
    <w:abstractNumId w:val="2"/>
  </w:num>
</w:numbering>
</file>

<file path=word/settings.xml><?xml version="1.0" encoding="utf-8"?>
<w:settings xmlns:w="http://schemas.openxmlformats.org/wordprocessingml/2006/main">
  <w:zoom w:percent="100"/>
  <w:defaultTabStop w:val="709"/>
  <w:autoHyphenation w:val="true"/>
  <w:compat>
    <w:compatSetting w:name="compatibilityMode" w:uri="http://schemas.microsoft.com/office/word" w:val="15"/>
  </w:compat>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Liberation Serif" w:hAnsi="Liberation Serif" w:eastAsia="NSimSun" w:cs="Lucida Sans"/>
        <w:kern w:val="2"/>
        <w:sz w:val="24"/>
        <w:szCs w:val="24"/>
        <w:lang w:val="en-GB" w:eastAsia="zh-CN" w:bidi="hi-IN"/>
      </w:rPr>
    </w:rPrDefault>
    <w:pPrDefault>
      <w:pPr>
        <w:widowControl/>
        <w:suppressAutoHyphens w:val="true"/>
      </w:pPr>
    </w:pPrDefault>
  </w:docDefaults>
  <w:style w:type="paragraph" w:styleId="Normal">
    <w:name w:val="Normal"/>
    <w:qFormat/>
    <w:pPr>
      <w:widowControl/>
      <w:kinsoku w:val="true"/>
      <w:overflowPunct w:val="true"/>
      <w:autoSpaceDE w:val="true"/>
      <w:bidi w:val="0"/>
    </w:pPr>
    <w:rPr>
      <w:rFonts w:ascii="Liberation Serif" w:hAnsi="Liberation Serif" w:eastAsia="NSimSun" w:cs="Lucida Sans"/>
      <w:color w:val="auto"/>
      <w:kern w:val="2"/>
      <w:sz w:val="24"/>
      <w:szCs w:val="24"/>
      <w:lang w:val="en-GB" w:eastAsia="zh-CN" w:bidi="hi-IN"/>
    </w:rPr>
  </w:style>
  <w:style w:type="character" w:styleId="InternetLink">
    <w:name w:val="Hyperlink"/>
    <w:rPr>
      <w:color w:val="000080"/>
      <w:u w:val="single"/>
    </w:rPr>
  </w:style>
  <w:style w:type="character" w:styleId="Bullets">
    <w:name w:val="Bullets"/>
    <w:qFormat/>
    <w:rPr>
      <w:rFonts w:ascii="OpenSymbol" w:hAnsi="OpenSymbol" w:eastAsia="OpenSymbol" w:cs="OpenSymbol"/>
    </w:rPr>
  </w:style>
  <w:style w:type="paragraph" w:styleId="Heading">
    <w:name w:val="Heading"/>
    <w:basedOn w:val="Normal"/>
    <w:next w:val="TextBody"/>
    <w:qFormat/>
    <w:pPr>
      <w:keepNext w:val="true"/>
      <w:spacing w:before="240" w:after="120"/>
    </w:pPr>
    <w:rPr>
      <w:rFonts w:ascii="Liberation Sans" w:hAnsi="Liberation Sans" w:eastAsia="Microsoft YaHei" w:cs="Lucida Sans"/>
      <w:sz w:val="28"/>
      <w:szCs w:val="28"/>
    </w:rPr>
  </w:style>
  <w:style w:type="paragraph" w:styleId="TextBody">
    <w:name w:val="Body Text"/>
    <w:basedOn w:val="Normal"/>
    <w:pPr>
      <w:spacing w:lineRule="auto" w:line="276" w:before="0" w:after="140"/>
    </w:pPr>
    <w:rPr/>
  </w:style>
  <w:style w:type="paragraph" w:styleId="List">
    <w:name w:val="List"/>
    <w:basedOn w:val="TextBody"/>
    <w:pPr/>
    <w:rPr>
      <w:rFonts w:cs="Lucida Sans"/>
    </w:rPr>
  </w:style>
  <w:style w:type="paragraph" w:styleId="Caption">
    <w:name w:val="Caption"/>
    <w:basedOn w:val="Normal"/>
    <w:qFormat/>
    <w:pPr>
      <w:suppressLineNumbers/>
      <w:spacing w:before="120" w:after="120"/>
    </w:pPr>
    <w:rPr>
      <w:rFonts w:cs="Lucida Sans"/>
      <w:i/>
      <w:iCs/>
      <w:sz w:val="24"/>
      <w:szCs w:val="24"/>
    </w:rPr>
  </w:style>
  <w:style w:type="paragraph" w:styleId="Index">
    <w:name w:val="Index"/>
    <w:basedOn w:val="Normal"/>
    <w:qFormat/>
    <w:pPr>
      <w:suppressLineNumbers/>
    </w:pPr>
    <w:rPr>
      <w:rFonts w:cs="Lucida Sans"/>
    </w:r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image" Target="media/image1.png"/><Relationship Id="rId3" Type="http://schemas.openxmlformats.org/officeDocument/2006/relationships/numbering" Target="numbering.xml"/><Relationship Id="rId4" Type="http://schemas.openxmlformats.org/officeDocument/2006/relationships/fontTable" Target="fontTable.xml"/><Relationship Id="rId5" Type="http://schemas.openxmlformats.org/officeDocument/2006/relationships/settings" Target="settings.xml"/>
</Relationships>
</file>

<file path=docProps/app.xml><?xml version="1.0" encoding="utf-8"?>
<Properties xmlns="http://schemas.openxmlformats.org/officeDocument/2006/extended-properties" xmlns:vt="http://schemas.openxmlformats.org/officeDocument/2006/docPropsVTypes">
  <Template/>
  <TotalTime>432</TotalTime>
  <Application>LibreOffice/7.3.7.2$Linux_X86_64 LibreOffice_project/30$Build-2</Application>
  <AppVersion>15.0000</AppVersion>
  <Pages>5</Pages>
  <Words>2387</Words>
  <Characters>14020</Characters>
  <CharactersWithSpaces>16315</CharactersWithSpaces>
  <Paragraphs>62</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2026-01-21T16:32:43Z</dcterms:created>
  <dc:creator>Joe</dc:creator>
  <dc:description/>
  <dc:language>en-GB</dc:language>
  <cp:lastModifiedBy/>
  <dcterms:modified xsi:type="dcterms:W3CDTF">2026-03-20T11:54:06Z</dcterms:modified>
  <cp:revision>77</cp:revision>
  <dc:subject/>
  <dc:title/>
</cp:coreProperties>
</file>