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F4A21">
        <w:rPr>
          <w:b/>
          <w:sz w:val="24"/>
        </w:rPr>
        <w:t>0</w:t>
      </w:r>
      <w:r w:rsidR="00924576">
        <w:rPr>
          <w:b/>
          <w:sz w:val="24"/>
        </w:rPr>
        <w:t>4</w:t>
      </w:r>
      <w:r>
        <w:rPr>
          <w:b/>
          <w:sz w:val="24"/>
        </w:rPr>
        <w:t xml:space="preserve"> – </w:t>
      </w:r>
      <w:r w:rsidR="00924576" w:rsidRPr="00924576">
        <w:rPr>
          <w:b/>
          <w:sz w:val="24"/>
        </w:rPr>
        <w:t>Inferência Estatística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1D45E5">
        <w:rPr>
          <w:b/>
          <w:sz w:val="24"/>
        </w:rPr>
        <w:t>2</w:t>
      </w:r>
      <w:r w:rsidR="00DE6BA5">
        <w:rPr>
          <w:b/>
          <w:sz w:val="24"/>
        </w:rPr>
        <w:t>4</w:t>
      </w:r>
    </w:p>
    <w:p w:rsidR="0051047D" w:rsidRDefault="0051047D">
      <w:pPr>
        <w:pStyle w:val="Corpodetexto2"/>
      </w:pPr>
    </w:p>
    <w:p w:rsidR="00E921CC" w:rsidRPr="00E921CC" w:rsidRDefault="00E921CC" w:rsidP="00E921CC">
      <w:pPr>
        <w:pStyle w:val="Corpodetexto2"/>
        <w:numPr>
          <w:ilvl w:val="0"/>
          <w:numId w:val="6"/>
        </w:numPr>
        <w:spacing w:after="240"/>
        <w:rPr>
          <w:szCs w:val="24"/>
        </w:rPr>
      </w:pPr>
      <w:r w:rsidRPr="00E921CC">
        <w:rPr>
          <w:szCs w:val="24"/>
        </w:rPr>
        <w:t>Responda:</w:t>
      </w:r>
    </w:p>
    <w:p w:rsidR="00E921CC" w:rsidRPr="00E921CC" w:rsidRDefault="00E921CC" w:rsidP="001E407D">
      <w:pPr>
        <w:pStyle w:val="Corpodetexto2"/>
        <w:spacing w:after="240"/>
        <w:ind w:left="644" w:hanging="284"/>
        <w:rPr>
          <w:szCs w:val="24"/>
        </w:rPr>
      </w:pPr>
      <w:r w:rsidRPr="00E921CC">
        <w:rPr>
          <w:szCs w:val="24"/>
        </w:rPr>
        <w:t xml:space="preserve">a) </w:t>
      </w:r>
      <w:r w:rsidR="00F07B32">
        <w:rPr>
          <w:szCs w:val="24"/>
        </w:rPr>
        <w:t xml:space="preserve">Mesmo para amostras pequenas, </w:t>
      </w:r>
      <w:r w:rsidR="00FD0133">
        <w:rPr>
          <w:szCs w:val="24"/>
        </w:rPr>
        <w:t xml:space="preserve">é </w:t>
      </w:r>
      <w:r w:rsidR="00F07B32">
        <w:rPr>
          <w:szCs w:val="24"/>
        </w:rPr>
        <w:t xml:space="preserve">possível determinar </w:t>
      </w:r>
      <w:r w:rsidR="00FD0133">
        <w:rPr>
          <w:szCs w:val="24"/>
        </w:rPr>
        <w:t>a</w:t>
      </w:r>
      <w:r w:rsidRPr="00E921CC">
        <w:rPr>
          <w:szCs w:val="24"/>
        </w:rPr>
        <w:t xml:space="preserve"> distribuição teórica da média amostral?</w:t>
      </w:r>
    </w:p>
    <w:p w:rsidR="00E921CC" w:rsidRPr="00E921CC" w:rsidRDefault="00E921CC" w:rsidP="001E407D">
      <w:pPr>
        <w:pStyle w:val="Corpodetexto2"/>
        <w:spacing w:after="240"/>
        <w:ind w:left="644" w:hanging="284"/>
        <w:rPr>
          <w:szCs w:val="24"/>
        </w:rPr>
      </w:pPr>
      <w:r w:rsidRPr="00E921CC">
        <w:rPr>
          <w:szCs w:val="24"/>
        </w:rPr>
        <w:t xml:space="preserve">b) Como o tamanho da amostra influencia a </w:t>
      </w:r>
      <w:r w:rsidR="00AB3301">
        <w:rPr>
          <w:szCs w:val="24"/>
        </w:rPr>
        <w:t>variabilidade</w:t>
      </w:r>
      <w:r w:rsidRPr="00E921CC">
        <w:rPr>
          <w:szCs w:val="24"/>
        </w:rPr>
        <w:t xml:space="preserve"> da média amostral?</w:t>
      </w:r>
    </w:p>
    <w:p w:rsidR="00E921CC" w:rsidRDefault="00E921CC" w:rsidP="001E407D">
      <w:pPr>
        <w:pStyle w:val="Corpodetexto2"/>
        <w:tabs>
          <w:tab w:val="num" w:pos="426"/>
        </w:tabs>
        <w:spacing w:after="240"/>
        <w:ind w:left="644" w:hanging="284"/>
        <w:rPr>
          <w:szCs w:val="24"/>
        </w:rPr>
      </w:pPr>
      <w:proofErr w:type="gramStart"/>
      <w:r w:rsidRPr="00E921CC">
        <w:rPr>
          <w:szCs w:val="24"/>
        </w:rPr>
        <w:t>c) Por</w:t>
      </w:r>
      <w:proofErr w:type="gramEnd"/>
      <w:r w:rsidRPr="00E921CC">
        <w:rPr>
          <w:szCs w:val="24"/>
        </w:rPr>
        <w:t xml:space="preserve"> que na fórmula da variância amostral (</w:t>
      </w:r>
      <w:r w:rsidRPr="001E407D">
        <w:rPr>
          <w:i/>
          <w:szCs w:val="24"/>
        </w:rPr>
        <w:t>s</w:t>
      </w:r>
      <w:r w:rsidRPr="00E921CC">
        <w:rPr>
          <w:szCs w:val="24"/>
          <w:vertAlign w:val="superscript"/>
        </w:rPr>
        <w:t>2</w:t>
      </w:r>
      <w:r w:rsidRPr="00E921CC">
        <w:rPr>
          <w:szCs w:val="24"/>
        </w:rPr>
        <w:t>) aparece o termo n-1 no denominador?</w:t>
      </w:r>
    </w:p>
    <w:p w:rsidR="00FD0133" w:rsidRDefault="00FD0133" w:rsidP="001E407D">
      <w:pPr>
        <w:pStyle w:val="Corpodetexto2"/>
        <w:tabs>
          <w:tab w:val="num" w:pos="426"/>
        </w:tabs>
        <w:spacing w:after="240"/>
        <w:ind w:left="644" w:hanging="284"/>
        <w:rPr>
          <w:szCs w:val="24"/>
        </w:rPr>
      </w:pPr>
      <w:proofErr w:type="gramStart"/>
      <w:r>
        <w:rPr>
          <w:szCs w:val="24"/>
        </w:rPr>
        <w:t>d) Qual</w:t>
      </w:r>
      <w:proofErr w:type="gramEnd"/>
      <w:r>
        <w:rPr>
          <w:szCs w:val="24"/>
        </w:rPr>
        <w:t xml:space="preserve"> é a distribuição teórica associada a </w:t>
      </w:r>
      <w:r w:rsidRPr="001E407D">
        <w:rPr>
          <w:i/>
          <w:szCs w:val="24"/>
        </w:rPr>
        <w:t>s</w:t>
      </w:r>
      <w:r w:rsidRPr="00FD0133">
        <w:rPr>
          <w:szCs w:val="24"/>
          <w:vertAlign w:val="superscript"/>
        </w:rPr>
        <w:t>2</w:t>
      </w:r>
      <w:r>
        <w:rPr>
          <w:szCs w:val="24"/>
        </w:rPr>
        <w:t>? Há alguma restrição no uso desta distribuição com relação à distribuição original dos dados da qual foi coletada a amostra?</w:t>
      </w:r>
    </w:p>
    <w:p w:rsidR="001869D8" w:rsidRPr="00F46560" w:rsidRDefault="001869D8" w:rsidP="001869D8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</w:tabs>
        <w:spacing w:after="240"/>
        <w:ind w:left="284" w:hanging="284"/>
        <w:rPr>
          <w:szCs w:val="24"/>
        </w:rPr>
      </w:pPr>
      <w:r w:rsidRPr="00F46560">
        <w:rPr>
          <w:szCs w:val="24"/>
        </w:rPr>
        <w:t>Comente as seguintes sentenças, indicando se são verdadeiras ou falsas:</w:t>
      </w:r>
    </w:p>
    <w:p w:rsidR="001869D8" w:rsidRDefault="001869D8" w:rsidP="001869D8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>É fundamental que um estimador seja não tendencioso;</w:t>
      </w:r>
    </w:p>
    <w:p w:rsidR="001869D8" w:rsidRDefault="001869D8" w:rsidP="001869D8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estimador ideal </w:t>
      </w:r>
      <w:r w:rsidR="00F07B32">
        <w:rPr>
          <w:sz w:val="24"/>
          <w:szCs w:val="24"/>
        </w:rPr>
        <w:t xml:space="preserve">sempre deveria produzir as mesmas </w:t>
      </w:r>
      <w:r>
        <w:rPr>
          <w:sz w:val="24"/>
          <w:szCs w:val="24"/>
        </w:rPr>
        <w:t>estimativas</w:t>
      </w:r>
      <w:r w:rsidR="00F07B32">
        <w:rPr>
          <w:sz w:val="24"/>
          <w:szCs w:val="24"/>
        </w:rPr>
        <w:t>, ou seja, sua variância deveria ser zero</w:t>
      </w:r>
      <w:r>
        <w:rPr>
          <w:sz w:val="24"/>
          <w:szCs w:val="24"/>
        </w:rPr>
        <w:t>;</w:t>
      </w:r>
    </w:p>
    <w:p w:rsidR="001869D8" w:rsidRDefault="001869D8" w:rsidP="001869D8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>O estimador é uma variável aleatória;</w:t>
      </w:r>
    </w:p>
    <w:p w:rsidR="001869D8" w:rsidRPr="00D54ABC" w:rsidRDefault="001869D8" w:rsidP="001869D8">
      <w:pPr>
        <w:numPr>
          <w:ilvl w:val="1"/>
          <w:numId w:val="6"/>
        </w:numPr>
        <w:tabs>
          <w:tab w:val="clear" w:pos="1440"/>
          <w:tab w:val="num" w:pos="644"/>
        </w:tabs>
        <w:spacing w:after="120"/>
        <w:ind w:left="641" w:hanging="357"/>
        <w:jc w:val="both"/>
        <w:rPr>
          <w:sz w:val="24"/>
          <w:szCs w:val="24"/>
        </w:rPr>
      </w:pPr>
      <w:r>
        <w:rPr>
          <w:sz w:val="24"/>
          <w:szCs w:val="24"/>
        </w:rPr>
        <w:t>Os termos “variância amostral” e</w:t>
      </w:r>
      <w:r w:rsidRPr="00D54ABC">
        <w:rPr>
          <w:sz w:val="24"/>
          <w:szCs w:val="24"/>
        </w:rPr>
        <w:t xml:space="preserve"> “variância da média amostral”</w:t>
      </w:r>
      <w:r>
        <w:rPr>
          <w:sz w:val="24"/>
          <w:szCs w:val="24"/>
        </w:rPr>
        <w:t xml:space="preserve"> são equivalentes.</w:t>
      </w:r>
    </w:p>
    <w:p w:rsidR="004C49C3" w:rsidRDefault="004C49C3" w:rsidP="001E407D">
      <w:pPr>
        <w:pStyle w:val="Corpodetexto2"/>
        <w:spacing w:after="240"/>
      </w:pPr>
    </w:p>
    <w:p w:rsidR="001E407D" w:rsidRDefault="001E407D" w:rsidP="001E407D">
      <w:pPr>
        <w:pStyle w:val="Corpodetexto2"/>
        <w:numPr>
          <w:ilvl w:val="0"/>
          <w:numId w:val="6"/>
        </w:numPr>
        <w:spacing w:after="240"/>
      </w:pPr>
      <w:r>
        <w:t>Calcule a média e variância amostrais da seguinte amostra:</w:t>
      </w:r>
    </w:p>
    <w:tbl>
      <w:tblPr>
        <w:tblW w:w="38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7B32" w:rsidRPr="00F07B32" w:rsidTr="00F07B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9,24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8,56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</w:tr>
      <w:tr w:rsidR="00F07B32" w:rsidRPr="00F07B32" w:rsidTr="00F07B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6,85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4,90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4,95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2,27</w:t>
            </w:r>
          </w:p>
        </w:tc>
      </w:tr>
      <w:tr w:rsidR="00F07B32" w:rsidRPr="00F07B32" w:rsidTr="00F07B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2,70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9,49</w:t>
            </w:r>
          </w:p>
        </w:tc>
      </w:tr>
      <w:tr w:rsidR="00F07B32" w:rsidRPr="00F07B32" w:rsidTr="00F07B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9,11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8,19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8,82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B32" w:rsidRPr="00F07B32" w:rsidRDefault="00F07B32" w:rsidP="00F07B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7B32">
              <w:rPr>
                <w:rFonts w:ascii="Calibri" w:hAnsi="Calibri" w:cs="Calibri"/>
                <w:color w:val="000000"/>
                <w:sz w:val="22"/>
                <w:szCs w:val="22"/>
              </w:rPr>
              <w:t>8,07</w:t>
            </w:r>
          </w:p>
        </w:tc>
      </w:tr>
    </w:tbl>
    <w:p w:rsidR="001E407D" w:rsidRDefault="001E407D" w:rsidP="001E407D">
      <w:pPr>
        <w:pStyle w:val="Corpodetexto2"/>
        <w:spacing w:after="240"/>
      </w:pPr>
      <w:bookmarkStart w:id="0" w:name="_GoBack"/>
      <w:bookmarkEnd w:id="0"/>
    </w:p>
    <w:sectPr w:rsidR="001E407D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2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3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7500F"/>
    <w:rsid w:val="00077635"/>
    <w:rsid w:val="000B09C7"/>
    <w:rsid w:val="000B16E0"/>
    <w:rsid w:val="000D1ACA"/>
    <w:rsid w:val="000D2492"/>
    <w:rsid w:val="000D3F34"/>
    <w:rsid w:val="000E4C66"/>
    <w:rsid w:val="000E6E07"/>
    <w:rsid w:val="000F6C22"/>
    <w:rsid w:val="00102C57"/>
    <w:rsid w:val="00185647"/>
    <w:rsid w:val="001869D8"/>
    <w:rsid w:val="00196C90"/>
    <w:rsid w:val="001C7EE1"/>
    <w:rsid w:val="001D45E5"/>
    <w:rsid w:val="001E407D"/>
    <w:rsid w:val="001F7A88"/>
    <w:rsid w:val="0020585F"/>
    <w:rsid w:val="00224E12"/>
    <w:rsid w:val="0023444B"/>
    <w:rsid w:val="00251F03"/>
    <w:rsid w:val="00254F53"/>
    <w:rsid w:val="002B7E01"/>
    <w:rsid w:val="002D674B"/>
    <w:rsid w:val="00304EC0"/>
    <w:rsid w:val="00321EFB"/>
    <w:rsid w:val="00330E7C"/>
    <w:rsid w:val="00341627"/>
    <w:rsid w:val="003416D2"/>
    <w:rsid w:val="00354AE2"/>
    <w:rsid w:val="003A05FA"/>
    <w:rsid w:val="004148DA"/>
    <w:rsid w:val="004166E5"/>
    <w:rsid w:val="0042208D"/>
    <w:rsid w:val="00424653"/>
    <w:rsid w:val="0047388B"/>
    <w:rsid w:val="00491BDE"/>
    <w:rsid w:val="004B4F3B"/>
    <w:rsid w:val="004C49C3"/>
    <w:rsid w:val="004D2E2D"/>
    <w:rsid w:val="004E6BBB"/>
    <w:rsid w:val="0050178A"/>
    <w:rsid w:val="0051047D"/>
    <w:rsid w:val="00514668"/>
    <w:rsid w:val="005163E1"/>
    <w:rsid w:val="00523004"/>
    <w:rsid w:val="00531E46"/>
    <w:rsid w:val="00532D27"/>
    <w:rsid w:val="005423D1"/>
    <w:rsid w:val="00562F22"/>
    <w:rsid w:val="0056700D"/>
    <w:rsid w:val="005709C7"/>
    <w:rsid w:val="00581A1D"/>
    <w:rsid w:val="005830E3"/>
    <w:rsid w:val="005C2965"/>
    <w:rsid w:val="005D53CC"/>
    <w:rsid w:val="005D61DC"/>
    <w:rsid w:val="005E4B14"/>
    <w:rsid w:val="006255B4"/>
    <w:rsid w:val="006446BB"/>
    <w:rsid w:val="006B40BE"/>
    <w:rsid w:val="006C2158"/>
    <w:rsid w:val="006E3775"/>
    <w:rsid w:val="00723CEB"/>
    <w:rsid w:val="007248F1"/>
    <w:rsid w:val="007265CC"/>
    <w:rsid w:val="00741373"/>
    <w:rsid w:val="00747406"/>
    <w:rsid w:val="007806EF"/>
    <w:rsid w:val="007D54AB"/>
    <w:rsid w:val="007E563B"/>
    <w:rsid w:val="007E5B15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24576"/>
    <w:rsid w:val="009D579C"/>
    <w:rsid w:val="009E3C58"/>
    <w:rsid w:val="00A01574"/>
    <w:rsid w:val="00A15219"/>
    <w:rsid w:val="00A6367C"/>
    <w:rsid w:val="00A67AB2"/>
    <w:rsid w:val="00A74CDC"/>
    <w:rsid w:val="00A7626E"/>
    <w:rsid w:val="00A956F1"/>
    <w:rsid w:val="00AB3301"/>
    <w:rsid w:val="00AB6FFF"/>
    <w:rsid w:val="00B00224"/>
    <w:rsid w:val="00B160AC"/>
    <w:rsid w:val="00B2078B"/>
    <w:rsid w:val="00B23EFA"/>
    <w:rsid w:val="00B27BD6"/>
    <w:rsid w:val="00B3763E"/>
    <w:rsid w:val="00B554F0"/>
    <w:rsid w:val="00B800A7"/>
    <w:rsid w:val="00B827CC"/>
    <w:rsid w:val="00B94A32"/>
    <w:rsid w:val="00BD042F"/>
    <w:rsid w:val="00BD7DFE"/>
    <w:rsid w:val="00C11A95"/>
    <w:rsid w:val="00C41CD3"/>
    <w:rsid w:val="00CB3797"/>
    <w:rsid w:val="00CE238D"/>
    <w:rsid w:val="00D14E4F"/>
    <w:rsid w:val="00D16280"/>
    <w:rsid w:val="00D26A0C"/>
    <w:rsid w:val="00D47C73"/>
    <w:rsid w:val="00D54ABC"/>
    <w:rsid w:val="00DE6BA5"/>
    <w:rsid w:val="00DE73F3"/>
    <w:rsid w:val="00E41AC2"/>
    <w:rsid w:val="00E4340E"/>
    <w:rsid w:val="00E55A90"/>
    <w:rsid w:val="00E61354"/>
    <w:rsid w:val="00E753DA"/>
    <w:rsid w:val="00E754DD"/>
    <w:rsid w:val="00E807B3"/>
    <w:rsid w:val="00E87C51"/>
    <w:rsid w:val="00E921CC"/>
    <w:rsid w:val="00EA6987"/>
    <w:rsid w:val="00ED0B82"/>
    <w:rsid w:val="00EE1A32"/>
    <w:rsid w:val="00EF4A21"/>
    <w:rsid w:val="00F04CA9"/>
    <w:rsid w:val="00F07B32"/>
    <w:rsid w:val="00F16889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50663E-A125-4399-B5CA-87892D2E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18</cp:revision>
  <dcterms:created xsi:type="dcterms:W3CDTF">2019-05-24T18:22:00Z</dcterms:created>
  <dcterms:modified xsi:type="dcterms:W3CDTF">2024-05-24T12:59:00Z</dcterms:modified>
</cp:coreProperties>
</file>