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7D" w:rsidRDefault="0051047D" w:rsidP="00F16889">
      <w:pPr>
        <w:jc w:val="center"/>
        <w:rPr>
          <w:b/>
          <w:sz w:val="24"/>
        </w:rPr>
      </w:pPr>
      <w:r>
        <w:rPr>
          <w:b/>
          <w:sz w:val="24"/>
        </w:rPr>
        <w:t xml:space="preserve">Lista </w:t>
      </w:r>
      <w:r w:rsidR="00757760">
        <w:rPr>
          <w:b/>
          <w:sz w:val="24"/>
        </w:rPr>
        <w:t>1</w:t>
      </w:r>
      <w:r w:rsidR="00330E7C">
        <w:rPr>
          <w:b/>
          <w:sz w:val="24"/>
        </w:rPr>
        <w:t>3</w:t>
      </w:r>
      <w:r>
        <w:rPr>
          <w:b/>
          <w:sz w:val="24"/>
        </w:rPr>
        <w:t xml:space="preserve"> – </w:t>
      </w:r>
      <w:r w:rsidR="00757760" w:rsidRPr="00757760">
        <w:rPr>
          <w:b/>
          <w:sz w:val="24"/>
        </w:rPr>
        <w:t>Estatística Não Paramétrica</w:t>
      </w:r>
      <w:r w:rsidR="00EF4A21">
        <w:rPr>
          <w:b/>
          <w:sz w:val="24"/>
        </w:rPr>
        <w:t xml:space="preserve"> – </w:t>
      </w:r>
      <w:r>
        <w:rPr>
          <w:b/>
          <w:sz w:val="24"/>
        </w:rPr>
        <w:t>Estatística 20</w:t>
      </w:r>
      <w:r w:rsidR="00577CF7">
        <w:rPr>
          <w:b/>
          <w:sz w:val="24"/>
        </w:rPr>
        <w:t>2</w:t>
      </w:r>
      <w:r w:rsidR="005A38DB">
        <w:rPr>
          <w:b/>
          <w:sz w:val="24"/>
        </w:rPr>
        <w:t>4</w:t>
      </w:r>
      <w:bookmarkStart w:id="0" w:name="_GoBack"/>
      <w:bookmarkEnd w:id="0"/>
    </w:p>
    <w:p w:rsidR="0051047D" w:rsidRDefault="0051047D">
      <w:pPr>
        <w:pStyle w:val="Corpodetexto2"/>
      </w:pPr>
    </w:p>
    <w:p w:rsidR="00B06BCD" w:rsidRDefault="00B06BCD" w:rsidP="00B06BCD">
      <w:pPr>
        <w:pStyle w:val="Corpodetexto2"/>
        <w:numPr>
          <w:ilvl w:val="0"/>
          <w:numId w:val="6"/>
        </w:numPr>
        <w:tabs>
          <w:tab w:val="clear" w:pos="360"/>
          <w:tab w:val="num" w:pos="336"/>
          <w:tab w:val="num" w:pos="426"/>
          <w:tab w:val="num" w:pos="644"/>
        </w:tabs>
        <w:spacing w:after="240"/>
        <w:ind w:left="284" w:hanging="284"/>
      </w:pPr>
      <w:r>
        <w:t>A fim de testar a normalidade dos valores de uma classe temática numa imagem, selecionou-se 133 valores, obtendo-se o seguinte histograma:</w:t>
      </w:r>
    </w:p>
    <w:p w:rsidR="00B06BCD" w:rsidRDefault="00B06BCD" w:rsidP="00B06BC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D218CFE" wp14:editId="1B2AC97D">
            <wp:extent cx="3237865" cy="1882775"/>
            <wp:effectExtent l="0" t="0" r="0" b="0"/>
            <wp:docPr id="2" name="Objet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06BCD" w:rsidRPr="00562F22" w:rsidRDefault="00B06BCD" w:rsidP="00B06BCD">
      <w:pPr>
        <w:ind w:left="643" w:hanging="283"/>
        <w:jc w:val="both"/>
        <w:rPr>
          <w:sz w:val="24"/>
        </w:rPr>
      </w:pPr>
      <w:r>
        <w:rPr>
          <w:sz w:val="24"/>
        </w:rPr>
        <w:t xml:space="preserve">Utilizando o teste de </w:t>
      </w:r>
      <w:proofErr w:type="spellStart"/>
      <w:r>
        <w:rPr>
          <w:sz w:val="24"/>
        </w:rPr>
        <w:t>Kolmogorov-Smirnov</w:t>
      </w:r>
      <w:proofErr w:type="spellEnd"/>
      <w:r>
        <w:rPr>
          <w:sz w:val="24"/>
        </w:rPr>
        <w:t>, verificar a hipótese de que os dados seguem uma distribuição normal. A</w:t>
      </w:r>
      <w:r w:rsidRPr="006C0E8C">
        <w:rPr>
          <w:sz w:val="24"/>
        </w:rPr>
        <w:t>dot</w:t>
      </w:r>
      <w:r>
        <w:rPr>
          <w:sz w:val="24"/>
        </w:rPr>
        <w:t>e</w:t>
      </w:r>
      <w:r w:rsidRPr="006C0E8C">
        <w:rPr>
          <w:sz w:val="24"/>
        </w:rPr>
        <w:t xml:space="preserve"> nível de significância de 5%</w:t>
      </w:r>
      <w:r>
        <w:rPr>
          <w:sz w:val="24"/>
        </w:rPr>
        <w:t>.</w:t>
      </w:r>
    </w:p>
    <w:p w:rsidR="00B06BCD" w:rsidRDefault="00B06BCD" w:rsidP="00B06BCD">
      <w:pPr>
        <w:jc w:val="both"/>
        <w:rPr>
          <w:sz w:val="24"/>
        </w:rPr>
      </w:pPr>
    </w:p>
    <w:p w:rsidR="00B06BCD" w:rsidRPr="004127D8" w:rsidRDefault="00B06BCD" w:rsidP="00B06BCD">
      <w:pPr>
        <w:pStyle w:val="Corpodetexto2"/>
        <w:numPr>
          <w:ilvl w:val="0"/>
          <w:numId w:val="6"/>
        </w:numPr>
        <w:tabs>
          <w:tab w:val="clear" w:pos="360"/>
          <w:tab w:val="num" w:pos="336"/>
          <w:tab w:val="num" w:pos="426"/>
          <w:tab w:val="num" w:pos="644"/>
        </w:tabs>
        <w:spacing w:after="240"/>
        <w:ind w:left="284" w:hanging="284"/>
        <w:rPr>
          <w:szCs w:val="24"/>
        </w:rPr>
      </w:pPr>
      <w:r w:rsidRPr="004127D8">
        <w:rPr>
          <w:szCs w:val="24"/>
        </w:rPr>
        <w:t>Um pesquisador está interessado em descobrir se de fato a presença de nuvens está condicionada à distância com que estas nuvens aparecem em relação a áreas montanhosas. Assim, através de uma série temporal de 190 imagens, ele observou a ocorrência de nuvens (grau</w:t>
      </w:r>
      <w:r>
        <w:rPr>
          <w:szCs w:val="24"/>
        </w:rPr>
        <w:t xml:space="preserve"> de recobrimento</w:t>
      </w:r>
      <w:r w:rsidRPr="004127D8">
        <w:rPr>
          <w:szCs w:val="24"/>
        </w:rPr>
        <w:t>) em 4 regiões pré-definidas de acordo com a distância do cume de montanhas. O resultado que ele chegou está mostrado na tabela abaixo:</w:t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3"/>
        <w:gridCol w:w="1701"/>
        <w:gridCol w:w="1701"/>
        <w:gridCol w:w="1701"/>
      </w:tblGrid>
      <w:tr w:rsidR="00B06BCD" w:rsidTr="00101EA8">
        <w:tc>
          <w:tcPr>
            <w:tcW w:w="1863" w:type="dxa"/>
          </w:tcPr>
          <w:p w:rsidR="00B06BCD" w:rsidRDefault="00B06BCD" w:rsidP="00101EA8">
            <w:pPr>
              <w:pStyle w:val="Corpodetexto"/>
            </w:pPr>
          </w:p>
        </w:tc>
        <w:tc>
          <w:tcPr>
            <w:tcW w:w="1701" w:type="dxa"/>
          </w:tcPr>
          <w:p w:rsidR="00B06BCD" w:rsidRDefault="00B06BCD" w:rsidP="00101EA8">
            <w:pPr>
              <w:pStyle w:val="Corpodetexto"/>
              <w:jc w:val="center"/>
            </w:pPr>
            <w:r>
              <w:t>&lt; 50%</w:t>
            </w:r>
          </w:p>
        </w:tc>
        <w:tc>
          <w:tcPr>
            <w:tcW w:w="1701" w:type="dxa"/>
          </w:tcPr>
          <w:p w:rsidR="00B06BCD" w:rsidRDefault="00B06BCD" w:rsidP="00101EA8">
            <w:pPr>
              <w:pStyle w:val="Corpodetexto"/>
              <w:jc w:val="center"/>
            </w:pPr>
            <w:smartTag w:uri="urn:schemas-microsoft-com:office:smarttags" w:element="metricconverter">
              <w:smartTagPr>
                <w:attr w:name="ProductID" w:val="50 a"/>
              </w:smartTagPr>
              <w:r>
                <w:t>50 a</w:t>
              </w:r>
            </w:smartTag>
            <w:r>
              <w:t xml:space="preserve"> 80%</w:t>
            </w:r>
          </w:p>
        </w:tc>
        <w:tc>
          <w:tcPr>
            <w:tcW w:w="1701" w:type="dxa"/>
          </w:tcPr>
          <w:p w:rsidR="00B06BCD" w:rsidRDefault="00B06BCD" w:rsidP="00101EA8">
            <w:pPr>
              <w:pStyle w:val="Corpodetexto"/>
              <w:jc w:val="center"/>
            </w:pPr>
            <w:r>
              <w:t>&gt; 80%</w:t>
            </w:r>
          </w:p>
        </w:tc>
      </w:tr>
      <w:tr w:rsidR="00B06BCD" w:rsidTr="00101EA8">
        <w:tc>
          <w:tcPr>
            <w:tcW w:w="1863" w:type="dxa"/>
          </w:tcPr>
          <w:p w:rsidR="00B06BCD" w:rsidRDefault="00B06BCD" w:rsidP="00101EA8">
            <w:pPr>
              <w:pStyle w:val="Corpodetexto"/>
            </w:pPr>
            <w:r>
              <w:t xml:space="preserve">até </w:t>
            </w:r>
            <w:smartTag w:uri="urn:schemas-microsoft-com:office:smarttags" w:element="metricconverter">
              <w:smartTagPr>
                <w:attr w:name="ProductID" w:val="100 m"/>
              </w:smartTagPr>
              <w:r>
                <w:t>100 m</w:t>
              </w:r>
            </w:smartTag>
          </w:p>
        </w:tc>
        <w:tc>
          <w:tcPr>
            <w:tcW w:w="1701" w:type="dxa"/>
          </w:tcPr>
          <w:p w:rsidR="00B06BCD" w:rsidRDefault="00B06BCD" w:rsidP="00101EA8">
            <w:pPr>
              <w:pStyle w:val="Corpodetexto"/>
              <w:jc w:val="center"/>
            </w:pPr>
            <w:r>
              <w:t>15</w:t>
            </w:r>
          </w:p>
        </w:tc>
        <w:tc>
          <w:tcPr>
            <w:tcW w:w="1701" w:type="dxa"/>
          </w:tcPr>
          <w:p w:rsidR="00B06BCD" w:rsidRDefault="00B06BCD" w:rsidP="00101EA8">
            <w:pPr>
              <w:pStyle w:val="Corpodetexto"/>
              <w:jc w:val="center"/>
            </w:pPr>
            <w:r>
              <w:t>15</w:t>
            </w:r>
          </w:p>
        </w:tc>
        <w:tc>
          <w:tcPr>
            <w:tcW w:w="1701" w:type="dxa"/>
          </w:tcPr>
          <w:p w:rsidR="00B06BCD" w:rsidRDefault="00B06BCD" w:rsidP="00101EA8">
            <w:pPr>
              <w:pStyle w:val="Corpodetexto"/>
              <w:jc w:val="center"/>
            </w:pPr>
            <w:r>
              <w:t>30</w:t>
            </w:r>
          </w:p>
        </w:tc>
      </w:tr>
      <w:tr w:rsidR="00B06BCD" w:rsidTr="00101EA8">
        <w:tc>
          <w:tcPr>
            <w:tcW w:w="1863" w:type="dxa"/>
          </w:tcPr>
          <w:p w:rsidR="00B06BCD" w:rsidRDefault="00B06BCD" w:rsidP="00101EA8">
            <w:pPr>
              <w:pStyle w:val="Corpodetexto"/>
            </w:pPr>
            <w:smartTag w:uri="urn:schemas-microsoft-com:office:smarttags" w:element="metricconverter">
              <w:smartTagPr>
                <w:attr w:name="ProductID" w:val="100 a"/>
              </w:smartTagPr>
              <w:r>
                <w:t>100 a</w:t>
              </w:r>
            </w:smartTag>
            <w:r>
              <w:t xml:space="preserve"> </w:t>
            </w:r>
            <w:smartTag w:uri="urn:schemas-microsoft-com:office:smarttags" w:element="metricconverter">
              <w:smartTagPr>
                <w:attr w:name="ProductID" w:val="200 m"/>
              </w:smartTagPr>
              <w:r>
                <w:t>200 m</w:t>
              </w:r>
            </w:smartTag>
          </w:p>
        </w:tc>
        <w:tc>
          <w:tcPr>
            <w:tcW w:w="1701" w:type="dxa"/>
          </w:tcPr>
          <w:p w:rsidR="00B06BCD" w:rsidRDefault="00B06BCD" w:rsidP="00101EA8">
            <w:pPr>
              <w:pStyle w:val="Corpodetexto"/>
              <w:jc w:val="center"/>
            </w:pPr>
            <w:r>
              <w:t>15</w:t>
            </w:r>
          </w:p>
        </w:tc>
        <w:tc>
          <w:tcPr>
            <w:tcW w:w="1701" w:type="dxa"/>
          </w:tcPr>
          <w:p w:rsidR="00B06BCD" w:rsidRDefault="00B06BCD" w:rsidP="00101EA8">
            <w:pPr>
              <w:pStyle w:val="Corpodetexto"/>
              <w:jc w:val="center"/>
            </w:pPr>
            <w:r>
              <w:t>20</w:t>
            </w:r>
          </w:p>
        </w:tc>
        <w:tc>
          <w:tcPr>
            <w:tcW w:w="1701" w:type="dxa"/>
          </w:tcPr>
          <w:p w:rsidR="00B06BCD" w:rsidRDefault="00B06BCD" w:rsidP="00101EA8">
            <w:pPr>
              <w:pStyle w:val="Corpodetexto"/>
              <w:jc w:val="center"/>
            </w:pPr>
            <w:r>
              <w:t>20</w:t>
            </w:r>
          </w:p>
        </w:tc>
      </w:tr>
      <w:tr w:rsidR="00B06BCD" w:rsidTr="00101EA8">
        <w:tc>
          <w:tcPr>
            <w:tcW w:w="1863" w:type="dxa"/>
          </w:tcPr>
          <w:p w:rsidR="00B06BCD" w:rsidRDefault="00B06BCD" w:rsidP="00101EA8">
            <w:pPr>
              <w:pStyle w:val="Corpodetexto"/>
            </w:pPr>
            <w:smartTag w:uri="urn:schemas-microsoft-com:office:smarttags" w:element="metricconverter">
              <w:smartTagPr>
                <w:attr w:name="ProductID" w:val="200 a"/>
              </w:smartTagPr>
              <w:r>
                <w:t>200 a</w:t>
              </w:r>
            </w:smartTag>
            <w:r>
              <w:t xml:space="preserve"> </w:t>
            </w:r>
            <w:smartTag w:uri="urn:schemas-microsoft-com:office:smarttags" w:element="metricconverter">
              <w:smartTagPr>
                <w:attr w:name="ProductID" w:val="400 m"/>
              </w:smartTagPr>
              <w:r>
                <w:t>400 m</w:t>
              </w:r>
            </w:smartTag>
          </w:p>
        </w:tc>
        <w:tc>
          <w:tcPr>
            <w:tcW w:w="1701" w:type="dxa"/>
          </w:tcPr>
          <w:p w:rsidR="00B06BCD" w:rsidRDefault="00B06BCD" w:rsidP="00101EA8">
            <w:pPr>
              <w:pStyle w:val="Corpodetexto"/>
              <w:jc w:val="center"/>
            </w:pPr>
            <w:r>
              <w:t>10</w:t>
            </w:r>
          </w:p>
        </w:tc>
        <w:tc>
          <w:tcPr>
            <w:tcW w:w="1701" w:type="dxa"/>
          </w:tcPr>
          <w:p w:rsidR="00B06BCD" w:rsidRDefault="00B06BCD" w:rsidP="00101EA8">
            <w:pPr>
              <w:pStyle w:val="Corpodetexto"/>
              <w:jc w:val="center"/>
            </w:pPr>
            <w:r>
              <w:t>15</w:t>
            </w:r>
          </w:p>
        </w:tc>
        <w:tc>
          <w:tcPr>
            <w:tcW w:w="1701" w:type="dxa"/>
          </w:tcPr>
          <w:p w:rsidR="00B06BCD" w:rsidRDefault="00B06BCD" w:rsidP="00101EA8">
            <w:pPr>
              <w:pStyle w:val="Corpodetexto"/>
              <w:jc w:val="center"/>
            </w:pPr>
            <w:r>
              <w:t>10</w:t>
            </w:r>
          </w:p>
        </w:tc>
      </w:tr>
      <w:tr w:rsidR="00B06BCD" w:rsidTr="00101EA8">
        <w:tc>
          <w:tcPr>
            <w:tcW w:w="1863" w:type="dxa"/>
          </w:tcPr>
          <w:p w:rsidR="00B06BCD" w:rsidRDefault="00B06BCD" w:rsidP="00101EA8">
            <w:pPr>
              <w:pStyle w:val="Corpodetexto"/>
            </w:pPr>
            <w:r>
              <w:t xml:space="preserve">mais que </w:t>
            </w:r>
            <w:smartTag w:uri="urn:schemas-microsoft-com:office:smarttags" w:element="metricconverter">
              <w:smartTagPr>
                <w:attr w:name="ProductID" w:val="400 m"/>
              </w:smartTagPr>
              <w:r>
                <w:t>400 m</w:t>
              </w:r>
            </w:smartTag>
          </w:p>
        </w:tc>
        <w:tc>
          <w:tcPr>
            <w:tcW w:w="1701" w:type="dxa"/>
          </w:tcPr>
          <w:p w:rsidR="00B06BCD" w:rsidRDefault="00B06BCD" w:rsidP="00101EA8">
            <w:pPr>
              <w:pStyle w:val="Corpodetexto"/>
              <w:jc w:val="center"/>
            </w:pPr>
            <w:r>
              <w:t>25</w:t>
            </w:r>
          </w:p>
        </w:tc>
        <w:tc>
          <w:tcPr>
            <w:tcW w:w="1701" w:type="dxa"/>
          </w:tcPr>
          <w:p w:rsidR="00B06BCD" w:rsidRDefault="00B06BCD" w:rsidP="00101EA8">
            <w:pPr>
              <w:pStyle w:val="Corpodetexto"/>
              <w:jc w:val="center"/>
            </w:pPr>
            <w:r>
              <w:t>10</w:t>
            </w:r>
          </w:p>
        </w:tc>
        <w:tc>
          <w:tcPr>
            <w:tcW w:w="1701" w:type="dxa"/>
          </w:tcPr>
          <w:p w:rsidR="00B06BCD" w:rsidRDefault="00B06BCD" w:rsidP="00101EA8">
            <w:pPr>
              <w:pStyle w:val="Corpodetexto"/>
              <w:jc w:val="center"/>
            </w:pPr>
            <w:r>
              <w:t>5</w:t>
            </w:r>
          </w:p>
        </w:tc>
      </w:tr>
    </w:tbl>
    <w:p w:rsidR="00B06BCD" w:rsidRDefault="00B06BCD" w:rsidP="00B06BCD">
      <w:pPr>
        <w:pStyle w:val="Corpodetexto"/>
      </w:pPr>
    </w:p>
    <w:p w:rsidR="00B06BCD" w:rsidRPr="004127D8" w:rsidRDefault="00B06BCD" w:rsidP="00B06BCD">
      <w:pPr>
        <w:ind w:left="643" w:hanging="283"/>
        <w:jc w:val="both"/>
        <w:rPr>
          <w:sz w:val="24"/>
          <w:szCs w:val="24"/>
        </w:rPr>
      </w:pPr>
      <w:r w:rsidRPr="004127D8">
        <w:rPr>
          <w:sz w:val="24"/>
          <w:szCs w:val="24"/>
        </w:rPr>
        <w:t>Teste a hipótese de que não existe relação entre nuvens e montanhas. Utilize um nível de significância de 5%.</w:t>
      </w:r>
    </w:p>
    <w:p w:rsidR="00B06BCD" w:rsidRDefault="00B06BCD" w:rsidP="00B06BCD">
      <w:pPr>
        <w:pStyle w:val="Corpodetexto"/>
      </w:pPr>
    </w:p>
    <w:p w:rsidR="00D01554" w:rsidRPr="004127D8" w:rsidRDefault="00D01554" w:rsidP="00D01554">
      <w:pPr>
        <w:pStyle w:val="Corpodetexto2"/>
        <w:numPr>
          <w:ilvl w:val="0"/>
          <w:numId w:val="6"/>
        </w:numPr>
        <w:tabs>
          <w:tab w:val="clear" w:pos="360"/>
          <w:tab w:val="num" w:pos="336"/>
          <w:tab w:val="num" w:pos="426"/>
          <w:tab w:val="num" w:pos="644"/>
        </w:tabs>
        <w:spacing w:after="240"/>
        <w:ind w:left="284" w:hanging="284"/>
        <w:rPr>
          <w:szCs w:val="24"/>
        </w:rPr>
      </w:pPr>
      <w:r>
        <w:rPr>
          <w:szCs w:val="24"/>
        </w:rPr>
        <w:t>Verifique se as duas amostras a seguir podem ser agrupadas numa só, testando a hipótese de que elas provêm da mesma distribuição (desconhecida).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081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D01554" w:rsidRPr="00D01554" w:rsidTr="00D01554">
        <w:trPr>
          <w:trHeight w:val="567"/>
        </w:trPr>
        <w:tc>
          <w:tcPr>
            <w:tcW w:w="565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Região A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4,00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5,08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5,01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4,25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5,25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5,68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4,62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5,38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4,59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4,71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5,96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4,92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5,89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4,63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4,23</w:t>
            </w:r>
          </w:p>
        </w:tc>
      </w:tr>
      <w:tr w:rsidR="00D01554" w:rsidRPr="00D01554" w:rsidTr="00D01554">
        <w:trPr>
          <w:gridAfter w:val="3"/>
          <w:wAfter w:w="887" w:type="pct"/>
          <w:trHeight w:val="567"/>
        </w:trPr>
        <w:tc>
          <w:tcPr>
            <w:tcW w:w="565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Região B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6,12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6,25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7,94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6,47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7,53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6,59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7,34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6,26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6,29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6,25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6,24</w:t>
            </w:r>
          </w:p>
        </w:tc>
        <w:tc>
          <w:tcPr>
            <w:tcW w:w="296" w:type="pct"/>
            <w:vAlign w:val="center"/>
            <w:hideMark/>
          </w:tcPr>
          <w:p w:rsidR="00D01554" w:rsidRPr="00D01554" w:rsidRDefault="00D01554" w:rsidP="00D01554">
            <w:pPr>
              <w:pStyle w:val="Corpodetexto2"/>
              <w:spacing w:after="240"/>
              <w:jc w:val="center"/>
              <w:rPr>
                <w:sz w:val="20"/>
              </w:rPr>
            </w:pPr>
            <w:r w:rsidRPr="00D01554">
              <w:rPr>
                <w:sz w:val="20"/>
              </w:rPr>
              <w:t>6,90</w:t>
            </w:r>
          </w:p>
        </w:tc>
      </w:tr>
    </w:tbl>
    <w:p w:rsidR="004C49C3" w:rsidRDefault="004C49C3" w:rsidP="00B06BCD">
      <w:pPr>
        <w:pStyle w:val="Corpodetexto2"/>
        <w:spacing w:after="240"/>
      </w:pPr>
    </w:p>
    <w:sectPr w:rsidR="004C49C3">
      <w:type w:val="continuous"/>
      <w:pgSz w:w="11907" w:h="16840" w:code="9"/>
      <w:pgMar w:top="851" w:right="851" w:bottom="85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C42CB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6E0E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8BC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902A9"/>
    <w:multiLevelType w:val="hybridMultilevel"/>
    <w:tmpl w:val="7B3C30A8"/>
    <w:lvl w:ilvl="0" w:tplc="E6EEB5A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CC7EB3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17EB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3FE85F52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41010F34"/>
    <w:multiLevelType w:val="hybridMultilevel"/>
    <w:tmpl w:val="CB5ABB5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EE0764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1D62F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4FCA4AAD"/>
    <w:multiLevelType w:val="hybridMultilevel"/>
    <w:tmpl w:val="AC7C9D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009B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4B7364E"/>
    <w:multiLevelType w:val="hybridMultilevel"/>
    <w:tmpl w:val="E0B63B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EEB5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8E6A5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BD27F9F"/>
    <w:multiLevelType w:val="hybridMultilevel"/>
    <w:tmpl w:val="92A2C65E"/>
    <w:lvl w:ilvl="0" w:tplc="921A66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12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13"/>
  </w:num>
  <w:num w:numId="11">
    <w:abstractNumId w:val="10"/>
  </w:num>
  <w:num w:numId="12">
    <w:abstractNumId w:val="4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FA"/>
    <w:rsid w:val="0007500F"/>
    <w:rsid w:val="00077635"/>
    <w:rsid w:val="000B16E0"/>
    <w:rsid w:val="000D1ACA"/>
    <w:rsid w:val="000D2492"/>
    <w:rsid w:val="000D3F34"/>
    <w:rsid w:val="000E4C66"/>
    <w:rsid w:val="000E6E07"/>
    <w:rsid w:val="00102C57"/>
    <w:rsid w:val="00185647"/>
    <w:rsid w:val="00196C90"/>
    <w:rsid w:val="001C7EE1"/>
    <w:rsid w:val="001F7A88"/>
    <w:rsid w:val="0020585F"/>
    <w:rsid w:val="00224E12"/>
    <w:rsid w:val="0023444B"/>
    <w:rsid w:val="00251F03"/>
    <w:rsid w:val="00254F53"/>
    <w:rsid w:val="002B7E01"/>
    <w:rsid w:val="002D674B"/>
    <w:rsid w:val="00304EC0"/>
    <w:rsid w:val="003067FB"/>
    <w:rsid w:val="00321EFB"/>
    <w:rsid w:val="00330E7C"/>
    <w:rsid w:val="003416D2"/>
    <w:rsid w:val="00354AE2"/>
    <w:rsid w:val="00373735"/>
    <w:rsid w:val="003A05FA"/>
    <w:rsid w:val="004166E5"/>
    <w:rsid w:val="0042208D"/>
    <w:rsid w:val="00424653"/>
    <w:rsid w:val="0047388B"/>
    <w:rsid w:val="00491BDE"/>
    <w:rsid w:val="004B4F3B"/>
    <w:rsid w:val="004C49C3"/>
    <w:rsid w:val="004D2E2D"/>
    <w:rsid w:val="004E6BBB"/>
    <w:rsid w:val="0050178A"/>
    <w:rsid w:val="0051047D"/>
    <w:rsid w:val="00514668"/>
    <w:rsid w:val="00523004"/>
    <w:rsid w:val="00532D27"/>
    <w:rsid w:val="005423D1"/>
    <w:rsid w:val="00562F22"/>
    <w:rsid w:val="0056700D"/>
    <w:rsid w:val="005709C7"/>
    <w:rsid w:val="00577CF7"/>
    <w:rsid w:val="00581A1D"/>
    <w:rsid w:val="005830E3"/>
    <w:rsid w:val="005A38DB"/>
    <w:rsid w:val="005C2965"/>
    <w:rsid w:val="005D53CC"/>
    <w:rsid w:val="005D61DC"/>
    <w:rsid w:val="005E4B14"/>
    <w:rsid w:val="006255B4"/>
    <w:rsid w:val="006446BB"/>
    <w:rsid w:val="006B40BE"/>
    <w:rsid w:val="006C2158"/>
    <w:rsid w:val="006E3775"/>
    <w:rsid w:val="00723CEB"/>
    <w:rsid w:val="007248F1"/>
    <w:rsid w:val="007265CC"/>
    <w:rsid w:val="00741373"/>
    <w:rsid w:val="00747406"/>
    <w:rsid w:val="00757760"/>
    <w:rsid w:val="007806EF"/>
    <w:rsid w:val="007D54AB"/>
    <w:rsid w:val="007E563B"/>
    <w:rsid w:val="007E5B15"/>
    <w:rsid w:val="00822E47"/>
    <w:rsid w:val="00860B3C"/>
    <w:rsid w:val="00864331"/>
    <w:rsid w:val="008643BD"/>
    <w:rsid w:val="00874FF7"/>
    <w:rsid w:val="00886E2B"/>
    <w:rsid w:val="008A7B7F"/>
    <w:rsid w:val="008B0069"/>
    <w:rsid w:val="008B2A1C"/>
    <w:rsid w:val="008B6EF4"/>
    <w:rsid w:val="00920CAB"/>
    <w:rsid w:val="009D579C"/>
    <w:rsid w:val="009E3C58"/>
    <w:rsid w:val="00A01574"/>
    <w:rsid w:val="00A15219"/>
    <w:rsid w:val="00A6367C"/>
    <w:rsid w:val="00A74CDC"/>
    <w:rsid w:val="00A7626E"/>
    <w:rsid w:val="00A956F1"/>
    <w:rsid w:val="00AB6FFF"/>
    <w:rsid w:val="00B00224"/>
    <w:rsid w:val="00B06BCD"/>
    <w:rsid w:val="00B160AC"/>
    <w:rsid w:val="00B2078B"/>
    <w:rsid w:val="00B23EFA"/>
    <w:rsid w:val="00B27BD6"/>
    <w:rsid w:val="00B3763E"/>
    <w:rsid w:val="00B554F0"/>
    <w:rsid w:val="00B800A7"/>
    <w:rsid w:val="00B827CC"/>
    <w:rsid w:val="00B94A32"/>
    <w:rsid w:val="00BD042F"/>
    <w:rsid w:val="00C11A95"/>
    <w:rsid w:val="00C41CD3"/>
    <w:rsid w:val="00CB3797"/>
    <w:rsid w:val="00CE238D"/>
    <w:rsid w:val="00D01554"/>
    <w:rsid w:val="00D14E4F"/>
    <w:rsid w:val="00D16280"/>
    <w:rsid w:val="00D26A0C"/>
    <w:rsid w:val="00D47C73"/>
    <w:rsid w:val="00D54ABC"/>
    <w:rsid w:val="00DE73F3"/>
    <w:rsid w:val="00E41AC2"/>
    <w:rsid w:val="00E4340E"/>
    <w:rsid w:val="00E55A90"/>
    <w:rsid w:val="00E61354"/>
    <w:rsid w:val="00E753DA"/>
    <w:rsid w:val="00E754DD"/>
    <w:rsid w:val="00E807B3"/>
    <w:rsid w:val="00E87C51"/>
    <w:rsid w:val="00EA6987"/>
    <w:rsid w:val="00ED0B82"/>
    <w:rsid w:val="00EE1A32"/>
    <w:rsid w:val="00EF4A21"/>
    <w:rsid w:val="00F04CA9"/>
    <w:rsid w:val="00F16889"/>
    <w:rsid w:val="00F42F54"/>
    <w:rsid w:val="00F46560"/>
    <w:rsid w:val="00F523D4"/>
    <w:rsid w:val="00F60C6C"/>
    <w:rsid w:val="00F700FE"/>
    <w:rsid w:val="00F71F1D"/>
    <w:rsid w:val="00F75455"/>
    <w:rsid w:val="00F94E64"/>
    <w:rsid w:val="00FA5065"/>
    <w:rsid w:val="00FA599B"/>
    <w:rsid w:val="00FA5D78"/>
    <w:rsid w:val="00FA7ED5"/>
    <w:rsid w:val="00FB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DE9E743-93EF-4E85-A425-E86E2FC3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5709C7"/>
    <w:pPr>
      <w:ind w:left="708"/>
    </w:pPr>
  </w:style>
  <w:style w:type="paragraph" w:styleId="Textodebalo">
    <w:name w:val="Balloon Text"/>
    <w:basedOn w:val="Normal"/>
    <w:link w:val="TextodebaloChar"/>
    <w:rsid w:val="005D61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D61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61DC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5D61DC"/>
    <w:rPr>
      <w:color w:val="808080"/>
    </w:rPr>
  </w:style>
  <w:style w:type="table" w:styleId="Tabelacomgrade">
    <w:name w:val="Table Grid"/>
    <w:basedOn w:val="Tabelanormal"/>
    <w:rsid w:val="00D01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015184381778741"/>
          <c:y val="8.3018867924528297E-2"/>
          <c:w val="0.85032537960954446"/>
          <c:h val="0.67924528301886788"/>
        </c:manualLayout>
      </c:layout>
      <c:barChart>
        <c:barDir val="col"/>
        <c:grouping val="clustered"/>
        <c:varyColors val="0"/>
        <c:ser>
          <c:idx val="0"/>
          <c:order val="0"/>
          <c:spPr>
            <a:noFill/>
            <a:ln w="9129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noFill/>
              <a:ln w="18257">
                <a:noFill/>
              </a:ln>
            </c:spPr>
            <c:txPr>
              <a:bodyPr/>
              <a:lstStyle/>
              <a:p>
                <a:pPr>
                  <a:defRPr sz="863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Plan1!$A$2:$A$20</c:f>
              <c:numCache>
                <c:formatCode>General</c:formatCode>
                <c:ptCount val="19"/>
                <c:pt idx="0">
                  <c:v>45</c:v>
                </c:pt>
                <c:pt idx="1">
                  <c:v>46</c:v>
                </c:pt>
                <c:pt idx="2">
                  <c:v>47</c:v>
                </c:pt>
                <c:pt idx="3">
                  <c:v>48</c:v>
                </c:pt>
                <c:pt idx="4">
                  <c:v>49</c:v>
                </c:pt>
                <c:pt idx="5">
                  <c:v>50</c:v>
                </c:pt>
                <c:pt idx="6">
                  <c:v>51</c:v>
                </c:pt>
                <c:pt idx="7">
                  <c:v>52</c:v>
                </c:pt>
                <c:pt idx="8">
                  <c:v>53</c:v>
                </c:pt>
                <c:pt idx="9">
                  <c:v>54</c:v>
                </c:pt>
                <c:pt idx="10">
                  <c:v>55</c:v>
                </c:pt>
                <c:pt idx="11">
                  <c:v>56</c:v>
                </c:pt>
                <c:pt idx="12">
                  <c:v>57</c:v>
                </c:pt>
                <c:pt idx="13">
                  <c:v>58</c:v>
                </c:pt>
                <c:pt idx="14">
                  <c:v>59</c:v>
                </c:pt>
                <c:pt idx="15">
                  <c:v>60</c:v>
                </c:pt>
                <c:pt idx="16">
                  <c:v>61</c:v>
                </c:pt>
                <c:pt idx="17">
                  <c:v>62</c:v>
                </c:pt>
                <c:pt idx="18">
                  <c:v>63</c:v>
                </c:pt>
              </c:numCache>
            </c:numRef>
          </c:cat>
          <c:val>
            <c:numRef>
              <c:f>Plan1!$B$2:$B$20</c:f>
              <c:numCache>
                <c:formatCode>General</c:formatCode>
                <c:ptCount val="19"/>
                <c:pt idx="0">
                  <c:v>2</c:v>
                </c:pt>
                <c:pt idx="1">
                  <c:v>0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7</c:v>
                </c:pt>
                <c:pt idx="6">
                  <c:v>10</c:v>
                </c:pt>
                <c:pt idx="7">
                  <c:v>11</c:v>
                </c:pt>
                <c:pt idx="8">
                  <c:v>17</c:v>
                </c:pt>
                <c:pt idx="9">
                  <c:v>20</c:v>
                </c:pt>
                <c:pt idx="10">
                  <c:v>18</c:v>
                </c:pt>
                <c:pt idx="11">
                  <c:v>13</c:v>
                </c:pt>
                <c:pt idx="12">
                  <c:v>8</c:v>
                </c:pt>
                <c:pt idx="13">
                  <c:v>8</c:v>
                </c:pt>
                <c:pt idx="14">
                  <c:v>7</c:v>
                </c:pt>
                <c:pt idx="15">
                  <c:v>2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446511960"/>
        <c:axId val="446512352"/>
      </c:barChart>
      <c:catAx>
        <c:axId val="4465119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647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t-BR"/>
                  <a:t>nível de cinza</a:t>
                </a:r>
              </a:p>
            </c:rich>
          </c:tx>
          <c:layout>
            <c:manualLayout>
              <c:xMode val="edge"/>
              <c:yMode val="edge"/>
              <c:x val="0.47071583514099785"/>
              <c:y val="0.87547169811320757"/>
            </c:manualLayout>
          </c:layout>
          <c:overlay val="0"/>
          <c:spPr>
            <a:noFill/>
            <a:ln w="18257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228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83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44651235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465123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647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pt-BR"/>
                  <a:t>freqüência absoluta</a:t>
                </a:r>
              </a:p>
            </c:rich>
          </c:tx>
          <c:layout>
            <c:manualLayout>
              <c:xMode val="edge"/>
              <c:yMode val="edge"/>
              <c:x val="2.3861171366594359E-2"/>
              <c:y val="0.20377358490566039"/>
            </c:manualLayout>
          </c:layout>
          <c:overlay val="0"/>
          <c:spPr>
            <a:noFill/>
            <a:ln w="18257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228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83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pt-BR"/>
          </a:p>
        </c:txPr>
        <c:crossAx val="446511960"/>
        <c:crosses val="autoZero"/>
        <c:crossBetween val="between"/>
      </c:valAx>
      <c:spPr>
        <a:noFill/>
        <a:ln w="2282">
          <a:solidFill>
            <a:srgbClr val="00000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>
      <a:noFill/>
    </a:ln>
  </c:spPr>
  <c:txPr>
    <a:bodyPr/>
    <a:lstStyle/>
    <a:p>
      <a:pPr>
        <a:defRPr sz="863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 - Estatística</vt:lpstr>
    </vt:vector>
  </TitlesOfParts>
  <Company>INPE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 - Estatística</dc:title>
  <dc:creator>Camilo</dc:creator>
  <cp:lastModifiedBy>Conta da Microsoft</cp:lastModifiedBy>
  <cp:revision>13</cp:revision>
  <dcterms:created xsi:type="dcterms:W3CDTF">2019-05-24T18:22:00Z</dcterms:created>
  <dcterms:modified xsi:type="dcterms:W3CDTF">2024-05-22T19:42:00Z</dcterms:modified>
</cp:coreProperties>
</file>