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 w:cs="黑体"/>
          <w:b/>
          <w:color w:val="000000"/>
          <w:sz w:val="44"/>
        </w:rPr>
        <w:t>TRS 前端 AI 规范设计思路</w:t>
      </w:r>
    </w:p>
    <w:p>
      <w:pPr>
        <w:spacing w:after="360"/>
        <w:jc w:val="center"/>
      </w:pPr>
      <w:r>
        <w:rPr>
          <w:rFonts w:ascii="宋体" w:hAnsi="宋体" w:eastAsia="宋体" w:cs="宋体"/>
          <w:b w:val="0"/>
          <w:color w:val="000000"/>
          <w:sz w:val="22"/>
        </w:rPr>
        <w:t>团队 AI 协作规范建设方案</w:t>
      </w:r>
    </w:p>
    <w:p>
      <w:pPr>
        <w:pStyle w:val="Heading1"/>
      </w:pPr>
      <w:r>
        <w:rPr>
          <w:rFonts w:ascii="黑体" w:hAnsi="黑体" w:eastAsia="黑体" w:cs="黑体"/>
          <w:color w:val="000000"/>
        </w:rPr>
        <w:t>一、建设背景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随着 AI 编程工具在前端开发中的使用频率提升，团队在效率提升的同时，也逐渐暴露出一些共性问题：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AI 容易直接进入编码，跳过需求确认、方案判断和验证环节。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不同 AI 工具、不同使用者的输出风格不一致，代码组织、组件拆分、接口处理方式存在差异。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AI 在接口字段、业务规则、设计稿文案不明确时，可能会自行猜测或临时兜底，带来隐藏风险。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团队已有的前端开发经验主要依赖人工口头提醒，难以稳定复用。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AI 完成代码后，容易忽略运行时验证、空状态、loading、error、响应式、提交确认等收尾动作。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因此，需要建设一套面向 TRS 前端团队的 AI 协作规范，将团队经验沉淀为 AI 可理解、可触发、可执行的规则体系，帮助 AI 在开发过程中更稳定地遵守团队工程习惯。</w:t>
      </w:r>
    </w:p>
    <w:p>
      <w:pPr>
        <w:pStyle w:val="Heading1"/>
      </w:pPr>
      <w:r>
        <w:rPr>
          <w:rFonts w:ascii="黑体" w:hAnsi="黑体" w:eastAsia="黑体" w:cs="黑体"/>
          <w:color w:val="000000"/>
        </w:rPr>
        <w:t>二、建设目标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本规范的核心目标不是简单约束 AI 的回答格式，而是建立一套完整的 AI 前端开发协作机制。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主要目标包括：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1. 统一 AI 与团队成员的协作方式，降低不同工具、不同人员使用 AI 时的行为差异。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2. 将团队前端开发经验结构化沉淀，避免每次都依赖人工重复提醒。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3. 引导 AI 在编码前先判断任务性质，避免需求不清、边界不明时直接实现。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4. 强化接口、表单、样式、组件、状态管理、Git 收尾等关键场景的质量控制。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5. 建立从需求确认、实施计划、编码实现、运行验证到代码审查的闭环流程。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6. 减少 AI 自行猜测业务、重复造轮子、随意兜底、默认提交或推送等风险行为。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整体思路可以概括为：</w:t>
      </w:r>
    </w:p>
    <w:p>
      <w:pPr>
        <w:spacing w:before="80" w:after="160"/>
        <w:ind w:left="360" w:right="216"/>
      </w:pPr>
      <w:r>
        <w:rPr>
          <w:rFonts w:ascii="宋体" w:hAnsi="宋体" w:eastAsia="宋体" w:cs="宋体"/>
          <w:color w:val="000000"/>
          <w:sz w:val="19"/>
        </w:rPr>
        <w:t>把团队前端开发标准从“人脑经验”转成“AI 可执行流程”。</w:t>
      </w:r>
    </w:p>
    <w:p>
      <w:pPr>
        <w:pStyle w:val="Heading1"/>
      </w:pPr>
      <w:r>
        <w:rPr>
          <w:rFonts w:ascii="黑体" w:hAnsi="黑体" w:eastAsia="黑体" w:cs="黑体"/>
          <w:color w:val="000000"/>
        </w:rPr>
        <w:t>三、整体设计架构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当前 TRS 前端 AI 规范采用分层设计，主要包括四个层次：</w:t>
      </w:r>
    </w:p>
    <w:p>
      <w:pPr>
        <w:spacing w:before="80" w:after="160"/>
        <w:ind w:left="360" w:right="216"/>
      </w:pPr>
      <w:r>
        <w:rPr>
          <w:rFonts w:ascii="宋体" w:hAnsi="宋体" w:eastAsia="宋体" w:cs="宋体"/>
          <w:color w:val="000000"/>
          <w:sz w:val="19"/>
        </w:rPr>
        <w:t>常驻规则层</w:t>
        <w:br/>
        <w:t xml:space="preserve">  ↓</w:t>
        <w:br/>
        <w:t>场景技能层</w:t>
        <w:br/>
        <w:t xml:space="preserve">  ↓</w:t>
        <w:br/>
        <w:t>流程控制层</w:t>
        <w:br/>
        <w:t xml:space="preserve">  ↓</w:t>
        <w:br/>
        <w:t>经验沉淀层</w:t>
      </w:r>
    </w:p>
    <w:p>
      <w:pPr>
        <w:pStyle w:val="Heading2"/>
      </w:pPr>
      <w:r>
        <w:rPr>
          <w:rFonts w:ascii="黑体" w:hAnsi="黑体" w:eastAsia="黑体" w:cs="黑体"/>
          <w:color w:val="000000"/>
        </w:rPr>
        <w:t>1. 常驻规则层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常驻规则是 AI 每次启动或进入项目时都应该读取的基础规范，只保留最高优先级、所有任务都需要遵守的规则。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当前常驻规则重点解决语言和沟通一致性问题，例如：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所有面向用户的对话、进度更新、实施计划、设计文档、审查结论默认使用中文。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读取英文 Skill、插件说明或模板后，用户可见内容必须翻译或改写为中文。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代码标识符、文件路径、命令、包名、接口字段、错误原文可以保留英文。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该层设计原则是短小、稳定、全局生效，避免把大量细节规则塞入常驻上下文，造成 AI 每次任务都加载过多无关内容。</w:t>
      </w:r>
    </w:p>
    <w:p>
      <w:pPr>
        <w:pStyle w:val="Heading2"/>
      </w:pPr>
      <w:r>
        <w:rPr>
          <w:rFonts w:ascii="黑体" w:hAnsi="黑体" w:eastAsia="黑体" w:cs="黑体"/>
          <w:color w:val="000000"/>
        </w:rPr>
        <w:t>2. 场景技能层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场景技能层是本规范的核心。它将前端开发中的不同任务类型拆分成独立 Skill，让 AI 在遇到对应场景时按需加载相应规则。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当前主要 Skill 包括：</w:t>
      </w:r>
    </w:p>
    <w:p>
      <w:r>
        <w:rPr>
          <w:rFonts w:ascii="宋体" w:hAnsi="宋体" w:eastAsia="宋体" w:cs="宋体"/>
          <w:color w:val="000000"/>
        </w:rP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</w:rPr>
              <w:t>Skill</w:t>
            </w:r>
          </w:p>
        </w:tc>
        <w:tc>
          <w:tcPr>
            <w:tcW w:type="dxa" w:w="648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000000"/>
              </w:rPr>
              <w:t>主要作用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color w:val="000000"/>
                <w:sz w:val="20"/>
              </w:rPr>
              <w:t>trs-development-preflight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color w:val="000000"/>
              </w:rPr>
              <w:t>开发前置检查，判断任务走完整流程、轻量流程还是 Bug 修复流程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color w:val="000000"/>
                <w:sz w:val="20"/>
              </w:rPr>
              <w:t>api-integration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color w:val="000000"/>
              </w:rPr>
              <w:t>约束接口封装、loading、error、empty、防重复提交等处理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color w:val="000000"/>
                <w:sz w:val="20"/>
              </w:rPr>
              <w:t>css-patterns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color w:val="000000"/>
              </w:rPr>
              <w:t>约束样式、布局、响应式、z-index、UnoCSS 与 Less 使用方式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color w:val="000000"/>
                <w:sz w:val="20"/>
              </w:rPr>
              <w:t>form-validation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color w:val="000000"/>
              </w:rPr>
              <w:t>约束新增、编辑、筛选、弹窗表单的校验、提交和回显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color w:val="000000"/>
                <w:sz w:val="20"/>
              </w:rPr>
              <w:t>vue-component-design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color w:val="000000"/>
              </w:rPr>
              <w:t>约束 Vue 组件拆分、Props、Emits、composable 抽取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color w:val="000000"/>
                <w:sz w:val="20"/>
              </w:rPr>
              <w:t>pinia-store-design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color w:val="000000"/>
              </w:rPr>
              <w:t>约束 Pinia Store 和跨组件、跨路由共享状态设计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color w:val="000000"/>
                <w:sz w:val="20"/>
              </w:rPr>
              <w:t>ui-component-reuse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color w:val="000000"/>
              </w:rPr>
              <w:t>约束公共组件、页面组件、自研组件的复用和放置方式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color w:val="000000"/>
                <w:sz w:val="20"/>
              </w:rPr>
              <w:t>trs-code-review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color w:val="000000"/>
              </w:rPr>
              <w:t>约束代码审查、提交前检查、MR/PR 检查和验收检查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color w:val="000000"/>
                <w:sz w:val="20"/>
              </w:rPr>
              <w:t>jira-git-workflow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color w:val="000000"/>
              </w:rPr>
              <w:t>约束 Jira 任务完成后的 commit 信息、提交和推送确认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color w:val="000000"/>
                <w:sz w:val="20"/>
              </w:rPr>
              <w:t>git-tag-release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宋体" w:hAnsi="宋体" w:eastAsia="宋体" w:cs="宋体"/>
                <w:color w:val="000000"/>
              </w:rPr>
              <w:t>约束 tag、发版和版本号处理</w:t>
            </w:r>
          </w:p>
        </w:tc>
      </w:tr>
    </w:tbl>
    <w:p/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这种拆分方式避免了单个大文档难维护、难触发、难执行的问题，也方便后续按领域持续补充。</w:t>
      </w:r>
    </w:p>
    <w:p>
      <w:pPr>
        <w:pStyle w:val="Heading2"/>
      </w:pPr>
      <w:r>
        <w:rPr>
          <w:rFonts w:ascii="黑体" w:hAnsi="黑体" w:eastAsia="黑体" w:cs="黑体"/>
          <w:color w:val="000000"/>
        </w:rPr>
        <w:t>3. 流程控制层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流程控制层用于解决 AI 容易“直接写代码”的问题。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当用户提出开发类需求时，AI 不应只根据改动大小判断是否直接实现，而应先根据任务性质进行分流：</w:t>
      </w:r>
    </w:p>
    <w:p>
      <w:pPr>
        <w:pStyle w:val="Heading3"/>
      </w:pPr>
      <w:r>
        <w:rPr>
          <w:rFonts w:ascii="黑体" w:hAnsi="黑体" w:eastAsia="黑体" w:cs="黑体"/>
          <w:color w:val="000000"/>
        </w:rPr>
        <w:t>完整流程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适用于：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新功能、新页面、新模块。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业务交互或业务流程变化。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接口联调、请求参数、响应结构变化。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新增或编辑表单。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权限、登录态、用户信息、跨页面状态。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Store 设计、组件拆分、组件重构。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影响验收边界的业务重构。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推荐流程：</w:t>
      </w:r>
    </w:p>
    <w:p>
      <w:pPr>
        <w:spacing w:before="80" w:after="160"/>
        <w:ind w:left="360" w:right="216"/>
      </w:pPr>
      <w:r>
        <w:rPr>
          <w:rFonts w:ascii="宋体" w:hAnsi="宋体" w:eastAsia="宋体" w:cs="宋体"/>
          <w:color w:val="000000"/>
          <w:sz w:val="19"/>
        </w:rPr>
        <w:t>开发前置检查</w:t>
        <w:br/>
        <w:t xml:space="preserve">  → 需求确认</w:t>
        <w:br/>
        <w:t xml:space="preserve">  → 实施计划</w:t>
        <w:br/>
        <w:t xml:space="preserve">  → 编码实现</w:t>
        <w:br/>
        <w:t xml:space="preserve">  → 浏览器运行时验证</w:t>
        <w:br/>
        <w:t xml:space="preserve">  → 代码审查</w:t>
        <w:br/>
        <w:t xml:space="preserve">  → 询问是否提交</w:t>
      </w:r>
    </w:p>
    <w:p>
      <w:pPr>
        <w:pStyle w:val="Heading3"/>
      </w:pPr>
      <w:r>
        <w:rPr>
          <w:rFonts w:ascii="黑体" w:hAnsi="黑体" w:eastAsia="黑体" w:cs="黑体"/>
          <w:color w:val="000000"/>
        </w:rPr>
        <w:t>轻量流程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适用于：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纯样式微调。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文案调整。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静态展示字段调整。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图标替换。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纯文档、纯类型、纯配置、纯脚本变更。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轻量流程不强制完整需求确认和实施计划，但仍需要按相关 Skill 的关键规则执行，并完成针对性验证。</w:t>
      </w:r>
    </w:p>
    <w:p>
      <w:pPr>
        <w:pStyle w:val="Heading3"/>
      </w:pPr>
      <w:r>
        <w:rPr>
          <w:rFonts w:ascii="黑体" w:hAnsi="黑体" w:eastAsia="黑体" w:cs="黑体"/>
          <w:color w:val="000000"/>
        </w:rPr>
        <w:t>Bug 修复流程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适用于：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明确报错。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页面异常。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样式错位。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接口异常。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状态异常。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交互失效。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Bug 修复不应直接猜测修复，而应先定位根因，再做最小修复和验证。如果排查发现实际是需求变化或业务规则调整，需要重新回到开发前置检查流程。</w:t>
      </w:r>
    </w:p>
    <w:p>
      <w:pPr>
        <w:pStyle w:val="Heading2"/>
      </w:pPr>
      <w:r>
        <w:rPr>
          <w:rFonts w:ascii="黑体" w:hAnsi="黑体" w:eastAsia="黑体" w:cs="黑体"/>
          <w:color w:val="000000"/>
        </w:rPr>
        <w:t>4. 经验沉淀层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经验沉淀层用于记录团队在真实项目中反复遇到的问题，并逐步转化为可执行规则。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当前经验池中已经记录了以下典型规则：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无数据时不能让页面直接空白，需要展示空状态。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接口文档和实际返回不一致时，AI 不能擅自兜底，需要提示用户确认。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表格高度需要根据默认分页条数控制，不能无限撑开页面。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图表需要检查边距、legend、axisLabel、grid 是否遮挡。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页面文案、标题、tab、按钮、表格列名必须和设计稿保持一致。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数字格式化优先复用项目公共方法，避免页面内临时写 `toFixed` 或手动拼单位。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接口联调完成后，需要清理 mock 数据、硬编码、临时 `setTimeout` 和调试日志。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commit 后不能默认 push，必须询问用户确认。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这些内容会先作为经验池集中记录，待规则稳定后，再拆分到对应 Skill 或代码审查清单中。</w:t>
      </w:r>
    </w:p>
    <w:p>
      <w:pPr>
        <w:pStyle w:val="Heading1"/>
      </w:pPr>
      <w:r>
        <w:rPr>
          <w:rFonts w:ascii="黑体" w:hAnsi="黑体" w:eastAsia="黑体" w:cs="黑体"/>
          <w:color w:val="000000"/>
        </w:rPr>
        <w:t>四、核心设计原则</w:t>
      </w:r>
    </w:p>
    <w:p>
      <w:pPr>
        <w:pStyle w:val="Heading2"/>
      </w:pPr>
      <w:r>
        <w:rPr>
          <w:rFonts w:ascii="黑体" w:hAnsi="黑体" w:eastAsia="黑体" w:cs="黑体"/>
          <w:color w:val="000000"/>
        </w:rPr>
        <w:t>1. 短规则常驻，复杂规则按需触发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常驻规则只放全局底线，复杂规则拆到 Skill 中按场景触发。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这样既能保证 AI 每次都遵守基础规范，又不会让所有任务都加载大量无关规则，降低上下文噪音。</w:t>
      </w:r>
    </w:p>
    <w:p>
      <w:pPr>
        <w:pStyle w:val="Heading2"/>
      </w:pPr>
      <w:r>
        <w:rPr>
          <w:rFonts w:ascii="黑体" w:hAnsi="黑体" w:eastAsia="黑体" w:cs="黑体"/>
          <w:color w:val="000000"/>
        </w:rPr>
        <w:t>2. 按开发场景拆分规范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前端开发不是单一动作，不同场景的风险点不同。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接口任务关注数据结构、loading、error、empty；表单任务关注校验、回显、提交；样式任务关注布局、响应式、遮挡；组件任务关注复用、拆分和职责边界。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因此规范按场景拆分，而不是简单按“代码规范”“提交规范”堆叠。</w:t>
      </w:r>
    </w:p>
    <w:p>
      <w:pPr>
        <w:pStyle w:val="Heading2"/>
      </w:pPr>
      <w:r>
        <w:rPr>
          <w:rFonts w:ascii="黑体" w:hAnsi="黑体" w:eastAsia="黑体" w:cs="黑体"/>
          <w:color w:val="000000"/>
        </w:rPr>
        <w:t>3. 流程优先于单点规则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AI 最大的风险往往不是不会写某一段代码，而是跳过关键过程。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因此规范设计中明确了开发前分流、需求确认、计划制定、运行验证、代码审查和提交确认，让 AI 的工作过程可追踪、可校验。</w:t>
      </w:r>
    </w:p>
    <w:p>
      <w:pPr>
        <w:pStyle w:val="Heading2"/>
      </w:pPr>
      <w:r>
        <w:rPr>
          <w:rFonts w:ascii="黑体" w:hAnsi="黑体" w:eastAsia="黑体" w:cs="黑体"/>
          <w:color w:val="000000"/>
        </w:rPr>
        <w:t>4. 业务不确定时不允许 AI 猜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对于接口字段不一致、后端漏字段、数据类型不一致、权限问题、需求边界不清等情况，AI 必须提示用户确认。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原则是：</w:t>
      </w:r>
    </w:p>
    <w:p>
      <w:pPr>
        <w:spacing w:before="80" w:after="160"/>
        <w:ind w:left="360" w:right="216"/>
      </w:pPr>
      <w:r>
        <w:rPr>
          <w:rFonts w:ascii="宋体" w:hAnsi="宋体" w:eastAsia="宋体" w:cs="宋体"/>
          <w:color w:val="000000"/>
          <w:sz w:val="19"/>
        </w:rPr>
        <w:t>影响业务展示、计算、判断或提交的数据问题，AI 不能自己猜。</w:t>
      </w:r>
    </w:p>
    <w:p>
      <w:pPr>
        <w:pStyle w:val="Heading2"/>
      </w:pPr>
      <w:r>
        <w:rPr>
          <w:rFonts w:ascii="黑体" w:hAnsi="黑体" w:eastAsia="黑体" w:cs="黑体"/>
          <w:color w:val="000000"/>
        </w:rPr>
        <w:t>5. 优先复用项目已有资产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AI 写代码前需要先查看项目已有公共组件、公共方法、资源目录和同类页面实现。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公共组件、公共方法、样式方案、图标资源、图片资源都应优先复用，避免重复造轮子，保持项目一致性。</w:t>
      </w:r>
    </w:p>
    <w:p>
      <w:pPr>
        <w:pStyle w:val="Heading2"/>
      </w:pPr>
      <w:r>
        <w:rPr>
          <w:rFonts w:ascii="黑体" w:hAnsi="黑体" w:eastAsia="黑体" w:cs="黑体"/>
          <w:color w:val="000000"/>
        </w:rPr>
        <w:t>6. 建立验证闭环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开发完成后，AI 不能只说明“已完成”，还需要根据任务类型说明验证情况。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验证内容包括：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lint。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类型检查。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单元测试。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页面运行验证。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Console 错误检查。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Network 请求检查。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loading、empty、error 状态检查。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布局遮挡、溢出和响应式检查。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如果某项验证无法执行，也需要说明原因。</w:t>
      </w:r>
    </w:p>
    <w:p>
      <w:pPr>
        <w:pStyle w:val="Heading1"/>
      </w:pPr>
      <w:r>
        <w:rPr>
          <w:rFonts w:ascii="黑体" w:hAnsi="黑体" w:eastAsia="黑体" w:cs="黑体"/>
          <w:color w:val="000000"/>
        </w:rPr>
        <w:t>五、关键风险控制点</w:t>
      </w:r>
    </w:p>
    <w:p>
      <w:pPr>
        <w:pStyle w:val="Heading2"/>
      </w:pPr>
      <w:r>
        <w:rPr>
          <w:rFonts w:ascii="黑体" w:hAnsi="黑体" w:eastAsia="黑体" w:cs="黑体"/>
          <w:color w:val="000000"/>
        </w:rPr>
        <w:t>1. 需求风险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通过开发前置检查和需求确认，避免 AI 在需求不完整时直接实现。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重点控制：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页面范围是否明确。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交互流程是否明确。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数据来源是否明确。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非目标范围是否明确。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验收标准是否明确。</w:t>
      </w:r>
    </w:p>
    <w:p>
      <w:pPr>
        <w:pStyle w:val="Heading2"/>
      </w:pPr>
      <w:r>
        <w:rPr>
          <w:rFonts w:ascii="黑体" w:hAnsi="黑体" w:eastAsia="黑体" w:cs="黑体"/>
          <w:color w:val="000000"/>
        </w:rPr>
        <w:t>2. 接口风险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通过 `api-integration` 约束接口处理。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重点控制：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接口文档和实际返回不一致时必须确认。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不默认一次性请求所有 tab。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loading 粒度应落到具体模块。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不滥用 `Promise.all`。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空数据、异常数据、请求失败需要有明确处理。</w:t>
      </w:r>
    </w:p>
    <w:p>
      <w:pPr>
        <w:pStyle w:val="Heading2"/>
      </w:pPr>
      <w:r>
        <w:rPr>
          <w:rFonts w:ascii="黑体" w:hAnsi="黑体" w:eastAsia="黑体" w:cs="黑体"/>
          <w:color w:val="000000"/>
        </w:rPr>
        <w:t>3. UI 风险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通过 `css-patterns`、`ui-component-reuse` 和经验池规则约束页面表现。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重点控制：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页面不能无数据空白。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表格不能无限撑开页面。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图表不能贴边或遮挡。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文案必须和设计稿一致。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图片、SVG 资源目录和命名保持统一。</w:t>
      </w:r>
    </w:p>
    <w:p>
      <w:pPr>
        <w:pStyle w:val="Heading2"/>
      </w:pPr>
      <w:r>
        <w:rPr>
          <w:rFonts w:ascii="黑体" w:hAnsi="黑体" w:eastAsia="黑体" w:cs="黑体"/>
          <w:color w:val="000000"/>
        </w:rPr>
        <w:t>4. 代码结构风险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通过 `vue-component-design`、`pinia-store-design` 和 `ui-component-reuse` 控制实现结构。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重点控制：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不随意新建重复组件。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不把页面临时逻辑抽成不必要的公共方法。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跨组件状态需要判断是否使用 Pinia。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组件 Props、Emits、composable 职责边界清晰。</w:t>
      </w:r>
    </w:p>
    <w:p>
      <w:pPr>
        <w:pStyle w:val="Heading2"/>
      </w:pPr>
      <w:r>
        <w:rPr>
          <w:rFonts w:ascii="黑体" w:hAnsi="黑体" w:eastAsia="黑体" w:cs="黑体"/>
          <w:color w:val="000000"/>
        </w:rPr>
        <w:t>5. 收尾风险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通过 `trs-code-review`、`jira-git-workflow` 和 `git-tag-release` 控制任务收尾。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重点控制：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提交前先审查。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commit 信息符合团队规范。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commit 后不默认 push。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发版和 tag 操作需要按规范执行。</w:t>
      </w:r>
    </w:p>
    <w:p>
      <w:pPr>
        <w:pStyle w:val="ListBullet"/>
        <w:spacing w:before="0" w:after="80" w:line="280" w:lineRule="auto"/>
      </w:pPr>
      <w:r>
        <w:rPr>
          <w:rFonts w:ascii="宋体" w:hAnsi="宋体" w:eastAsia="宋体" w:cs="宋体"/>
          <w:color w:val="000000"/>
        </w:rPr>
        <w:t>未经用户确认不得提交、推送或创建 PR。</w:t>
      </w:r>
    </w:p>
    <w:p>
      <w:pPr>
        <w:pStyle w:val="Heading1"/>
      </w:pPr>
      <w:r>
        <w:rPr>
          <w:rFonts w:ascii="黑体" w:hAnsi="黑体" w:eastAsia="黑体" w:cs="黑体"/>
          <w:color w:val="000000"/>
        </w:rPr>
        <w:t>六、落地方式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当前规范主要通过以下方式落地：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1. 在 AI 工具中配置团队常驻规则，保证基础沟通和行为一致。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2. 按开发场景维护独立能力模块，让 AI 在不同任务中加载对应规则。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3. 通过流程文档沉淀开发步骤、评审要求和经验池。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4. 对可自动化的检查和收尾动作，逐步使用脚本或工具辅助完成。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5. 支持在不同 AI 工具中复用同一套规范，减少多工具使用时的标准差异。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落地后，团队成员在业务项目中使用 AI 时，AI 可以先遵守统一基础规则，再根据具体任务触发对应场景规范，从而按照团队统一标准工作。</w:t>
      </w:r>
    </w:p>
    <w:p>
      <w:pPr>
        <w:pStyle w:val="Heading1"/>
      </w:pPr>
      <w:r>
        <w:rPr>
          <w:rFonts w:ascii="黑体" w:hAnsi="黑体" w:eastAsia="黑体" w:cs="黑体"/>
          <w:color w:val="000000"/>
        </w:rPr>
        <w:t>七、后续演进方向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后续可以从以下几个方向继续完善：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1. 将经验池中已经稳定的规则，逐步沉淀到对应场景能力中。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2. 补齐项目级公共方法说明，例如数字格式化、金额格式化、空值处理、时间格式化等工具函数的具体名称和用法。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3. 补齐项目级空状态组件、表格组件、图表组件、公共筛选组件等组件使用规范。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4. 持续完善代码审查清单，把真实项目中发现的问题沉淀为检查项。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5. 增加更多自动化脚本，例如组件复用扫描、mock 数据清理检查、资源目录检查等。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6. 根据不同业务项目的特点，允许各项目补充自身的项目级约束。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7. 定期复盘 AI 输出问题，将高频问题转化为规则、Skill 或脚本。</w:t>
      </w:r>
    </w:p>
    <w:p>
      <w:pPr>
        <w:pStyle w:val="Heading1"/>
      </w:pPr>
      <w:r>
        <w:rPr>
          <w:rFonts w:ascii="黑体" w:hAnsi="黑体" w:eastAsia="黑体" w:cs="黑体"/>
          <w:color w:val="000000"/>
        </w:rPr>
        <w:t>八、总结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TRS 前端 AI 规范的设计重点，不是单纯告诉 AI “代码应该怎么写”，而是让 AI 按团队真实开发流程工作。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这套规范通过常驻规则保证基础一致性，通过场景 Skill 保证专业约束，通过流程分流控制任务节奏，通过经验池持续沉淀团队实践，通过验证和审查机制保证最终交付质量。</w:t>
      </w:r>
    </w:p>
    <w:p>
      <w:pPr>
        <w:spacing w:before="0" w:after="120" w:line="264" w:lineRule="auto"/>
      </w:pPr>
      <w:r>
        <w:rPr>
          <w:rFonts w:ascii="宋体" w:hAnsi="宋体" w:eastAsia="宋体" w:cs="宋体"/>
          <w:color w:val="000000"/>
        </w:rPr>
        <w:t>最终目标是让 AI 从一个临时编码助手，逐步变成符合 TRS 前端团队工程习惯的协作成员。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 w:cs="宋体"/>
        <w:color w:val="000000"/>
        <w:sz w:val="18"/>
      </w:rPr>
      <w:t>TRS 前端 AI 规范设计思路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宋体" w:hAnsi="宋体" w:eastAsia="宋体" w:cs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 w:cs="黑体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宋体" w:hAnsi="宋体" w:eastAsia="宋体" w:cs="宋体"/>
      <w:color w:val="000000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TRS 前端 AI 规范设计思路</dc:title>
  <dc:subject>团队 AI 协作规范建设方案</dc:subject>
  <dc:creator>TRS 前端团队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