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snapToGrid w:val="0"/>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snapToGrid w:val="0"/>
      </w:pPr>
      <w:r>
        <w:rPr>
          <w:rFonts w:ascii="Times New Roman" w:hAnsi="Times New Roman" w:cs="Times New Roman" w:eastAsia="宋体"/>
          <w:b/>
          <w:sz w:val="30"/>
        </w:rPr>
        <w:t>摘  要</w:t>
      </w:r>
    </w:p>
    <w:p>
      <w:pPr>
        <w:spacing w:before="0" w:after="0" w:line="300" w:lineRule="auto"/>
        <w:ind w:firstLine="480"/>
        <w:jc w:val="both"/>
        <w:snapToGrid w:val="0"/>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snapToGrid w:val="0"/>
      </w:pPr>
      <w:r>
        <w:rPr>
          <w:rFonts w:ascii="Times New Roman" w:hAnsi="Times New Roman" w:cs="Times New Roman" w:eastAsia="宋体"/>
          <w:b w:val="0"/>
          <w:sz w:val="24"/>
        </w:rPr>
        <w:t>原始归档包含31,424条充电会话和55个候选节点；筛选出的10个主分析节点涉及11,085条会话，按15 min时间网格形成118,818个时间步的节点代理负荷序列及行为特征。目标侧标签事件target_event与旧协议冻结规则触发rule_trigger采用不同口径，前者用于事后分层评价，后者用于回溯规则诊断；旧规则含事后重构负荷差分，不解释为实时可见信号。在此基础上，按负荷耦合、行为共现和轮廓相似构建LRE三关系图，并提出以时间卷积网络为骨干、融合关系级和节点级门控的多关系门控图卷积网络（MRG-GCN）。</w:t>
      </w:r>
    </w:p>
    <w:p>
      <w:pPr>
        <w:spacing w:before="0" w:after="0" w:line="300" w:lineRule="auto"/>
        <w:ind w:firstLine="480"/>
        <w:jc w:val="both"/>
        <w:snapToGrid w:val="0"/>
      </w:pPr>
      <w:r>
        <w:rPr>
          <w:rFonts w:ascii="Times New Roman" w:hAnsi="Times New Roman" w:cs="Times New Roman" w:eastAsia="宋体"/>
          <w:b w:val="0"/>
          <w:sz w:val="24"/>
        </w:rPr>
        <w:t>旧主协议在相同预测键和三个随机种子的重复实验下，MRG-GCN的全局MAE为0.01376 kWh/15 min，较TCN无图基线降低53.4%，较ARIMA降低39.1%；其MAE最低，并在已报告WAPE的模型中取得最低WAPE（0.2860），但RMSE最低值由AGCRN简化变体取得。三层机制诊断协议（MDP）依次考察关系分配、结构知识吸收和误差样本构成：L1中，所检七种关系级门控替换的MAE均高于学习值基线；L2中，在给定学生架构、蒸馏目标和权重范围内，纯时序学生未弥合与图模型之间的误差差距；L3中，标签事件窗口占测试预测键的1.43%，误差明显高于稳定窗口，冻结规则触发率仅为0.43%。</w:t>
      </w:r>
    </w:p>
    <w:p>
      <w:pPr>
        <w:spacing w:before="0" w:after="0" w:line="300" w:lineRule="auto"/>
        <w:ind w:firstLine="480"/>
        <w:jc w:val="both"/>
        <w:snapToGrid w:val="0"/>
      </w:pPr>
      <w:r>
        <w:rPr>
          <w:rFonts w:ascii="Times New Roman" w:hAnsi="Times New Roman" w:cs="Times New Roman" w:eastAsia="宋体"/>
          <w:b w:val="0"/>
          <w:sz w:val="24"/>
        </w:rPr>
        <w:t>在假设接入、离站事件发生时即可观察的事件时刻输入新协议中，mrg_full的MAE为0.03890 kWh/15 min，较容量近似匹配的tcn_wide（0.04634 kWh/15 min）低16.1%；但完整能力基线agcrn_full为0.03743 kWh/15 min，略低于mrg_full。补充分层表明，该改善主要来自零负荷窗口；采用独立校准段后，行为规则分层区间的整体与事件覆盖率仍仅为80.04%和5.92%。该协议检验输入权限收紧后的相对价值，不替换旧主结果；事件上报延迟与实测功率预测均未验证。本文结论限于单站、10个节点和会话记录重构的节点代理负荷，不能据此推断物理拓扑、因果关系或在线部署效果。</w:t>
      </w:r>
    </w:p>
    <w:p>
      <w:pPr>
        <w:spacing w:before="0" w:after="0" w:line="300" w:lineRule="auto"/>
        <w:ind w:firstLine="0"/>
        <w:jc w:val="both"/>
        <w:snapToGrid w:val="0"/>
      </w:pPr>
      <w:r>
        <w:rPr>
          <w:rFonts w:ascii="Times New Roman" w:hAnsi="Times New Roman" w:cs="Times New Roman" w:eastAsia="宋体"/>
          <w:b/>
          <w:sz w:val="24"/>
        </w:rPr>
        <w:t>关键词：充电节点短期负荷预测；LRE；MRG-GCN；MDP；节点代理负荷</w:t>
      </w:r>
    </w:p>
    <w:p>
      <w:pPr>
        <w:sectPr>
          <w:headerReference w:type="default" r:id="rId45"/>
          <w:headerReference w:type="even" r:id="rId46"/>
          <w:footerReference w:type="default" r:id="rId47"/>
          <w:footerReference w:type="even" r:id="rId48"/>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snapToGrid w:val="0"/>
      </w:pPr>
      <w:r>
        <w:rPr>
          <w:rFonts w:ascii="Times New Roman" w:hAnsi="Times New Roman" w:cs="Times New Roman" w:eastAsia="Times New Roman"/>
          <w:b/>
          <w:sz w:val="30"/>
        </w:rPr>
        <w:t>Short-Term Load Forecasting of Charging Nodes Based on Within-Station Multi-Relation Graphs and Mechanism Diagnosis</w:t>
      </w:r>
    </w:p>
    <w:p>
      <w:pPr>
        <w:spacing w:before="360" w:after="360" w:line="240" w:lineRule="auto"/>
        <w:ind w:firstLine="0"/>
        <w:jc w:val="center"/>
        <w:snapToGrid w:val="0"/>
      </w:pPr>
      <w:r>
        <w:rPr>
          <w:rFonts w:ascii="Times New Roman" w:hAnsi="Times New Roman" w:cs="Times New Roman" w:eastAsia="Times New Roman"/>
          <w:b/>
          <w:sz w:val="30"/>
        </w:rPr>
        <w:t>Abstract</w:t>
      </w:r>
    </w:p>
    <w:p>
      <w:pPr>
        <w:spacing w:before="0" w:after="0" w:line="300" w:lineRule="auto"/>
        <w:ind w:firstLine="480"/>
        <w:jc w:val="both"/>
        <w:snapToGrid w:val="0"/>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snapToGrid w:val="0"/>
      </w:pPr>
      <w:r>
        <w:rPr>
          <w:rFonts w:ascii="Times New Roman" w:hAnsi="Times New Roman" w:cs="Times New Roman" w:eastAsia="Times New Roman"/>
          <w:b w:val="0"/>
          <w:sz w:val="24"/>
        </w:rPr>
        <w:t>The source archive contains 31,424 charging sessions across 55 candidate nodes. The 10 selected primary nodes account for 11,085 sessions and yield proxy-load sequences and behavioral features over 118,818 time steps on a 15-minute grid. Target-side labeled events (target_event) are distinguished from legacy frozen rule triggers (rule_trigger): the former supports post-hoc stratification, while the latter supports retrospective rule diagnosis. The legacy rule includes reconstructed load differences and is not established as observable at forecast time.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w:t>
      </w:r>
    </w:p>
    <w:p>
      <w:pPr>
        <w:spacing w:before="0" w:after="0" w:line="300" w:lineRule="auto"/>
        <w:ind w:firstLine="480"/>
        <w:jc w:val="both"/>
        <w:snapToGrid w:val="0"/>
      </w:pPr>
      <w:r>
        <w:rPr>
          <w:rFonts w:ascii="Times New Roman" w:hAnsi="Times New Roman" w:cs="Times New Roman" w:eastAsia="Times New Roman"/>
          <w:b w:val="0"/>
          <w:sz w:val="24"/>
        </w:rPr>
        <w:t>Under the old primary protocol, using identical forecast keys and three random seeds, MRG-GCN achieves a global MAE of 0.01376 kWh/15 min, reducing MAE by 53.4% relative to the graph-free TCN and by 39.1% relative to ARIMA. It attains the lowest MAE and the lowest WAPE among models for which WAPE is available (0.2860); the lowest RMSE is achieved by the simplified AGCRN variant. The three-layer mechanism diagnosis protocol (MDP) comprises relation-allocation intervention, structure-knowledge distillation, and four-cell error tracing. All seven examined replacements of relation-level gates yield higher MAE than the learned-weight baseline; the examined purely temporal student does not close the graph-model error gap; labeled event windows account for 1.43% of test forecast keys and have substantially higher error than stable windows, while the frozen rule-trigger rate is only 0.43%.</w:t>
      </w:r>
    </w:p>
    <w:p>
      <w:pPr>
        <w:spacing w:before="0" w:after="0" w:line="300" w:lineRule="auto"/>
        <w:ind w:firstLine="480"/>
        <w:jc w:val="both"/>
        <w:snapToGrid w:val="0"/>
      </w:pPr>
      <w:r>
        <w:rPr>
          <w:rFonts w:ascii="Times New Roman" w:hAnsi="Times New Roman" w:cs="Times New Roman" w:eastAsia="Times New Roman"/>
          <w:b w:val="0"/>
          <w:sz w:val="24"/>
        </w:rPr>
        <w:t>Under a separate event-time-input protocol assuming immediate observation of arrival and departure events, mrg_full obtains a MAE of 0.03890 kWh/15 min, 16.1% lower than the approximately capacity-matched tcn_wide (0.04634 kWh/15 min). However, the full-capacity baseline agcrn_full obtains 0.03743 kWh/15 min, slightly lower than mrg_full. Additional stratification locates most of the gain in zero-load windows. With a separate calibration segment, behavior-rule-stratified intervals still attain only 80.04% overall coverage and 5.92% event coverage. This protocol tests relative value after restricting forecast-time inputs; it does not replace the old primary result, verify reporting delays, or validate measured power. The conclusions are limited to a single station, 10 nodes, and proxy loads reconstructed from charging-session records, and do not establish physical topology, causality, or online deployment performance.</w:t>
      </w:r>
    </w:p>
    <w:p>
      <w:pPr>
        <w:spacing w:before="0" w:after="0" w:line="300" w:lineRule="auto"/>
        <w:ind w:firstLine="0"/>
        <w:jc w:val="both"/>
        <w:snapToGrid w:val="0"/>
      </w:pPr>
      <w:r>
        <w:rPr>
          <w:rFonts w:ascii="Times New Roman" w:hAnsi="Times New Roman" w:cs="Times New Roman" w:eastAsia="Times New Roman"/>
          <w:b/>
          <w:sz w:val="24"/>
        </w:rPr>
        <w:t>Keywords: short-term charging-node load forecasting; LRE; MRG-GCN; MDP; proxy load</w:t>
      </w:r>
    </w:p>
    <w:p>
      <w:pPr>
        <w:sectPr>
          <w:headerReference w:type="default" r:id="rId49"/>
          <w:headerReference w:type="even" r:id="rId50"/>
          <w:footerReference w:type="default" r:id="rId51"/>
          <w:footerReference w:type="even" r:id="rId52"/>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snapToGrid w:val="0"/>
      </w:pPr>
      <w:r>
        <w:rPr>
          <w:rFonts w:ascii="Times New Roman" w:hAnsi="Times New Roman" w:cs="Times New Roman" w:eastAsia="黑体"/>
          <w:b/>
          <w:sz w:val="36"/>
        </w:rPr>
        <w:t>目  录</w:t>
      </w:r>
    </w:p>
    <w:p>
      <w:pPr>
        <w:pStyle w:val="16"/>
        <w:spacing w:before="0" w:after="0" w:line="300" w:lineRule="auto"/>
        <w:ind w:left="0" w:firstLine="0"/>
        <w:jc w:val="left"/>
        <w:tabs>
          <w:tab w:pos="8311" w:val="right" w:leader="dot"/>
        </w:tabs>
        <w:snapToGrid w:val="0"/>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10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11</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19</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22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26</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29</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30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3.1 引言</w:t>
      </w:r>
      <w:r>
        <w:tab/>
      </w:r>
      <w:r>
        <w:rPr>
          <w:rFonts w:ascii="Times New Roman" w:hAnsi="Times New Roman" w:cs="Times New Roman" w:eastAsia="宋体"/>
          <w:b w:val="0"/>
          <w:sz w:val="24"/>
        </w:rPr>
        <w:t>30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32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33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40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41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41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43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49</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51</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51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51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52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52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53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3.7.5 事件时刻输入协议下的压力测试</w:t>
      </w:r>
      <w:r>
        <w:tab/>
      </w:r>
      <w:r>
        <w:rPr>
          <w:rFonts w:ascii="Times New Roman" w:hAnsi="Times New Roman" w:cs="Times New Roman" w:eastAsia="宋体"/>
          <w:b w:val="0"/>
          <w:sz w:val="24"/>
        </w:rPr>
        <w:t>53</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59</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60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60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61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61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62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62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62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64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64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65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65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65</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66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68</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69</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70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5.1 引言</w:t>
      </w:r>
      <w:r>
        <w:tab/>
      </w:r>
      <w:r>
        <w:rPr>
          <w:rFonts w:ascii="Times New Roman" w:hAnsi="Times New Roman" w:cs="Times New Roman" w:eastAsia="宋体"/>
          <w:b w:val="0"/>
          <w:sz w:val="24"/>
        </w:rPr>
        <w:t>70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70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71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71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71</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73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74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75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76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76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76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77</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80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5.3.5 覆盖失败的复核与工程含义</w:t>
      </w:r>
      <w:r>
        <w:tab/>
      </w:r>
      <w:r>
        <w:rPr>
          <w:rFonts w:ascii="Times New Roman" w:hAnsi="Times New Roman" w:cs="Times New Roman" w:eastAsia="宋体"/>
          <w:b w:val="0"/>
          <w:sz w:val="24"/>
        </w:rPr>
        <w:t>82</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5.3.6 事件时刻输入协议下的独立校准补充</w:t>
      </w:r>
      <w:r>
        <w:tab/>
      </w:r>
      <w:r>
        <w:rPr>
          <w:rFonts w:ascii="Times New Roman" w:hAnsi="Times New Roman" w:cs="Times New Roman" w:eastAsia="宋体"/>
          <w:b w:val="0"/>
          <w:sz w:val="24"/>
        </w:rPr>
        <w:t>82</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83</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84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84</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86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86</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87</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5.5 节点负荷预测的运行应用与决策接口</w:t>
      </w:r>
      <w:r>
        <w:tab/>
      </w:r>
      <w:r>
        <w:rPr>
          <w:rFonts w:ascii="Times New Roman" w:hAnsi="Times New Roman" w:cs="Times New Roman" w:eastAsia="宋体"/>
          <w:b w:val="0"/>
          <w:sz w:val="24"/>
        </w:rPr>
        <w:t>88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5.5.1 预测量与运行量的对应</w:t>
      </w:r>
      <w:r>
        <w:tab/>
      </w:r>
      <w:r>
        <w:rPr>
          <w:rFonts w:ascii="Times New Roman" w:hAnsi="Times New Roman" w:cs="Times New Roman" w:eastAsia="宋体"/>
          <w:b w:val="0"/>
          <w:sz w:val="24"/>
        </w:rPr>
        <w:t>88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5.5.2 从预测曲线到运行核查</w:t>
      </w:r>
      <w:r>
        <w:tab/>
      </w:r>
      <w:r>
        <w:rPr>
          <w:rFonts w:ascii="Times New Roman" w:hAnsi="Times New Roman" w:cs="Times New Roman" w:eastAsia="宋体"/>
          <w:b w:val="0"/>
          <w:sz w:val="24"/>
        </w:rPr>
        <w:t>88</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5.5.3 固定发布时刻的四步算例</w:t>
      </w:r>
      <w:r>
        <w:tab/>
      </w:r>
      <w:r>
        <w:rPr>
          <w:rFonts w:ascii="Times New Roman" w:hAnsi="Times New Roman" w:cs="Times New Roman" w:eastAsia="宋体"/>
          <w:b w:val="0"/>
          <w:sz w:val="24"/>
        </w:rPr>
        <w:t>90</w:t>
      </w:r>
    </w:p>
    <w:p>
      <w:pPr>
        <w:pStyle w:val="9"/>
        <w:spacing w:before="0" w:after="0" w:line="300" w:lineRule="auto"/>
        <w:ind w:left="958" w:firstLine="0"/>
        <w:jc w:val="left"/>
        <w:tabs>
          <w:tab w:pos="8311" w:val="right" w:leader="dot"/>
        </w:tabs>
        <w:snapToGrid w:val="0"/>
      </w:pPr>
      <w:r>
        <w:rPr>
          <w:rFonts w:ascii="Times New Roman" w:hAnsi="Times New Roman" w:cs="Times New Roman" w:eastAsia="宋体"/>
          <w:b w:val="0"/>
          <w:sz w:val="24"/>
        </w:rPr>
        <w:t>5.5.4 证据边界与应用验证要求</w:t>
      </w:r>
      <w:r>
        <w:tab/>
      </w:r>
      <w:r>
        <w:rPr>
          <w:rFonts w:ascii="Times New Roman" w:hAnsi="Times New Roman" w:cs="Times New Roman" w:eastAsia="宋体"/>
          <w:b w:val="0"/>
          <w:sz w:val="24"/>
        </w:rPr>
        <w:t>90</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5.6 本章小结</w:t>
      </w:r>
      <w:r>
        <w:tab/>
      </w:r>
      <w:r>
        <w:rPr>
          <w:rFonts w:ascii="Times New Roman" w:hAnsi="Times New Roman" w:cs="Times New Roman" w:eastAsia="宋体"/>
          <w:b w:val="0"/>
          <w:sz w:val="24"/>
        </w:rPr>
        <w:t>91</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结  论</w:t>
      </w:r>
      <w:r>
        <w:tab/>
      </w:r>
      <w:r>
        <w:rPr>
          <w:rFonts w:ascii="Times New Roman" w:hAnsi="Times New Roman" w:cs="Times New Roman" w:eastAsia="宋体"/>
          <w:b/>
          <w:sz w:val="24"/>
        </w:rPr>
        <w:t>94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94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94</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工程含义与适用范围</w:t>
      </w:r>
      <w:r>
        <w:tab/>
      </w:r>
      <w:r>
        <w:rPr>
          <w:rFonts w:ascii="Times New Roman" w:hAnsi="Times New Roman" w:cs="Times New Roman" w:eastAsia="宋体"/>
          <w:b w:val="0"/>
          <w:sz w:val="24"/>
        </w:rPr>
        <w:t>95</w:t>
      </w:r>
    </w:p>
    <w:p>
      <w:pPr>
        <w:pStyle w:val="20"/>
        <w:spacing w:before="0" w:after="0" w:line="300" w:lineRule="auto"/>
        <w:ind w:left="482" w:firstLine="0"/>
        <w:jc w:val="left"/>
        <w:tabs>
          <w:tab w:pos="8311" w:val="right" w:leader="dot"/>
        </w:tabs>
        <w:snapToGrid w:val="0"/>
      </w:pPr>
      <w:r>
        <w:rPr>
          <w:rFonts w:ascii="Times New Roman" w:hAnsi="Times New Roman" w:cs="Times New Roman" w:eastAsia="宋体"/>
          <w:b w:val="0"/>
          <w:sz w:val="24"/>
        </w:rPr>
        <w:t>研究局限与后续工作</w:t>
      </w:r>
      <w:r>
        <w:tab/>
      </w:r>
      <w:r>
        <w:rPr>
          <w:rFonts w:ascii="Times New Roman" w:hAnsi="Times New Roman" w:cs="Times New Roman" w:eastAsia="宋体"/>
          <w:b w:val="0"/>
          <w:sz w:val="24"/>
        </w:rPr>
        <w:t>96</w:t>
      </w:r>
    </w:p>
    <w:p>
      <w:pPr>
        <w:pStyle w:val="16"/>
        <w:spacing w:before="0" w:after="0" w:line="300" w:lineRule="auto"/>
        <w:ind w:left="0" w:firstLine="0"/>
        <w:jc w:val="left"/>
        <w:tabs>
          <w:tab w:pos="8311" w:val="right" w:leader="dot"/>
        </w:tabs>
        <w:snapToGrid w:val="0"/>
      </w:pPr>
      <w:r>
        <w:rPr>
          <w:rFonts w:ascii="Times New Roman" w:hAnsi="Times New Roman" w:cs="Times New Roman" w:eastAsia="宋体"/>
          <w:b/>
          <w:sz w:val="24"/>
        </w:rPr>
        <w:t>参考文献</w:t>
      </w:r>
      <w:r>
        <w:tab/>
      </w:r>
      <w:r>
        <w:rPr>
          <w:rFonts w:ascii="Times New Roman" w:hAnsi="Times New Roman" w:cs="Times New Roman" w:eastAsia="宋体"/>
          <w:b/>
          <w:sz w:val="24"/>
        </w:rPr>
        <w:t>98</w:t>
      </w:r>
      <w:r>
        <w:fldChar w:fldCharType="end"/>
      </w:r>
    </w:p>
    <w:p>
      <w:pPr>
        <w:sectPr>
          <w:headerReference w:type="default" r:id="rId53"/>
          <w:headerReference w:type="even" r:id="rId54"/>
          <w:footerReference w:type="default" r:id="rId55"/>
          <w:footerReference w:type="even"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第1章  绪论</w:t>
      </w:r>
    </w:p>
    <w:p>
      <w:pPr>
        <w:spacing w:before="360" w:after="240" w:line="360" w:lineRule="auto"/>
        <w:ind w:firstLine="0"/>
        <w:jc w:val="both"/>
        <w:outlineLvl w:val="1"/>
        <w:snapToGrid w:val="0"/>
      </w:pPr>
      <w:r>
        <w:rPr>
          <w:rFonts w:ascii="Times New Roman" w:hAnsi="Times New Roman" w:cs="Times New Roman" w:eastAsia="黑体"/>
          <w:b/>
          <w:sz w:val="30"/>
        </w:rPr>
        <w:t>1.1 研究背景与意义</w:t>
      </w:r>
    </w:p>
    <w:p>
      <w:pPr>
        <w:spacing w:before="240" w:after="180" w:line="300" w:lineRule="auto"/>
        <w:ind w:firstLine="0"/>
        <w:jc w:val="both"/>
        <w:outlineLvl w:val="2"/>
        <w:snapToGrid w:val="0"/>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snapToGrid w:val="0"/>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snapToGrid w:val="0"/>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snapToGrid w:val="0"/>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snapToGrid w:val="0"/>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snapToGrid w:val="0"/>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snapToGrid w:val="0"/>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snapToGrid w:val="0"/>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snapToGrid w:val="0"/>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snapToGrid w:val="0"/>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snapToGrid w:val="0"/>
      </w:pPr>
      <w:r>
        <w:rPr>
          <w:rFonts w:ascii="Times New Roman" w:hAnsi="Times New Roman" w:cs="Times New Roman" w:eastAsia="宋体"/>
          <w:b w:val="0"/>
          <w:sz w:val="24"/>
        </w:rPr>
        <w:t>仅建立图结构仍不足以回答多类关系如何参与预测。负荷耦合、行为共现和轮廓相似反映不同层面的关联，将它们直接合并为单一邻接矩阵会使关系语义和作用路径难以区分。本文为各类关系设置独立变换，以逐层关系权重和节点门控组织消息融合，再通过重训练消融与冻结参数干预检验这些设计。可学习关系权重是一项待验证的参数化选择，其作用还受关系变换影响，不能预先认定比等权融合更优，也不能仅凭权重可视化判断贡献。</w:t>
      </w:r>
    </w:p>
    <w:p>
      <w:pPr>
        <w:spacing w:before="0" w:after="0" w:line="300" w:lineRule="auto"/>
        <w:ind w:firstLine="480"/>
        <w:jc w:val="both"/>
        <w:snapToGrid w:val="0"/>
      </w:pPr>
      <w:r>
        <w:rPr>
          <w:rFonts w:ascii="Times New Roman" w:hAnsi="Times New Roman" w:cs="Times New Roman" w:eastAsia="宋体"/>
          <w:b w:val="0"/>
          <w:sz w:val="24"/>
        </w:rPr>
        <w:t>除周期性变化外，充电节点还会出现由接入、离站、活跃会话变化或负荷跳变构成的稀疏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事后可以标记其发生，预测时却须另行核验行为字段的可获取时点。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snapToGrid w:val="0"/>
      </w:pPr>
      <w:r>
        <w:rPr>
          <w:rFonts w:ascii="Times New Roman" w:hAnsi="Times New Roman" w:cs="Times New Roman" w:eastAsia="黑体"/>
          <w:b/>
          <w:sz w:val="30"/>
        </w:rPr>
        <w:t>1.2 国内外研究现状</w:t>
      </w:r>
    </w:p>
    <w:p>
      <w:pPr>
        <w:spacing w:before="240" w:after="180" w:line="300" w:lineRule="auto"/>
        <w:ind w:firstLine="0"/>
        <w:jc w:val="both"/>
        <w:outlineLvl w:val="2"/>
        <w:snapToGrid w:val="0"/>
      </w:pPr>
      <w:r>
        <w:rPr>
          <w:rFonts w:ascii="Times New Roman" w:hAnsi="Times New Roman" w:cs="Times New Roman" w:eastAsia="黑体"/>
          <w:b w:val="0"/>
          <w:sz w:val="28"/>
        </w:rPr>
        <w:t>1.2.1 电动汽车充电负荷时间序列预测</w:t>
      </w:r>
    </w:p>
    <w:p>
      <w:pPr>
        <w:spacing w:before="0" w:after="0" w:line="300" w:lineRule="auto"/>
        <w:ind w:firstLine="480"/>
        <w:jc w:val="both"/>
        <w:snapToGrid w:val="0"/>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snapToGrid w:val="0"/>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snapToGrid w:val="0"/>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snapToGrid w:val="0"/>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snapToGrid w:val="0"/>
      </w:pPr>
      <w:r>
        <w:rPr>
          <w:rFonts w:ascii="Times New Roman" w:hAnsi="Times New Roman" w:cs="Times New Roman" w:eastAsia="黑体"/>
          <w:b w:val="0"/>
          <w:sz w:val="28"/>
        </w:rPr>
        <w:t>1.2.2 多节点负荷与时空图预测</w:t>
      </w:r>
    </w:p>
    <w:p>
      <w:pPr>
        <w:spacing w:before="0" w:after="0" w:line="300" w:lineRule="auto"/>
        <w:ind w:firstLine="480"/>
        <w:jc w:val="both"/>
        <w:snapToGrid w:val="0"/>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在电动汽车充电场景中，图模型主要描述充电站之间或区域之间的联系，国内研究已探索动态自适应图、差异化耦合关系和GCN—循环网络组合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，并形成充电站群多图融合等研究</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。近期研究还从因果感知、多变量概率融合、GAT—GRU、多图融合以及自适应门控图卷积等方向推进</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。其中，STMGCN（多尺度时空图卷积与Transformer融合的多节点负荷模型）</w:t>
      </w:r>
      <w:r>
        <w:rPr>
          <w:rFonts w:ascii="Times New Roman" w:hAnsi="Times New Roman" w:cs="Times New Roman" w:eastAsia="宋体"/>
          <w:b w:val="0"/>
          <w:sz w:val="24"/>
          <w:vertAlign w:val="superscript"/>
        </w:rPr>
        <w:t>[63]</w:t>
      </w:r>
      <w:r>
        <w:rPr>
          <w:rFonts w:ascii="Times New Roman" w:hAnsi="Times New Roman" w:cs="Times New Roman" w:eastAsia="宋体"/>
          <w:b w:val="0"/>
          <w:sz w:val="24"/>
        </w:rPr>
        <w:t>、MGAT-MIC-LSTM和CADGN可作为同类方法的代表，分别覆盖时空特征融合、多图建模和因果关系建模。上述文献仅用于说明研究位置；本文未在ACN数据、同一数据划分和预测键上重新实现或训练这些方法，不能将其公开结果与本文模型直接排位。本文实际对照限于第3章统一协议下已登记的传统模型、TCN/GRU、MLP、简化Graph WaveNet和简化AGCRN等。</w:t>
      </w:r>
    </w:p>
    <w:p>
      <w:pPr>
        <w:spacing w:before="0" w:after="0" w:line="300" w:lineRule="auto"/>
        <w:ind w:firstLine="480"/>
        <w:jc w:val="both"/>
        <w:snapToGrid w:val="0"/>
      </w:pPr>
      <w:r>
        <w:rPr>
          <w:rFonts w:ascii="Times New Roman" w:hAnsi="Times New Roman" w:cs="Times New Roman" w:eastAsia="宋体"/>
          <w:b w:val="0"/>
          <w:sz w:val="24"/>
        </w:rPr>
        <w:t>从研究粒度看，上述工作大多以充电站或区域为图节点，关系设计服务于站间或区域传播；在本次公开检索和全文对标范围内，直接以单场站内部充电节点为图节点，并区分负荷耦合、行为共现和日内轮廓关系的研究相对有限。已有多图方法也较少检验关系在不同传播层中的功能依赖。因此，本文将差异化定位收敛为“站内节点粒度的关系语义设计、双层门控融合及其机制诊断”，不把多关系图本身写成首创，也不据此作跨文献性能排名。</w:t>
      </w:r>
    </w:p>
    <w:p>
      <w:pPr>
        <w:spacing w:before="240" w:after="180" w:line="300" w:lineRule="auto"/>
        <w:ind w:firstLine="0"/>
        <w:jc w:val="both"/>
        <w:outlineLvl w:val="2"/>
        <w:snapToGrid w:val="0"/>
      </w:pPr>
      <w:r>
        <w:rPr>
          <w:rFonts w:ascii="Times New Roman" w:hAnsi="Times New Roman" w:cs="Times New Roman" w:eastAsia="黑体"/>
          <w:b w:val="0"/>
          <w:sz w:val="28"/>
        </w:rPr>
        <w:t>1.2.3 充电行为特征与事件建模</w:t>
      </w:r>
    </w:p>
    <w:p>
      <w:pPr>
        <w:spacing w:before="0" w:after="0" w:line="300" w:lineRule="auto"/>
        <w:ind w:firstLine="480"/>
        <w:jc w:val="both"/>
        <w:snapToGrid w:val="0"/>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snapToGrid w:val="0"/>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snapToGrid w:val="0"/>
      </w:pPr>
      <w:r>
        <w:rPr>
          <w:rFonts w:ascii="Times New Roman" w:hAnsi="Times New Roman" w:cs="Times New Roman" w:eastAsia="宋体"/>
          <w:b w:val="0"/>
          <w:sz w:val="24"/>
        </w:rPr>
        <w:t>本文据此区分目标侧标签事件与冻结规则触发：前者用于事后分层评价，后者用于回溯规则路由和诊断。冻结阈值不等于输入实时可见，旧规则所含代理负荷差分仍依赖会话最终字段。事件窗口既是评价单元，也是误差溯源单元；本文不预设事件机制必然改善点预测，而是检验双口径分层的差异，并评估事件窗口的区间表现。</w:t>
      </w:r>
    </w:p>
    <w:p>
      <w:pPr>
        <w:spacing w:before="240" w:after="180" w:line="300" w:lineRule="auto"/>
        <w:ind w:firstLine="0"/>
        <w:jc w:val="both"/>
        <w:outlineLvl w:val="2"/>
        <w:snapToGrid w:val="0"/>
      </w:pPr>
      <w:r>
        <w:rPr>
          <w:rFonts w:ascii="Times New Roman" w:hAnsi="Times New Roman" w:cs="Times New Roman" w:eastAsia="黑体"/>
          <w:b w:val="0"/>
          <w:sz w:val="28"/>
        </w:rPr>
        <w:t>1.2.4 模型可解释性与机制诊断</w:t>
      </w:r>
    </w:p>
    <w:p>
      <w:pPr>
        <w:spacing w:before="0" w:after="0" w:line="300" w:lineRule="auto"/>
        <w:ind w:firstLine="480"/>
        <w:jc w:val="both"/>
        <w:snapToGrid w:val="0"/>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snapToGrid w:val="0"/>
      </w:pPr>
      <w:r>
        <w:rPr>
          <w:rFonts w:ascii="Times New Roman" w:hAnsi="Times New Roman" w:cs="Times New Roman" w:eastAsia="宋体"/>
          <w:b w:val="0"/>
          <w:sz w:val="24"/>
        </w:rPr>
        <w:t>为检验解释结论，相关研究引入了参数干预、知识蒸馏和分层误差分析：前者比较内部组件替换前后的输出，后两者分别检验复杂结构能否被简单模型吸收、总体误差来自哪些样本</w:t>
      </w:r>
      <w:r>
        <w:rPr>
          <w:rFonts w:ascii="Times New Roman" w:hAnsi="Times New Roman" w:cs="Times New Roman" w:eastAsia="宋体"/>
          <w:b w:val="0"/>
          <w:sz w:val="24"/>
          <w:vertAlign w:val="superscript"/>
        </w:rPr>
        <w:t>[80-82]</w:t>
      </w:r>
      <w:r>
        <w:rPr>
          <w:rFonts w:ascii="Times New Roman" w:hAnsi="Times New Roman" w:cs="Times New Roman" w:eastAsia="宋体"/>
          <w:b w:val="0"/>
          <w:sz w:val="24"/>
        </w:rPr>
        <w:t>。这些方法在负荷预测中通常分散使用，尚未形成对应本文任务的连续诊断流程。</w:t>
      </w:r>
    </w:p>
    <w:p>
      <w:pPr>
        <w:spacing w:before="0" w:after="0" w:line="300" w:lineRule="auto"/>
        <w:ind w:firstLine="480"/>
        <w:jc w:val="both"/>
        <w:snapToGrid w:val="0"/>
      </w:pPr>
      <w:r>
        <w:rPr>
          <w:rFonts w:ascii="Times New Roman" w:hAnsi="Times New Roman" w:cs="Times New Roman" w:eastAsia="宋体"/>
          <w:b w:val="0"/>
          <w:sz w:val="24"/>
        </w:rPr>
        <w:t>基于此，本文将机制解释组织为三层机制诊断协议（Mechanism Diagnosis Protocol，MDP）：先观察并干预多关系门控分配，再以MRG-GCN—TCN知识蒸馏检验所检配置下的结构差距，最后用事件标签与规则触发形成四格并按样本量还原全局误差。本文的定位是组织可复核的诊断流程，不把参数干预、蒸馏或分层误差分析等单项工具写成本文首创。</w:t>
      </w:r>
    </w:p>
    <w:p>
      <w:pPr>
        <w:spacing w:before="360" w:after="240" w:line="360" w:lineRule="auto"/>
        <w:ind w:firstLine="0"/>
        <w:jc w:val="both"/>
        <w:outlineLvl w:val="1"/>
        <w:snapToGrid w:val="0"/>
      </w:pPr>
      <w:r>
        <w:rPr>
          <w:rFonts w:ascii="Times New Roman" w:hAnsi="Times New Roman" w:cs="Times New Roman" w:eastAsia="黑体"/>
          <w:b/>
          <w:sz w:val="30"/>
        </w:rPr>
        <w:t>1.3 现有研究不足</w:t>
      </w:r>
    </w:p>
    <w:p>
      <w:pPr>
        <w:spacing w:before="0" w:after="0" w:line="300" w:lineRule="auto"/>
        <w:ind w:firstLine="480"/>
        <w:jc w:val="both"/>
        <w:snapToGrid w:val="0"/>
      </w:pPr>
      <w:r>
        <w:rPr>
          <w:rFonts w:ascii="Times New Roman" w:hAnsi="Times New Roman" w:cs="Times New Roman" w:eastAsia="宋体"/>
          <w:b w:val="0"/>
          <w:sz w:val="24"/>
        </w:rPr>
        <w:t>现有工作已为充电负荷时间建模、多节点关系学习和预测解释提供方法基础，但面向站内节点级短期预测仍有四项问题。</w:t>
      </w:r>
    </w:p>
    <w:p>
      <w:pPr>
        <w:spacing w:before="0" w:after="0" w:line="300" w:lineRule="auto"/>
        <w:ind w:firstLine="480"/>
        <w:jc w:val="both"/>
        <w:snapToGrid w:val="0"/>
      </w:pPr>
      <w:r>
        <w:rPr>
          <w:rFonts w:ascii="Times New Roman" w:hAnsi="Times New Roman" w:cs="Times New Roman" w:eastAsia="宋体"/>
          <w:b w:val="0"/>
          <w:sz w:val="24"/>
        </w:rPr>
        <w:t>（1）站内节点关系的语义化表达不足。现有图预测主要服务于站间或区域传播，站内节点常采用单一相关关系或隐式邻接，难以同时保留负荷同步、行为共现和日内轮廓等语义。多关系表示也不预设各关系具有独立增益，仍需由关系子集实验和机制诊断检验。</w:t>
      </w:r>
    </w:p>
    <w:p>
      <w:pPr>
        <w:spacing w:before="0" w:after="0" w:line="300" w:lineRule="auto"/>
        <w:ind w:firstLine="480"/>
        <w:jc w:val="both"/>
        <w:snapToGrid w:val="0"/>
      </w:pPr>
      <w:r>
        <w:rPr>
          <w:rFonts w:ascii="Times New Roman" w:hAnsi="Times New Roman" w:cs="Times New Roman" w:eastAsia="宋体"/>
          <w:b w:val="0"/>
          <w:sz w:val="24"/>
        </w:rPr>
        <w:t>（2）模型解释缺少从观察到验证的证据链。注意力、门控和特征贡献多提供观察式线索，常规消融也主要回答移除组件后性能是否变化，较少进一步检验关系分配的功能依赖、图结构知识能否被纯时序模型吸收以及误差能否严格归属，因而需要协议化诊断流程。</w:t>
      </w:r>
    </w:p>
    <w:p>
      <w:pPr>
        <w:spacing w:before="0" w:after="0" w:line="300" w:lineRule="auto"/>
        <w:ind w:firstLine="480"/>
        <w:jc w:val="both"/>
        <w:snapToGrid w:val="0"/>
      </w:pPr>
      <w:r>
        <w:rPr>
          <w:rFonts w:ascii="Times New Roman" w:hAnsi="Times New Roman" w:cs="Times New Roman" w:eastAsia="宋体"/>
          <w:b w:val="0"/>
          <w:sz w:val="24"/>
        </w:rPr>
        <w:t>（3）事件信息的使用边界尚不清晰。日历事件、目标侧标签和预测时可见规则对应不同信息条件，作为输入、事后参照或区间路由时不能混为一谈。现有研究对阈值冻结、未来信息隔离、标签—规则错位和负结果披露的讨论有限，容易把事后参照误写成可执行性能。</w:t>
      </w:r>
    </w:p>
    <w:p>
      <w:pPr>
        <w:spacing w:before="0" w:after="0" w:line="300" w:lineRule="auto"/>
        <w:ind w:firstLine="480"/>
        <w:jc w:val="both"/>
        <w:snapToGrid w:val="0"/>
      </w:pPr>
      <w:r>
        <w:rPr>
          <w:rFonts w:ascii="Times New Roman" w:hAnsi="Times New Roman" w:cs="Times New Roman" w:eastAsia="宋体"/>
          <w:b w:val="0"/>
          <w:sz w:val="24"/>
        </w:rPr>
        <w:t>（4）全局指标难以反映稀疏事件窗口的误差结构。节点代理负荷含有大量稳定或零负荷样本，突变窗口的高误差可能被平均值稀释；若无事件、稳定和规则触发的分层口径及样本量加权还原，就难以归属模型改进，也难以支撑后续不确定性分析。</w:t>
      </w:r>
    </w:p>
    <w:p>
      <w:pPr>
        <w:spacing w:before="0" w:after="0" w:line="300" w:lineRule="auto"/>
        <w:ind w:firstLine="480"/>
        <w:jc w:val="both"/>
        <w:snapToGrid w:val="0"/>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6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snapToGrid w:val="0"/>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snapToGrid w:val="0"/>
      </w:pPr>
      <w:r>
        <w:rPr>
          <w:rFonts w:ascii="Times New Roman" w:hAnsi="Times New Roman" w:cs="Times New Roman" w:eastAsia="黑体"/>
          <w:b/>
          <w:sz w:val="30"/>
        </w:rPr>
        <w:t>1.4 研究目标与主要内容</w:t>
      </w:r>
    </w:p>
    <w:p>
      <w:pPr>
        <w:spacing w:before="0" w:after="0" w:line="300" w:lineRule="auto"/>
        <w:ind w:firstLine="480"/>
        <w:jc w:val="both"/>
        <w:snapToGrid w:val="0"/>
      </w:pPr>
      <w:r>
        <w:rPr>
          <w:rFonts w:ascii="Times New Roman" w:hAnsi="Times New Roman" w:cs="Times New Roman" w:eastAsia="宋体"/>
          <w:b w:val="0"/>
          <w:sz w:val="24"/>
        </w:rPr>
        <w:t>本文以单站多充电节点的节点代理负荷为对象，目标是构建利用站内多类统计关系的短期预测模型，并建立可复核的诊断流程，分析关系依赖、结构可替代性和误差来源。研究主线为“公开ACN会话→15 min节点代理负荷→LRE三关系图→MRG-GCN→MDP→第5章探索”。结论限于会话重构的代理负荷、既定协议和所检配置，不等同于电表实测功率或在线调度效果。</w:t>
      </w:r>
    </w:p>
    <w:p>
      <w:pPr>
        <w:spacing w:before="0" w:after="0" w:line="300" w:lineRule="auto"/>
        <w:ind w:firstLine="480"/>
        <w:jc w:val="both"/>
        <w:snapToGrid w:val="0"/>
      </w:pPr>
      <w:r>
        <w:rPr>
          <w:rFonts w:ascii="Times New Roman" w:hAnsi="Times New Roman" w:cs="Times New Roman" w:eastAsia="宋体"/>
          <w:b w:val="0"/>
          <w:sz w:val="24"/>
        </w:rPr>
        <w:t>围绕上述目标，本文开展以下四方面研究。</w:t>
      </w:r>
    </w:p>
    <w:p>
      <w:pPr>
        <w:spacing w:before="0" w:after="0" w:line="300" w:lineRule="auto"/>
        <w:ind w:firstLine="480"/>
        <w:jc w:val="both"/>
        <w:snapToGrid w:val="0"/>
      </w:pPr>
      <w:r>
        <w:rPr>
          <w:rFonts w:ascii="Times New Roman" w:hAnsi="Times New Roman" w:cs="Times New Roman" w:eastAsia="宋体"/>
          <w:b w:val="0"/>
          <w:sz w:val="24"/>
        </w:rPr>
        <w:t>（1）充电行为数据重构与特征分析。审计充电会话字段和节点标识，按15 min粒度重构节点代理负荷；仅依据训练集和验证集完成节点筛选及质量门禁，测试集不参与选择；分析稀疏性、异质性、周期性和事件分量，为关系构建、模型输入和分层评价提供依据。</w:t>
      </w:r>
    </w:p>
    <w:p>
      <w:pPr>
        <w:spacing w:before="0" w:after="0" w:line="300" w:lineRule="auto"/>
        <w:ind w:firstLine="480"/>
        <w:jc w:val="both"/>
        <w:snapToGrid w:val="0"/>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建立MRG-GCN，以关系变换与逐层β融合、节点级G门控、残差精炼和跨层拼接完成跨节点融合，并在统一预测键、三种子、多模型对比和消融协议下评价其性能与结构作用。关系随机失活仅作为敏感性设置，正式主配置关闭。</w:t>
      </w:r>
    </w:p>
    <w:p>
      <w:pPr>
        <w:spacing w:before="0" w:after="0" w:line="300" w:lineRule="auto"/>
        <w:ind w:firstLine="480"/>
        <w:jc w:val="both"/>
        <w:snapToGrid w:val="0"/>
      </w:pPr>
      <w:r>
        <w:rPr>
          <w:rFonts w:ascii="Times New Roman" w:hAnsi="Times New Roman" w:cs="Times New Roman" w:eastAsia="宋体"/>
          <w:b w:val="0"/>
          <w:sz w:val="24"/>
        </w:rPr>
        <w:t>（3）三层机制诊断协议。围绕关系分配的功能依赖、图结构知识的可吸收性和全局误差来源，构建由L1干预归因、L2蒸馏验证和L3四格溯源组成的MDP；各层均给出操作定义、诊断实验和判定准则，并以样本量加权恒等式核验四格结果能否还原全局误差。</w:t>
      </w:r>
    </w:p>
    <w:p>
      <w:pPr>
        <w:spacing w:before="0" w:after="0" w:line="300" w:lineRule="auto"/>
        <w:ind w:firstLine="480"/>
        <w:jc w:val="both"/>
        <w:snapToGrid w:val="0"/>
      </w:pPr>
      <w:r>
        <w:rPr>
          <w:rFonts w:ascii="Times New Roman" w:hAnsi="Times New Roman" w:cs="Times New Roman" w:eastAsia="宋体"/>
          <w:b w:val="0"/>
          <w:sz w:val="24"/>
        </w:rPr>
        <w:t>（4）模型结构分析与预测支持探索。以传递熵和PCMCI+分析方向性候选及条件滞后依赖，以分层共形比较标准路径、回溯冻结规则路由和标签事件事后参照（oracle）的覆盖边界，并将门控参数干预扩展到事件、稳定和节点层面；进一步给出节点预测接入运行核查的接口及固定算例。结果仅按结构发现、经验覆盖、参数敏感度和决策接口解释，不升级为物理因果或已验证的调度收益。新协议的36项模型运行在第3章单独报告，不合并排位或改写旧主结果。</w:t>
      </w:r>
    </w:p>
    <w:p>
      <w:pPr>
        <w:spacing w:before="360" w:after="240" w:line="360" w:lineRule="auto"/>
        <w:ind w:firstLine="0"/>
        <w:jc w:val="both"/>
        <w:outlineLvl w:val="1"/>
        <w:snapToGrid w:val="0"/>
      </w:pPr>
      <w:r>
        <w:rPr>
          <w:rFonts w:ascii="Times New Roman" w:hAnsi="Times New Roman" w:cs="Times New Roman" w:eastAsia="黑体"/>
          <w:b/>
          <w:sz w:val="30"/>
        </w:rPr>
        <w:t>1.5 技术路线</w:t>
      </w:r>
    </w:p>
    <w:p>
      <w:pPr>
        <w:spacing w:before="0" w:after="0" w:line="300" w:lineRule="auto"/>
        <w:ind w:firstLine="480"/>
        <w:jc w:val="both"/>
        <w:snapToGrid w:val="0"/>
      </w:pPr>
      <w:r>
        <w:rPr>
          <w:rFonts w:ascii="Times New Roman" w:hAnsi="Times New Roman" w:cs="Times New Roman" w:eastAsia="宋体"/>
          <w:b w:val="0"/>
          <w:sz w:val="24"/>
        </w:rPr>
        <w:t>本文按照“公开ACN会话—15 min节点代理负荷—LRE三关系图—MRG-GCN—MDP—第5章探索”的路线开展研究，总体技术路线如图1-2所示。图中同时标出预测方法与机制诊断两条主线：前者由LRE三关系图和MRG-GCN构成，后者由L1干预、L2蒸馏与L3四格溯源构成。</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图1-2 本文总体技术路线与双贡献主线</w:t>
      </w:r>
    </w:p>
    <w:p>
      <w:pPr>
        <w:spacing w:before="0" w:after="0" w:line="300" w:lineRule="auto"/>
        <w:ind w:firstLine="480"/>
        <w:jc w:val="both"/>
        <w:snapToGrid w:val="0"/>
      </w:pPr>
      <w:r>
        <w:rPr>
          <w:rFonts w:ascii="Times New Roman" w:hAnsi="Times New Roman" w:cs="Times New Roman" w:eastAsia="宋体"/>
          <w:b w:val="0"/>
          <w:sz w:val="24"/>
        </w:rPr>
        <w:t>第一阶段为数据重构与特征分析。审计原始会话的字段、时间和节点标识，将离散会话按15 min时间片重构为节点代理负荷张量；依据训练集和验证集完成节点筛选与质量门禁，冻结10个主分析节点；再分析负荷稀疏性、节点差异、周期模式、事件四分量及输入特征，为模型设计和评价提供依据。</w:t>
      </w:r>
    </w:p>
    <w:p>
      <w:pPr>
        <w:spacing w:before="0" w:after="0" w:line="300" w:lineRule="auto"/>
        <w:ind w:firstLine="480"/>
        <w:jc w:val="both"/>
        <w:snapToGrid w:val="0"/>
      </w:pPr>
      <w:r>
        <w:rPr>
          <w:rFonts w:ascii="Times New Roman" w:hAnsi="Times New Roman" w:cs="Times New Roman" w:eastAsia="宋体"/>
          <w:b w:val="0"/>
          <w:sz w:val="24"/>
        </w:rPr>
        <w:t>第二阶段为LRE关系构建与MRG-GCN建模。使用训练期统计量分别构建负荷耦合、行为共现和轮廓相似关系图，经top-k稀疏化与对称归一化后作为固定关系输入；使用TCN提取历史表示，经双层多关系门控图卷积和预测头输出未来4个时间步的节点代理负荷。在统一数据划分、预测键和指标下，完成已登记传统、时序、图模型及自适应图对照，并以结构消融、关系子集和参数干预分析组件作用；STMGCN、MGAT-MIC-LSTM和CADGN不属于本阶段重跑基线。</w:t>
      </w:r>
    </w:p>
    <w:p>
      <w:pPr>
        <w:spacing w:before="0" w:after="0" w:line="300" w:lineRule="auto"/>
        <w:ind w:firstLine="480"/>
        <w:jc w:val="both"/>
        <w:snapToGrid w:val="0"/>
      </w:pPr>
      <w:r>
        <w:rPr>
          <w:rFonts w:ascii="Times New Roman" w:hAnsi="Times New Roman" w:cs="Times New Roman" w:eastAsia="宋体"/>
          <w:b w:val="0"/>
          <w:sz w:val="24"/>
        </w:rPr>
        <w:t>第三阶段为MDP三层机制诊断。L1提取逐层关系门控权重并实施固定、交换和等权干预；L2以MRG-GCN为教师、TCN为学生开展知识蒸馏，检验所检配置下的结构差距；L3按目标侧标签事件与冻结规则触发构建四格，以样本量加权还原全局MAE，定位事件窗口和稳定窗口的误差贡献。</w:t>
      </w:r>
    </w:p>
    <w:p>
      <w:pPr>
        <w:spacing w:before="0" w:after="0" w:line="300" w:lineRule="auto"/>
        <w:ind w:firstLine="480"/>
        <w:jc w:val="both"/>
        <w:snapToGrid w:val="0"/>
      </w:pPr>
      <w:r>
        <w:rPr>
          <w:rFonts w:ascii="Times New Roman" w:hAnsi="Times New Roman" w:cs="Times New Roman" w:eastAsia="宋体"/>
          <w:b w:val="0"/>
          <w:sz w:val="24"/>
        </w:rPr>
        <w:t>第四阶段为模型结构分析与预测支持探索。采用传递熵和PCMCI+分析方向性候选及条件滞后依赖，考察其与固定统计关系图的互补性；采用分层共形比较全局校准、回溯冻结规则路由和标签事件事后参照的经验覆盖；按窗口与节点分析参数替换响应；最后用新协议的固定预测轨迹说明运行核查接口及其可靠性限制。新协议的模型比较与消融在第3章报告，本阶段不重复建立性能排行榜。</w:t>
      </w:r>
    </w:p>
    <w:p>
      <w:pPr>
        <w:spacing w:before="360" w:after="240" w:line="360" w:lineRule="auto"/>
        <w:ind w:firstLine="0"/>
        <w:jc w:val="both"/>
        <w:outlineLvl w:val="1"/>
        <w:snapToGrid w:val="0"/>
      </w:pPr>
      <w:r>
        <w:rPr>
          <w:rFonts w:ascii="Times New Roman" w:hAnsi="Times New Roman" w:cs="Times New Roman" w:eastAsia="黑体"/>
          <w:b/>
          <w:sz w:val="30"/>
        </w:rPr>
        <w:t>1.6 论文组织结构</w:t>
      </w:r>
    </w:p>
    <w:p>
      <w:pPr>
        <w:spacing w:before="0" w:after="0" w:line="300" w:lineRule="auto"/>
        <w:ind w:firstLine="480"/>
        <w:jc w:val="both"/>
        <w:snapToGrid w:val="0"/>
      </w:pPr>
      <w:r>
        <w:rPr>
          <w:rFonts w:ascii="Times New Roman" w:hAnsi="Times New Roman" w:cs="Times New Roman" w:eastAsia="宋体"/>
          <w:b w:val="0"/>
          <w:sz w:val="24"/>
        </w:rPr>
        <w:t>本文正文由五章组成，正文之后设置结论和参考文献。各章内容安排如下。</w:t>
      </w:r>
    </w:p>
    <w:p>
      <w:pPr>
        <w:spacing w:before="0" w:after="0" w:line="300" w:lineRule="auto"/>
        <w:ind w:firstLine="480"/>
        <w:jc w:val="both"/>
        <w:snapToGrid w:val="0"/>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snapToGrid w:val="0"/>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snapToGrid w:val="0"/>
      </w:pPr>
      <w:r>
        <w:rPr>
          <w:rFonts w:ascii="Times New Roman" w:hAnsi="Times New Roman" w:cs="Times New Roman" w:eastAsia="宋体"/>
          <w:b w:val="0"/>
          <w:sz w:val="24"/>
        </w:rPr>
        <w:t>第3章为基于多关系门控图卷积的节点短期负荷预测。本章形式化定义任务、构建LRE三关系并建立MRG-GCN；通过旧协议统一预测键上的基线比较及分层评价分析预测表现，分别报告旧消融套件与新可见输入协议的结构对照。参数干预和四格仅在本章说明与评价接口的衔接，详细机制解释由第4章承担。</w:t>
      </w:r>
    </w:p>
    <w:p>
      <w:pPr>
        <w:spacing w:before="0" w:after="0" w:line="300" w:lineRule="auto"/>
        <w:ind w:firstLine="480"/>
        <w:jc w:val="both"/>
        <w:snapToGrid w:val="0"/>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snapToGrid w:val="0"/>
      </w:pPr>
      <w:r>
        <w:rPr>
          <w:rFonts w:ascii="Times New Roman" w:hAnsi="Times New Roman" w:cs="Times New Roman" w:eastAsia="宋体"/>
          <w:b w:val="0"/>
          <w:sz w:val="24"/>
        </w:rPr>
        <w:t>第5章为模型结构分析与预测支持探索。本章考察方向性结构与固定统计关系图的互补性，量化回溯规则路由的区间覆盖失效，分析参数替换的分层响应，并在5.5节说明节点预测接入运行核查的接口和固定算例。相关结果不表述为物理因果、可部署事件预测或已验证调度收益。</w:t>
      </w:r>
    </w:p>
    <w:p>
      <w:pPr>
        <w:spacing w:before="0" w:after="0" w:line="300" w:lineRule="auto"/>
        <w:ind w:firstLine="480"/>
        <w:jc w:val="both"/>
        <w:snapToGrid w:val="0"/>
      </w:pPr>
      <w:r>
        <w:rPr>
          <w:rFonts w:ascii="Times New Roman" w:hAnsi="Times New Roman" w:cs="Times New Roman" w:eastAsia="宋体"/>
          <w:b w:val="0"/>
          <w:sz w:val="24"/>
        </w:rPr>
        <w:t>结论部分对应预测表现、机制诊断和运行接口总结主要发现，并说明跨站、真实量测以及旧协议独立校准等未完成验证；新协议独立校准的补充结果在5.3.6节报告。未纳入正文的事件残差修正与预警比较保留于研究记录，不作为本文正式贡献。</w:t>
      </w:r>
    </w:p>
    <w:p>
      <w:pPr>
        <w:spacing w:before="360" w:after="240" w:line="360" w:lineRule="auto"/>
        <w:ind w:firstLine="0"/>
        <w:jc w:val="both"/>
        <w:outlineLvl w:val="1"/>
        <w:snapToGrid w:val="0"/>
      </w:pPr>
      <w:r>
        <w:rPr>
          <w:rFonts w:ascii="Times New Roman" w:hAnsi="Times New Roman" w:cs="Times New Roman" w:eastAsia="黑体"/>
          <w:b/>
          <w:sz w:val="30"/>
        </w:rPr>
        <w:t>1.7 本章小结</w:t>
      </w:r>
    </w:p>
    <w:p>
      <w:pPr>
        <w:spacing w:before="0" w:after="0" w:line="300" w:lineRule="auto"/>
        <w:ind w:firstLine="480"/>
        <w:jc w:val="both"/>
        <w:snapToGrid w:val="0"/>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snapToGrid w:val="0"/>
      </w:pPr>
      <w:r>
        <w:rPr>
          <w:rFonts w:ascii="Times New Roman" w:hAnsi="Times New Roman" w:cs="Times New Roman" w:eastAsia="宋体"/>
          <w:b w:val="0"/>
          <w:sz w:val="24"/>
        </w:rPr>
        <w:t>针对上述问题，本文形成两条相互衔接的贡献线：一是构建面向站内节点的LRE三关系图和MRG-GCN预测模型，二是以L1干预归因、L2蒸馏验证和L3四格溯源组成MDP三层机制诊断协议。本文的创新重点在于站内节点任务中的关系语义组织、门控融合与可复核诊断的组合，而不声称TCN、GCN或门控机制本身首次提出。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7"/>
          <w:headerReference w:type="even" r:id="rId58"/>
          <w:footerReference w:type="default" r:id="rId59"/>
          <w:footerReference w:type="even" r:id="rId6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第2章  充电行为数据与特征分析</w:t>
      </w:r>
    </w:p>
    <w:p>
      <w:pPr>
        <w:spacing w:before="0" w:after="0" w:line="300" w:lineRule="auto"/>
        <w:ind w:firstLine="480"/>
        <w:jc w:val="both"/>
        <w:snapToGrid w:val="0"/>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snapToGrid w:val="0"/>
      </w:pPr>
      <w:r>
        <w:rPr>
          <w:rFonts w:ascii="Times New Roman" w:hAnsi="Times New Roman" w:cs="Times New Roman" w:eastAsia="黑体"/>
          <w:b/>
          <w:sz w:val="30"/>
        </w:rPr>
        <w:t>2.1 数据来源与重构口径</w:t>
      </w:r>
    </w:p>
    <w:p>
      <w:pPr>
        <w:spacing w:before="0" w:after="0" w:line="300" w:lineRule="auto"/>
        <w:ind w:firstLine="480"/>
        <w:jc w:val="both"/>
        <w:snapToGrid w:val="0"/>
      </w:pPr>
      <w:r>
        <w:rPr>
          <w:rFonts w:ascii="Times New Roman" w:hAnsi="Times New Roman" w:cs="Times New Roman" w:eastAsia="宋体"/>
          <w:b w:val="0"/>
          <w:sz w:val="24"/>
        </w:rPr>
        <w:t>本文采用公开的ACN-Data电动汽车充电数据集。该数据集由加州理工学院发布，记录会话接入、断开、充电完成时间和总交付电量等信息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下载使用siteID=2的单场站会话归档，含31,424条记录和11个字段，不包含连续电流量测；这不意味着ACN-Data接口本身不提供电流序列。接入时间从2018年4月25日11:08:04延续至2021年9月14日1:52:37，最晚断开时间为2021年9月14日3:05:10，覆盖约3.39年。接入与断开时间全部可解析，充电完成时间可解析29,369条；后者不是本重构所需字段，其缺失不影响时间片能量分配。</w:t>
      </w:r>
    </w:p>
    <w:p>
      <w:pPr>
        <w:spacing w:before="0" w:after="0" w:line="300" w:lineRule="auto"/>
        <w:ind w:firstLine="480"/>
        <w:jc w:val="both"/>
        <w:snapToGrid w:val="0"/>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E</m:t>
            </m:r>
          </m:e>
          <m:sub>
            <m:r>
              <w:rPr>
                <w:sz w:val="21"/>
              </w:rP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i</m:t>
            </m:r>
          </m:e>
          <m:sub>
            <m:r>
              <w:rPr>
                <w:sz w:val="21"/>
              </w:rP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ℬ</m:t>
            </m:r>
          </m:e>
          <m:sub>
            <m:r>
              <w:rPr>
                <w:sz w:val="21"/>
              </w:rP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r>
          <w:rPr>
            <w:sz w:val="21"/>
          </w:rPr>
          <m:t>=</m:t>
        </m:r>
        <m:sSub>
          <m:sSubPr/>
          <m:e>
            <m:r>
              <w:rPr>
                <w:sz w:val="21"/>
              </w:rPr>
              <m:t>∑</m:t>
            </m:r>
          </m:e>
          <m:sub>
            <m:r>
              <w:rPr>
                <w:sz w:val="21"/>
              </w:rPr>
              <m:t>s</m:t>
            </m:r>
            <m:r>
              <w:rPr>
                <w:sz w:val="21"/>
              </w:rPr>
              <m:t>:</m:t>
            </m:r>
            <m:sSub>
              <m:sSubPr/>
              <m:e>
                <m:r>
                  <w:rPr>
                    <w:sz w:val="21"/>
                  </w:rPr>
                  <m:t>i</m:t>
                </m:r>
              </m:e>
              <m:sub>
                <m:r>
                  <w:rPr>
                    <w:sz w:val="21"/>
                  </w:rPr>
                  <m:t>s</m:t>
                </m:r>
              </m:sub>
            </m:sSub>
            <m:r>
              <w:rPr>
                <w:sz w:val="21"/>
              </w:rPr>
              <m:t>=</m:t>
            </m:r>
            <m:r>
              <w:rPr>
                <w:sz w:val="21"/>
              </w:rPr>
              <m:t>i</m:t>
            </m:r>
            <m:r>
              <w:rPr>
                <w:sz w:val="21"/>
              </w:rPr>
              <m:t>,</m:t>
            </m:r>
            <m:r>
              <w:rPr>
                <w:sz w:val="21"/>
              </w:rPr>
              <m:t>t</m:t>
            </m:r>
            <m:r>
              <w:rPr>
                <w:sz w:val="21"/>
              </w:rPr>
              <m:t>∈</m:t>
            </m:r>
            <m:sSub>
              <m:sSubPr/>
              <m:e>
                <m:r>
                  <w:rPr>
                    <w:sz w:val="21"/>
                  </w:rPr>
                  <m:t>ℬ</m:t>
                </m:r>
              </m:e>
              <m:sub>
                <m:r>
                  <w:rPr>
                    <w:sz w:val="21"/>
                  </w:rPr>
                  <m:t>s</m:t>
                </m:r>
              </m:sub>
            </m:sSub>
          </m:sub>
        </m:sSub>
        <m:f>
          <m:num>
            <m:sSub>
              <m:sSubPr/>
              <m:e>
                <m:r>
                  <w:rPr>
                    <w:sz w:val="21"/>
                  </w:rPr>
                  <m:t>E</m:t>
                </m:r>
              </m:e>
              <m:sub>
                <m:r>
                  <w:rPr>
                    <w:sz w:val="21"/>
                  </w:rPr>
                  <m:t>s</m:t>
                </m:r>
              </m:sub>
            </m:sSub>
          </m:num>
          <m:den>
            <m:r>
              <w:rPr>
                <w:sz w:val="21"/>
              </w:rPr>
              <m:t>|</m:t>
            </m:r>
            <m:sSub>
              <m:sSubPr/>
              <m:e>
                <m:r>
                  <w:rPr>
                    <w:sz w:val="21"/>
                  </w:rPr>
                  <m:t>ℬ</m:t>
                </m:r>
              </m:e>
              <m:sub>
                <m:r>
                  <w:rPr>
                    <w:sz w:val="21"/>
                  </w:rPr>
                  <m:t>s</m:t>
                </m:r>
              </m:sub>
            </m:sSub>
            <m:r>
              <w:rPr>
                <w:sz w:val="21"/>
              </w:rPr>
              <m:t>|</m:t>
            </m:r>
          </m:den>
        </m:f>
        <m:r>
          <w:rPr>
            <w:sz w:val="21"/>
          </w:rPr>
          <m:t>.</m:t>
        </m:r>
      </m:oMath>
      <w:r>
        <w:tab/>
      </w:r>
      <w:r>
        <w:rPr>
          <w:rFonts w:ascii="Times New Roman" w:hAnsi="Times New Roman" w:cs="Times New Roman" w:eastAsia="宋体"/>
          <w:sz w:val="21"/>
        </w:rPr>
        <w:t>（2-1）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sSub>
          <m:sSubPr/>
          <m:e>
            <m:r>
              <w:rPr>
                <w:sz w:val="21"/>
              </w:rPr>
              <m:t>ℬ</m:t>
            </m:r>
          </m:e>
          <m:sub>
            <m:r>
              <w:rPr>
                <w:sz w:val="21"/>
              </w:rPr>
              <m:t>s</m:t>
            </m:r>
          </m:sub>
        </m:sSub>
        <m:r>
          <w:rPr>
            <w:sz w:val="21"/>
          </w:rP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snapToGrid w:val="0"/>
      </w:pPr>
      <w:r>
        <w:rPr>
          <w:rFonts w:ascii="Times New Roman" w:hAnsi="Times New Roman" w:cs="Times New Roman" w:eastAsia="宋体"/>
          <w:b w:val="0"/>
          <w:sz w:val="24"/>
        </w:rPr>
        <w:t>分摊的数值一致性与实际充电过程的真实性需要分别核查。10个主分析节点11,085条会话的交付电量合计92,650.017 kWh，与全部节点代理时间片的电量之和一致，逐节点守恒差均小于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8</m:t>
            </m:r>
          </m:sup>
        </m:sSup>
      </m:oMath>
      <w:r>
        <w:rPr>
          <w:rFonts w:ascii="Times New Roman" w:hAnsi="Times New Roman" w:cs="Times New Roman" w:eastAsia="宋体"/>
          <w:b w:val="0"/>
          <w:sz w:val="24"/>
        </w:rPr>
        <w:t xml:space="preserve"> kWh。这说明电量分配没有造成总量丢失，但不能证明分配时刻正确。若车辆完成充电后继续保持连接，当前方法仍向这一停留区间分配电量；每条会话的实际功率起伏也被均匀分摊所替代，可能平滑尖峰或改变峰值时刻。现有归档缺少同步功率曲线，无法量化这些偏差的方向和幅度，预测误差因而只相对于式（2-1）的代理目标定义。</w:t>
      </w:r>
    </w:p>
    <w:p>
      <w:pPr>
        <w:spacing w:before="0" w:after="0" w:line="300" w:lineRule="auto"/>
        <w:ind w:firstLine="480"/>
        <w:jc w:val="both"/>
        <w:snapToGrid w:val="0"/>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snapToGrid w:val="0"/>
      </w:pPr>
      <w:r>
        <w:rPr>
          <w:rFonts w:ascii="Times New Roman" w:hAnsi="Times New Roman" w:cs="Times New Roman" w:eastAsia="宋体"/>
          <w:b w:val="0"/>
          <w:sz w:val="24"/>
        </w:rPr>
        <w:t>如图2-1所示，原始会话记录依次转换为模型输入张量。旧协议的节点选择、目标与特征z-score统计以及规则触发阈值分别由训练期或验证期确定，但上游占用率分母采用全时期节点最大活跃数，负荷跳变标记采用全时期正差分的90%分位数。因此，不能把后续训练期标准化概括为全部预处理与测试时期隔离。数据来源、时间跨度和关键审计结果汇总于表2-1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7"/>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 数据重构与数据划分流程</w:t>
      </w:r>
    </w:p>
    <w:p>
      <w:pPr>
        <w:spacing w:before="0" w:after="0" w:line="300" w:lineRule="auto"/>
        <w:ind w:firstLine="480"/>
        <w:jc w:val="both"/>
        <w:snapToGrid w:val="0"/>
      </w:pPr>
      <w:r>
        <w:rPr>
          <w:rFonts w:ascii="Times New Roman" w:hAnsi="Times New Roman" w:cs="Times New Roman" w:eastAsia="宋体"/>
          <w:b w:val="0"/>
          <w:sz w:val="18"/>
        </w:rPr>
        <w:t>注：原始归档含31,424条会话；10个主分析节点对应11,085条会话，均匀分配至覆盖的15 min时间片以形成节点代理负荷。节点筛选、z-score参数和冻结触发阈值分别由训练期或验证期确定；旧上游占用率分母与跳变标记阈值另使用全时期统计，范围见2.1.1节。本图不表示在线电表功率测量。</w:t>
      </w:r>
    </w:p>
    <w:p>
      <w:pPr>
        <w:spacing w:before="60" w:after="60" w:line="240" w:lineRule="auto"/>
        <w:ind w:firstLine="0"/>
        <w:jc w:val="center"/>
        <w:keepNext/>
        <w:snapToGrid w:val="0"/>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本文使用的归档不含连续电流或电表功率序列</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snapToGrid w:val="0"/>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snapToGrid w:val="0"/>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snapToGrid w:val="0"/>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snapToGrid w:val="0"/>
      </w:pPr>
      <w:r>
        <w:rPr>
          <w:rFonts w:ascii="Times New Roman" w:hAnsi="Times New Roman" w:cs="Times New Roman" w:eastAsia="宋体"/>
          <w:b w:val="0"/>
          <w:sz w:val="24"/>
        </w:rPr>
        <w:t>针对这一边界，另行冻结事件时刻协议SG-DATA-006-eventtime-v1；SG-EXP-019记录其数据核验及后续phase1/phase2共36次模型运行。新协议在预测原点只使用已发生的接入、离站、活跃计数和日历编码，删除旧代理负荷、需求强度、占用率与负荷跳变输入；目标仍为事后会话能量代理，用于检验收紧输入权限后的相对价值。该组已重新训练，结果在3.7.5节单独报告，不覆盖旧主实验，也不等同于实测功率验证。</w:t>
      </w:r>
    </w:p>
    <w:p>
      <w:pPr>
        <w:spacing w:before="0" w:after="0" w:line="300" w:lineRule="auto"/>
        <w:ind w:firstLine="480"/>
        <w:jc w:val="both"/>
        <w:snapToGrid w:val="0"/>
      </w:pPr>
      <w:r>
        <w:rPr>
          <w:rFonts w:ascii="Times New Roman" w:hAnsi="Times New Roman" w:cs="Times New Roman" w:eastAsia="宋体"/>
          <w:b w:val="0"/>
          <w:sz w:val="24"/>
        </w:rPr>
        <w:t>旧历史窗口中尚未结束的会话可能依赖后来才确定的最终字段；字段可见性核验不用于估计MAE偏差，旧结果仅解释为离线回溯比较。新协议沿用旧筛选的10节点，并假设接入、离站事件发生时即可被系统观察；原始归档未提供上报到达时间戳，因此尚未核验通信延迟。旧训练与验证各有4个原点的目标窗口跨段，验证与测试各有95个原点的历史窗口进入前一段；历史使用过去信息本身不等于未来泄漏，但旧协议不满足完整输入和目标都留在各段的严格约定。新协议采用完整窗口留段、训练/调参/校准/测试四段划分，测试时期仍为已查看过数据上的回溯验证。两套协议的输入契约、目标定义和可回答问题见表2-2。</w:t>
      </w:r>
    </w:p>
    <w:p>
      <w:pPr>
        <w:spacing w:before="60" w:after="60" w:line="240" w:lineRule="auto"/>
        <w:ind w:firstLine="0"/>
        <w:jc w:val="center"/>
        <w:keepNext/>
        <w:snapToGrid w:val="0"/>
      </w:pPr>
      <w:r>
        <w:rPr>
          <w:rFonts w:ascii="Times New Roman" w:hAnsi="Times New Roman" w:cs="Times New Roman" w:eastAsia="黑体"/>
          <w:b w:val="0"/>
          <w:sz w:val="21"/>
        </w:rPr>
        <w:t>表2-2 两套数据协议的回答范围</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仍为事后代理目标；完整窗口留段</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即时上报假设下行为输入的相对价值与协议敏感性</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与旧MAE直接合并、证明实际上报无延迟或证明实测部署性能</w:t>
            </w:r>
          </w:p>
        </w:tc>
      </w:tr>
    </w:tbl>
    <w:p>
      <w:pPr>
        <w:spacing w:before="360" w:after="240" w:line="360" w:lineRule="auto"/>
        <w:ind w:firstLine="0"/>
        <w:jc w:val="both"/>
        <w:outlineLvl w:val="1"/>
        <w:snapToGrid w:val="0"/>
      </w:pPr>
      <w:r>
        <w:rPr>
          <w:rFonts w:ascii="Times New Roman" w:hAnsi="Times New Roman" w:cs="Times New Roman" w:eastAsia="黑体"/>
          <w:b/>
          <w:sz w:val="30"/>
        </w:rPr>
        <w:t>2.2 节点可用性筛选与质量门禁</w:t>
      </w:r>
    </w:p>
    <w:p>
      <w:pPr>
        <w:spacing w:before="0" w:after="0" w:line="300" w:lineRule="auto"/>
        <w:ind w:firstLine="480"/>
        <w:jc w:val="both"/>
        <w:snapToGrid w:val="0"/>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snapToGrid w:val="0"/>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snapToGrid w:val="0"/>
      </w:pPr>
      <w:r>
        <w:rPr>
          <w:rFonts w:ascii="Times New Roman" w:hAnsi="Times New Roman" w:cs="Times New Roman" w:eastAsia="宋体"/>
          <w:b w:val="0"/>
          <w:sz w:val="24"/>
        </w:rPr>
        <w:t>节点筛选从会话活跃度、时间覆盖和负荷稳定性三个方面设置六项条件，具体门槛见表2-3。主分析门槛要求训练期接入事件不少于100次、验证期不少于10次，训练期非零负荷时间片不少于200片，训练期和验证期活跃月份比例均不低于0.50，且训练期月度能量变异系数不高于2.5。较宽松门槛另生成15节点敏感性候选集合，目前只核验筛选覆盖，尚未完成该集合的模型重训练，不能据此证明预测结论对节点范围稳健。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keepNext/>
        <w:snapToGrid w:val="0"/>
      </w:pPr>
      <w:r>
        <w:rPr>
          <w:rFonts w:ascii="Times New Roman" w:hAnsi="Times New Roman" w:cs="Times New Roman" w:eastAsia="黑体"/>
          <w:b w:val="0"/>
          <w:sz w:val="21"/>
        </w:rPr>
        <w:t>表2-3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w:t>
            </w:r>
          </w:p>
        </w:tc>
      </w:tr>
    </w:tbl>
    <w:p>
      <w:pPr>
        <w:spacing w:before="0" w:after="0" w:line="300" w:lineRule="auto"/>
        <w:ind w:firstLine="480"/>
        <w:jc w:val="both"/>
        <w:snapToGrid w:val="0"/>
      </w:pPr>
      <w:r>
        <w:rPr>
          <w:rFonts w:ascii="Times New Roman" w:hAnsi="Times New Roman" w:cs="Times New Roman" w:eastAsia="宋体"/>
          <w:b w:val="0"/>
          <w:sz w:val="24"/>
        </w:rPr>
        <w:t>六项条件联合筛选后，55个候选节点中有10个进入主分析集合，且均可在测试期评价；敏感性候选集合包含这10个节点及另外5个节点，共15个，其中14个在测试期可评价。图2-2展示各候选节点在训练、验证和测试阶段的活跃月份比例以及筛选归属。图中测试期覆盖仅描述冻结节点集合的后续可评价性，并未反向参与筛选，也不代表15节点预测实验已完成。</w:t>
      </w:r>
    </w:p>
    <w:p>
      <w:pPr>
        <w:spacing w:before="60" w:after="60" w:line="240" w:lineRule="auto"/>
        <w:ind w:firstLine="0"/>
        <w:jc w:val="center"/>
        <w:snapToGrid w:val="0"/>
      </w:pPr>
      <w:r>
        <w:drawing>
          <wp:inline xmlns:a="http://schemas.openxmlformats.org/drawingml/2006/main" xmlns:pic="http://schemas.openxmlformats.org/drawingml/2006/picture">
            <wp:extent cx="5112000" cy="3968386"/>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8"/>
                    <a:stretch>
                      <a:fillRect/>
                    </a:stretch>
                  </pic:blipFill>
                  <pic:spPr>
                    <a:xfrm>
                      <a:off x="0" y="0"/>
                      <a:ext cx="5112000" cy="396838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图2-2 候选节点覆盖率与筛选结果</w:t>
      </w:r>
    </w:p>
    <w:p>
      <w:pPr>
        <w:spacing w:before="0" w:after="0" w:line="300" w:lineRule="auto"/>
        <w:ind w:firstLine="480"/>
        <w:jc w:val="both"/>
        <w:snapToGrid w:val="0"/>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snapToGrid w:val="0"/>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snapToGrid w:val="0"/>
      </w:pPr>
      <w:r>
        <w:rPr>
          <w:rFonts w:ascii="Times New Roman" w:hAnsi="Times New Roman" w:cs="Times New Roman" w:eastAsia="黑体"/>
          <w:b/>
          <w:sz w:val="30"/>
        </w:rPr>
        <w:t>2.3 节点负荷统计特征</w:t>
      </w:r>
    </w:p>
    <w:p>
      <w:pPr>
        <w:spacing w:before="0" w:after="0" w:line="300" w:lineRule="auto"/>
        <w:ind w:firstLine="480"/>
        <w:jc w:val="both"/>
        <w:snapToGrid w:val="0"/>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snapToGrid w:val="0"/>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snapToGrid w:val="0"/>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9"/>
                    <a:stretch>
                      <a:fillRect/>
                    </a:stretch>
                  </pic:blipFill>
                  <pic:spPr>
                    <a:xfrm>
                      <a:off x="0" y="0"/>
                      <a:ext cx="5112000" cy="23921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图2-3 连续四周节点负荷热力图</w:t>
      </w:r>
    </w:p>
    <w:p>
      <w:pPr>
        <w:spacing w:before="0" w:after="0" w:line="300" w:lineRule="auto"/>
        <w:ind w:firstLine="480"/>
        <w:jc w:val="both"/>
        <w:snapToGrid w:val="0"/>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snapToGrid w:val="0"/>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70"/>
                    <a:stretch>
                      <a:fillRect/>
                    </a:stretch>
                  </pic:blipFill>
                  <pic:spPr>
                    <a:xfrm>
                      <a:off x="0" y="0"/>
                      <a:ext cx="5112000" cy="241193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图2-4 代表性节点代理负荷的自相关函数</w:t>
      </w:r>
    </w:p>
    <w:p>
      <w:pPr>
        <w:spacing w:before="0" w:after="0" w:line="300" w:lineRule="auto"/>
        <w:ind w:firstLine="480"/>
        <w:jc w:val="both"/>
        <w:snapToGrid w:val="0"/>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snapToGrid w:val="0"/>
      </w:pPr>
      <w:r>
        <w:rPr>
          <w:rFonts w:ascii="Times New Roman" w:hAnsi="Times New Roman" w:cs="Times New Roman" w:eastAsia="宋体"/>
          <w:b w:val="0"/>
          <w:sz w:val="24"/>
        </w:rPr>
        <w:t>由表2-4可见，节点间存在明显异质性。CA-303的均值为0.1323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keepNext/>
        <w:snapToGrid w:val="0"/>
      </w:pPr>
      <w:r>
        <w:rPr>
          <w:rFonts w:ascii="Times New Roman" w:hAnsi="Times New Roman" w:cs="Times New Roman" w:eastAsia="黑体"/>
          <w:b w:val="0"/>
          <w:sz w:val="21"/>
        </w:rPr>
        <w:t>表2-4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37.3</w:t>
            </w:r>
          </w:p>
        </w:tc>
      </w:tr>
    </w:tbl>
    <w:p>
      <w:pPr>
        <w:spacing w:before="0" w:after="0" w:line="300" w:lineRule="auto"/>
        <w:ind w:firstLine="480"/>
        <w:jc w:val="both"/>
        <w:snapToGrid w:val="0"/>
      </w:pPr>
      <w:r>
        <w:rPr>
          <w:rFonts w:ascii="Times New Roman" w:hAnsi="Times New Roman" w:cs="Times New Roman" w:eastAsia="宋体"/>
          <w:b w:val="0"/>
          <w:sz w:val="24"/>
        </w:rPr>
        <w:t>三个代表性节点在日、周滞后位置的自相关系数列于表2-5。</w:t>
      </w:r>
    </w:p>
    <w:p>
      <w:pPr>
        <w:spacing w:before="60" w:after="60" w:line="240" w:lineRule="auto"/>
        <w:ind w:firstLine="0"/>
        <w:jc w:val="center"/>
        <w:keepNext/>
        <w:snapToGrid w:val="0"/>
      </w:pPr>
      <w:r>
        <w:rPr>
          <w:rFonts w:ascii="Times New Roman" w:hAnsi="Times New Roman" w:cs="Times New Roman" w:eastAsia="黑体"/>
          <w:b w:val="0"/>
          <w:sz w:val="21"/>
        </w:rPr>
        <w:t>表2-5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0.273</w:t>
            </w:r>
          </w:p>
        </w:tc>
      </w:tr>
    </w:tbl>
    <w:p>
      <w:pPr>
        <w:spacing w:before="0" w:after="0" w:line="300" w:lineRule="auto"/>
        <w:ind w:firstLine="480"/>
        <w:jc w:val="both"/>
        <w:snapToGrid w:val="0"/>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-4共同说明：多数时间片没有充电活动，但发生充电时的幅度和持续模式具有较大差异。</w:t>
      </w:r>
    </w:p>
    <w:p>
      <w:pPr>
        <w:spacing w:before="60" w:after="60" w:line="240" w:lineRule="auto"/>
        <w:ind w:firstLine="0"/>
        <w:jc w:val="center"/>
        <w:snapToGrid w:val="0"/>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71"/>
                    <a:stretch>
                      <a:fillRect/>
                    </a:stretch>
                  </pic:blipFill>
                  <pic:spPr>
                    <a:xfrm>
                      <a:off x="0" y="0"/>
                      <a:ext cx="5112000" cy="238208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图2-5 代表性节点典型周负荷曲线</w:t>
      </w:r>
    </w:p>
    <w:p>
      <w:pPr>
        <w:spacing w:before="0" w:after="0" w:line="300" w:lineRule="auto"/>
        <w:ind w:firstLine="480"/>
        <w:jc w:val="both"/>
        <w:snapToGrid w:val="0"/>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snapToGrid w:val="0"/>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72"/>
                    <a:stretch>
                      <a:fillRect/>
                    </a:stretch>
                  </pic:blipFill>
                  <pic:spPr>
                    <a:xfrm>
                      <a:off x="0" y="0"/>
                      <a:ext cx="5112000" cy="272166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图2-6 非零节点代理负荷经验分布</w:t>
      </w:r>
    </w:p>
    <w:p>
      <w:pPr>
        <w:spacing w:before="0" w:after="0" w:line="300" w:lineRule="auto"/>
        <w:ind w:firstLine="480"/>
        <w:jc w:val="both"/>
        <w:snapToGrid w:val="0"/>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min，纵轴采用对数刻度以展示低频右尾。图中为完整样本的经验频数，不含误差棒；横轴显示范围用于突出主要分布区域，不改变表2-4中的全量最大值统计。</w:t>
      </w:r>
    </w:p>
    <w:p>
      <w:pPr>
        <w:spacing w:before="360" w:after="240" w:line="360" w:lineRule="auto"/>
        <w:ind w:firstLine="0"/>
        <w:jc w:val="both"/>
        <w:outlineLvl w:val="1"/>
        <w:snapToGrid w:val="0"/>
      </w:pPr>
      <w:r>
        <w:rPr>
          <w:rFonts w:ascii="Times New Roman" w:hAnsi="Times New Roman" w:cs="Times New Roman" w:eastAsia="黑体"/>
          <w:b/>
          <w:sz w:val="30"/>
        </w:rPr>
        <w:t>2.4 事件分数构成与事件窗口统计</w:t>
      </w:r>
    </w:p>
    <w:p>
      <w:pPr>
        <w:spacing w:before="0" w:after="0" w:line="300" w:lineRule="auto"/>
        <w:ind w:firstLine="480"/>
        <w:jc w:val="both"/>
        <w:snapToGrid w:val="0"/>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t</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t</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y</m:t>
            </m:r>
          </m:e>
          <m:sub>
            <m:r>
              <w:rPr>
                <w:sz w:val="21"/>
              </w:rPr>
              <m:t>t</m:t>
            </m:r>
            <m:r>
              <w:rPr>
                <w:sz w:val="21"/>
              </w:rPr>
              <m:t>,</m:t>
            </m:r>
            <m:r>
              <w:rPr>
                <w:sz w:val="21"/>
              </w:rPr>
              <m:t>i</m:t>
            </m:r>
          </m:sub>
        </m:sSub>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a</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d</m:t>
            </m:r>
            <m:r>
              <w:rPr>
                <w:sz w:val="21"/>
              </w:rPr>
              <m:t>,</m:t>
            </m:r>
            <m:r>
              <w:rPr>
                <w:sz w:val="21"/>
              </w:rPr>
              <m:t>i</m:t>
            </m:r>
          </m:sub>
        </m:sSub>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c</m:t>
            </m:r>
            <m:r>
              <w:rPr>
                <w:sz w:val="21"/>
              </w:rPr>
              <m:t>,</m:t>
            </m:r>
            <m:r>
              <w:rPr>
                <w:sz w:val="21"/>
              </w:rPr>
              <m:t>i</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σ</m:t>
            </m:r>
          </m:e>
          <m:sub>
            <m:r>
              <w:rPr>
                <w:sz w:val="21"/>
              </w:rPr>
              <m:t>Δ</m:t>
            </m:r>
            <m:r>
              <w:rPr>
                <w:sz w:val="21"/>
              </w:rPr>
              <m:t>y</m:t>
            </m:r>
            <m:r>
              <w:rPr>
                <w:sz w:val="21"/>
              </w:rPr>
              <m:t>,</m:t>
            </m:r>
            <m:r>
              <w:rPr>
                <w:sz w:val="21"/>
              </w:rPr>
              <m:t>i</m:t>
            </m:r>
          </m:sub>
        </m:sSub>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m:t>
            </m:r>
            <m:r>
              <w:rPr>
                <w:sz w:val="21"/>
              </w:rPr>
              <m:t>,</m:t>
            </m:r>
            <m:r>
              <w:rPr>
                <w:sz w:val="21"/>
              </w:rPr>
              <m:t>i</m:t>
            </m:r>
          </m:sub>
        </m:sSub>
        <m:r>
          <w:rPr>
            <w:sz w:val="21"/>
          </w:rPr>
          <m:t>=</m:t>
        </m:r>
        <m:f>
          <m:num>
            <m:sSub>
              <m:sSubPr/>
              <m:e>
                <m:r>
                  <w:rPr>
                    <w:sz w:val="21"/>
                  </w:rPr>
                  <m:t>a</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a</m:t>
                </m:r>
                <m:r>
                  <w:rPr>
                    <w:sz w:val="21"/>
                  </w:rPr>
                  <m:t>,</m:t>
                </m:r>
                <m:r>
                  <w:rPr>
                    <w:sz w:val="21"/>
                  </w:rPr>
                  <m:t>i</m:t>
                </m:r>
              </m:sub>
            </m:sSub>
            <m:r>
              <w:rPr>
                <w:sz w:val="21"/>
              </w:rPr>
              <m:t>,</m:t>
            </m:r>
            <m:r>
              <w:rPr>
                <w:sz w:val="21"/>
              </w:rPr>
              <m:t>ε</m:t>
            </m:r>
            <m:r>
              <w:rPr>
                <w:sz w:val="21"/>
              </w:rPr>
              <m:t>)</m:t>
            </m:r>
          </m:den>
        </m:f>
        <m:r>
          <w:rPr>
            <w:sz w:val="21"/>
          </w:rPr>
          <m:t>+</m:t>
        </m:r>
        <m:f>
          <m:num>
            <m:sSub>
              <m:sSubPr/>
              <m:e>
                <m:r>
                  <w:rPr>
                    <w:sz w:val="21"/>
                  </w:rPr>
                  <m:t>d</m:t>
                </m:r>
              </m:e>
              <m:sub>
                <m:r>
                  <w:rPr>
                    <w:sz w:val="21"/>
                  </w:rPr>
                  <m:t>t</m:t>
                </m:r>
                <m:r>
                  <w:rPr>
                    <w:sz w:val="21"/>
                  </w:rPr>
                  <m:t>,</m:t>
                </m:r>
                <m:r>
                  <w:rPr>
                    <w:sz w:val="21"/>
                  </w:rPr>
                  <m:t>i</m:t>
                </m:r>
              </m:sub>
            </m:sSub>
          </m:num>
          <m:den>
            <m:r>
              <w:rPr>
                <w:sz w:val="21"/>
              </w:rPr>
              <m:t>max</m:t>
            </m:r>
            <m:r>
              <w:rPr>
                <w:sz w:val="21"/>
              </w:rPr>
              <m:t>⁡</m:t>
            </m:r>
            <m:r>
              <w:rPr>
                <w:sz w:val="21"/>
              </w:rPr>
              <m:t>(</m:t>
            </m:r>
            <m:sSub>
              <m:sSubPr/>
              <m:e>
                <m:r>
                  <w:rPr>
                    <w:sz w:val="21"/>
                  </w:rPr>
                  <m:t>σ</m:t>
                </m:r>
              </m:e>
              <m:sub>
                <m:r>
                  <w:rPr>
                    <w:sz w:val="21"/>
                  </w:rPr>
                  <m:t>d</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c</m:t>
                </m:r>
              </m:e>
              <m:sub>
                <m:r>
                  <w:rPr>
                    <w:sz w:val="21"/>
                  </w:rPr>
                  <m:t>t</m:t>
                </m:r>
                <m:r>
                  <w:rPr>
                    <w:sz w:val="21"/>
                  </w:rPr>
                  <m:t>,</m:t>
                </m:r>
                <m:r>
                  <w:rPr>
                    <w:sz w:val="21"/>
                  </w:rPr>
                  <m:t>i</m:t>
                </m:r>
              </m:sub>
            </m:sSub>
            <m:r>
              <w:rPr>
                <w:sz w:val="21"/>
              </w:rPr>
              <m:t>−</m:t>
            </m:r>
            <m:sSub>
              <m:sSubPr/>
              <m:e>
                <m:r>
                  <w:rPr>
                    <w:sz w:val="21"/>
                  </w:rPr>
                  <m:t>c</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c</m:t>
                </m:r>
                <m:r>
                  <w:rPr>
                    <w:sz w:val="21"/>
                  </w:rPr>
                  <m:t>,</m:t>
                </m:r>
                <m:r>
                  <w:rPr>
                    <w:sz w:val="21"/>
                  </w:rPr>
                  <m:t>i</m:t>
                </m:r>
              </m:sub>
            </m:sSub>
            <m:r>
              <w:rPr>
                <w:sz w:val="21"/>
              </w:rPr>
              <m:t>,</m:t>
            </m:r>
            <m:r>
              <w:rPr>
                <w:sz w:val="21"/>
              </w:rPr>
              <m:t>ε</m:t>
            </m:r>
            <m:r>
              <w:rPr>
                <w:sz w:val="21"/>
              </w:rPr>
              <m:t>)</m:t>
            </m:r>
          </m:den>
        </m:f>
        <m:r>
          <w:rPr>
            <w:sz w:val="21"/>
          </w:rPr>
          <m:t>+</m:t>
        </m:r>
        <m:f>
          <m:num>
            <m:r>
              <w:rPr>
                <w:sz w:val="21"/>
              </w:rPr>
              <m:t>|</m:t>
            </m:r>
            <m:sSub>
              <m:sSubPr/>
              <m:e>
                <m:r>
                  <w:rPr>
                    <w:sz w:val="21"/>
                  </w:rPr>
                  <m:t>y</m:t>
                </m:r>
              </m:e>
              <m:sub>
                <m:r>
                  <w:rPr>
                    <w:sz w:val="21"/>
                  </w:rPr>
                  <m:t>t</m:t>
                </m:r>
                <m:r>
                  <w:rPr>
                    <w:sz w:val="21"/>
                  </w:rPr>
                  <m:t>,</m:t>
                </m:r>
                <m:r>
                  <w:rPr>
                    <w:sz w:val="21"/>
                  </w:rPr>
                  <m:t>i</m:t>
                </m:r>
              </m:sub>
            </m:sSub>
            <m:r>
              <w:rPr>
                <w:sz w:val="21"/>
              </w:rPr>
              <m:t>−</m:t>
            </m:r>
            <m:sSub>
              <m:sSubPr/>
              <m:e>
                <m:r>
                  <w:rPr>
                    <w:sz w:val="21"/>
                  </w:rPr>
                  <m:t>y</m:t>
                </m:r>
              </m:e>
              <m:sub>
                <m:r>
                  <w:rPr>
                    <w:sz w:val="21"/>
                  </w:rPr>
                  <m:t>t</m:t>
                </m:r>
                <m:r>
                  <w:rPr>
                    <w:sz w:val="21"/>
                  </w:rPr>
                  <m:t>−</m:t>
                </m:r>
                <m:r>
                  <w:rPr>
                    <w:sz w:val="21"/>
                  </w:rPr>
                  <m:t>1</m:t>
                </m:r>
                <m:r>
                  <w:rPr>
                    <w:sz w:val="21"/>
                  </w:rPr>
                  <m:t>,</m:t>
                </m:r>
                <m:r>
                  <w:rPr>
                    <w:sz w:val="21"/>
                  </w:rPr>
                  <m:t>i</m:t>
                </m:r>
              </m:sub>
            </m:sSub>
            <m:r>
              <w:rPr>
                <w:sz w:val="21"/>
              </w:rPr>
              <m:t>|</m:t>
            </m:r>
          </m:num>
          <m:den>
            <m:r>
              <w:rPr>
                <w:sz w:val="21"/>
              </w:rPr>
              <m:t>max</m:t>
            </m:r>
            <m:r>
              <w:rPr>
                <w:sz w:val="21"/>
              </w:rPr>
              <m:t>⁡</m:t>
            </m:r>
            <m:r>
              <w:rPr>
                <w:sz w:val="21"/>
              </w:rPr>
              <m:t>(</m:t>
            </m:r>
            <m:sSub>
              <m:sSubPr/>
              <m:e>
                <m:r>
                  <w:rPr>
                    <w:sz w:val="21"/>
                  </w:rPr>
                  <m:t>σ</m:t>
                </m:r>
              </m:e>
              <m:sub>
                <m:r>
                  <w:rPr>
                    <w:sz w:val="21"/>
                  </w:rPr>
                  <m:t>Δ</m:t>
                </m:r>
                <m:r>
                  <w:rPr>
                    <w:sz w:val="21"/>
                  </w:rPr>
                  <m:t>y</m:t>
                </m:r>
                <m:r>
                  <w:rPr>
                    <w:sz w:val="21"/>
                  </w:rPr>
                  <m:t>,</m:t>
                </m:r>
                <m:r>
                  <w:rPr>
                    <w:sz w:val="21"/>
                  </w:rPr>
                  <m:t>i</m:t>
                </m:r>
              </m:sub>
            </m:sSub>
            <m:r>
              <w:rPr>
                <w:sz w:val="21"/>
              </w:rPr>
              <m:t>,</m:t>
            </m:r>
            <m:r>
              <w:rPr>
                <w:sz w:val="21"/>
              </w:rPr>
              <m:t>ε</m:t>
            </m:r>
            <m:r>
              <w:rPr>
                <w:sz w:val="21"/>
              </w:rPr>
              <m:t>)</m:t>
            </m:r>
          </m:den>
        </m:f>
        <m:r>
          <w:rPr>
            <w:sz w:val="21"/>
          </w:rPr>
          <m:t>,</m:t>
        </m:r>
      </m:oMath>
      <w:r>
        <w:tab/>
      </w:r>
      <w:r>
        <w:rPr>
          <w:rFonts w:ascii="Times New Roman" w:hAnsi="Times New Roman" w:cs="Times New Roman" w:eastAsia="宋体"/>
          <w:sz w:val="21"/>
        </w:rPr>
        <w:t>（2-2）</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73"/>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snapToGrid w:val="0"/>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snapToGrid w:val="0"/>
      </w:pPr>
      <w:r>
        <w:rPr>
          <w:rFonts w:ascii="Times New Roman" w:hAnsi="Times New Roman" w:cs="Times New Roman" w:eastAsia="宋体"/>
          <w:b w:val="0"/>
          <w:sz w:val="24"/>
        </w:rPr>
        <w:t>标签事件时间步的日内分布见图2-8，事件并非在一天内均匀出现。图2-9展示冻结规则窗口中四个标准化分量的节点平均贡献。该图描述旧回溯规则分数的构成，负荷变化分量仍依赖事后重构，不表示实时行为识别或分量对预测误差的因果贡献。</w:t>
      </w:r>
    </w:p>
    <w:p>
      <w:pPr>
        <w:spacing w:before="60" w:after="60" w:line="240" w:lineRule="auto"/>
        <w:ind w:firstLine="0"/>
        <w:jc w:val="center"/>
        <w:snapToGrid w:val="0"/>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74"/>
                    <a:stretch>
                      <a:fillRect/>
                    </a:stretch>
                  </pic:blipFill>
                  <pic:spPr>
                    <a:xfrm>
                      <a:off x="0" y="0"/>
                      <a:ext cx="5112000" cy="259881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图2-8 标签事件时间步的日内分布</w:t>
      </w:r>
    </w:p>
    <w:p>
      <w:pPr>
        <w:spacing w:before="0" w:after="0" w:line="300" w:lineRule="auto"/>
        <w:ind w:firstLine="480"/>
        <w:jc w:val="both"/>
        <w:snapToGrid w:val="0"/>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76839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5"/>
                    <a:stretch>
                      <a:fillRect/>
                    </a:stretch>
                  </pic:blipFill>
                  <pic:spPr>
                    <a:xfrm>
                      <a:off x="0" y="0"/>
                      <a:ext cx="5112000" cy="276839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图2-9 冻结规则事件窗口的分量构成</w:t>
      </w:r>
    </w:p>
    <w:p>
      <w:pPr>
        <w:spacing w:before="0" w:after="0" w:line="300" w:lineRule="auto"/>
        <w:ind w:firstLine="480"/>
        <w:jc w:val="both"/>
        <w:snapToGrid w:val="0"/>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snapToGrid w:val="0"/>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H</m:t>
        </m:r>
        <m:r>
          <w:rPr>
            <w:sz w:val="21"/>
          </w:rPr>
          <m:t>,</m:t>
        </m:r>
        <m:r>
          <w:rPr>
            <w:sz w:val="21"/>
          </w:rPr>
          <m:t>N</m:t>
        </m:r>
        <m:r>
          <w:rPr>
            <w:sz w:val="21"/>
          </w:rP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r>
          <w:rPr>
            <w:sz w:val="21"/>
          </w:rPr>
          <m:t>S</m:t>
        </m:r>
        <m:r>
          <w:rPr>
            <w:sz w:val="21"/>
          </w:rPr>
          <m:t>,</m:t>
        </m:r>
        <m:r>
          <w:rPr>
            <w:sz w:val="21"/>
          </w:rPr>
          <m:t>N</m:t>
        </m:r>
        <m:r>
          <w:rPr>
            <w:sz w:val="21"/>
          </w:rP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snapToGrid w:val="0"/>
      </w:pPr>
      <w:r>
        <w:rPr>
          <w:rFonts w:ascii="Times New Roman" w:hAnsi="Times New Roman" w:cs="Times New Roman" w:eastAsia="宋体"/>
          <w:b w:val="0"/>
          <w:sz w:val="18"/>
        </w:rPr>
        <w:t>注：target_event用于事后评价，旧rule_trigger用于回溯分层及规则路由；两者共同定义四格诊断，标签事件不进入规则路由。原始张量分别为[S,H,N]与[S,N]，后者广播到预测步后，1.43%和0.43%均以712,360个测试预测键为分母。旧标签的负荷跳变阈值采用全时期统计，旧规则含事后重构负荷差分，均不能解释为实时事件识别效果。</w:t>
      </w:r>
    </w:p>
    <w:p>
      <w:pPr>
        <w:spacing w:before="0" w:after="0" w:line="300" w:lineRule="auto"/>
        <w:ind w:firstLine="480"/>
        <w:jc w:val="both"/>
        <w:snapToGrid w:val="0"/>
      </w:pPr>
      <w:r>
        <w:rPr>
          <w:rFonts w:ascii="Times New Roman" w:hAnsi="Times New Roman" w:cs="Times New Roman" w:eastAsia="宋体"/>
          <w:b w:val="0"/>
          <w:sz w:val="24"/>
        </w:rPr>
        <w:t>逐节点验证统计见表2-6。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keepNext/>
        <w:snapToGrid w:val="0"/>
      </w:pPr>
      <w:r>
        <w:rPr>
          <w:rFonts w:ascii="Times New Roman" w:hAnsi="Times New Roman" w:cs="Times New Roman" w:eastAsia="黑体"/>
          <w:b w:val="0"/>
          <w:sz w:val="21"/>
        </w:rPr>
        <w:t>表2-6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0.067</w:t>
            </w:r>
          </w:p>
        </w:tc>
      </w:tr>
    </w:tbl>
    <w:p>
      <w:pPr>
        <w:spacing w:before="0" w:after="0" w:line="300" w:lineRule="auto"/>
        <w:ind w:firstLine="480"/>
        <w:jc w:val="both"/>
        <w:snapToGrid w:val="0"/>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snapToGrid w:val="0"/>
      </w:pPr>
      <w:r>
        <w:rPr>
          <w:rFonts w:ascii="Times New Roman" w:hAnsi="Times New Roman" w:cs="Times New Roman" w:eastAsia="黑体"/>
          <w:b/>
          <w:sz w:val="30"/>
        </w:rPr>
        <w:t>2.5 特征构成与输入结构</w:t>
      </w:r>
    </w:p>
    <w:p>
      <w:pPr>
        <w:spacing w:before="0" w:after="0" w:line="300" w:lineRule="auto"/>
        <w:ind w:firstLine="480"/>
        <w:jc w:val="both"/>
        <w:snapToGrid w:val="0"/>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-7。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keepNext/>
        <w:snapToGrid w:val="0"/>
      </w:pPr>
      <w:r>
        <w:rPr>
          <w:rFonts w:ascii="Times New Roman" w:hAnsi="Times New Roman" w:cs="Times New Roman" w:eastAsia="黑体"/>
          <w:b w:val="0"/>
          <w:sz w:val="21"/>
        </w:rPr>
        <w:t>表2-7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w:t>
            </w:r>
          </w:p>
        </w:tc>
      </w:tr>
    </w:tbl>
    <w:p>
      <w:pPr>
        <w:spacing w:before="0" w:after="0" w:line="300" w:lineRule="auto"/>
        <w:ind w:firstLine="480"/>
        <w:jc w:val="both"/>
        <w:snapToGrid w:val="0"/>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snapToGrid w:val="0"/>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7"/>
                    <a:stretch>
                      <a:fillRect/>
                    </a:stretch>
                  </pic:blipFill>
                  <pic:spPr>
                    <a:xfrm>
                      <a:off x="0" y="0"/>
                      <a:ext cx="5112000" cy="429434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图2-11 输入特征Spearman秩相关矩阵</w:t>
      </w:r>
    </w:p>
    <w:p>
      <w:pPr>
        <w:spacing w:before="0" w:after="0" w:line="300" w:lineRule="auto"/>
        <w:ind w:firstLine="480"/>
        <w:jc w:val="both"/>
        <w:snapToGrid w:val="0"/>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snapToGrid w:val="0"/>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snapToGrid w:val="0"/>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8"/>
                    <a:stretch>
                      <a:fillRect/>
                    </a:stretch>
                  </pic:blipFill>
                  <pic:spPr>
                    <a:xfrm>
                      <a:off x="0" y="0"/>
                      <a:ext cx="5112000" cy="246346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snapToGrid w:val="0"/>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snapToGrid w:val="0"/>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96</m:t>
        </m:r>
        <m:r>
          <w:rPr>
            <w:sz w:val="21"/>
          </w:rPr>
          <m:t>×</m:t>
        </m:r>
        <m:r>
          <w:rPr>
            <w:sz w:val="21"/>
          </w:rPr>
          <m:t>10</m:t>
        </m:r>
        <m:r>
          <w:rPr>
            <w:sz w:val="21"/>
          </w:rPr>
          <m:t>×</m:t>
        </m:r>
        <m:r>
          <w:rPr>
            <w:sz w:val="21"/>
          </w:rP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4</m:t>
        </m:r>
        <m:r>
          <w:rPr>
            <w:sz w:val="21"/>
          </w:rPr>
          <m:t>×</m:t>
        </m:r>
        <m:r>
          <w:rPr>
            <w:sz w:val="21"/>
          </w:rP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snapToGrid w:val="0"/>
      </w:pPr>
      <w:r>
        <w:rPr>
          <w:rFonts w:ascii="Times New Roman" w:hAnsi="Times New Roman" w:cs="Times New Roman" w:eastAsia="黑体"/>
          <w:b/>
          <w:sz w:val="30"/>
        </w:rPr>
        <w:t>2.6 数据特征对建模的启示</w:t>
      </w:r>
    </w:p>
    <w:p>
      <w:pPr>
        <w:spacing w:before="0" w:after="0" w:line="300" w:lineRule="auto"/>
        <w:ind w:firstLine="480"/>
        <w:jc w:val="both"/>
        <w:snapToGrid w:val="0"/>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snapToGrid w:val="0"/>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snapToGrid w:val="0"/>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snapToGrid w:val="0"/>
      </w:pPr>
      <w:r>
        <w:rPr>
          <w:rFonts w:ascii="Times New Roman" w:hAnsi="Times New Roman" w:cs="Times New Roman" w:eastAsia="宋体"/>
          <w:b w:val="0"/>
          <w:sz w:val="24"/>
        </w:rPr>
        <w:t>第三，旧定义下目标侧标签事件占测试预测键1.43%，冻结回溯规则触发占0.43%，二者既稀少又存在错位。第4章用四格诊断区分它们，第5章检验规则路由的区间覆盖；相关结果不证明实时事件识别，也不预先保证规则能够降低点预测误差。</w:t>
      </w:r>
    </w:p>
    <w:p>
      <w:pPr>
        <w:spacing w:before="0" w:after="0" w:line="300" w:lineRule="auto"/>
        <w:ind w:firstLine="480"/>
        <w:jc w:val="both"/>
        <w:snapToGrid w:val="0"/>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snapToGrid w:val="0"/>
      </w:pPr>
      <w:r>
        <w:rPr>
          <w:rFonts w:ascii="Times New Roman" w:hAnsi="Times New Roman" w:cs="Times New Roman" w:eastAsia="黑体"/>
          <w:b/>
          <w:sz w:val="30"/>
        </w:rPr>
        <w:t>2.7 本章小结</w:t>
      </w:r>
    </w:p>
    <w:p>
      <w:pPr>
        <w:spacing w:before="0" w:after="0" w:line="300" w:lineRule="auto"/>
        <w:ind w:firstLine="480"/>
        <w:jc w:val="both"/>
        <w:snapToGrid w:val="0"/>
      </w:pPr>
      <w:r>
        <w:rPr>
          <w:rFonts w:ascii="Times New Roman" w:hAnsi="Times New Roman" w:cs="Times New Roman" w:eastAsia="宋体"/>
          <w:b w:val="0"/>
          <w:sz w:val="24"/>
        </w:rPr>
        <w:t>本章说明了会话记录到节点预测张量的数据链路。31,424条记录覆盖约3.39年，按15 min重构后形成118,818步、55候选节点的数据；筛选后的10主节点涉及11,085条会话。所得变量是会话总电量均匀分摊得到的代理能量，不是电表功率。六项筛选只依赖训练与验证统计，九项门禁检查网格、标识、张量和原点划分等对象；这些检查通过不等于全部输入实时可见或目标窗口严格留段。旧上游全时期统计及边界窗口限制已在2.1.1节说明，新协议另行收紧输入和切分契约。</w:t>
      </w:r>
    </w:p>
    <w:p>
      <w:pPr>
        <w:spacing w:before="0" w:after="0" w:line="300" w:lineRule="auto"/>
        <w:ind w:firstLine="480"/>
        <w:jc w:val="both"/>
        <w:snapToGrid w:val="0"/>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snapToGrid w:val="0"/>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63"/>
          <w:headerReference w:type="even" r:id="rId64"/>
          <w:footerReference w:type="default" r:id="rId65"/>
          <w:footerReference w:type="even" r:id="rId6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snapToGrid w:val="0"/>
      </w:pPr>
      <w:r>
        <w:rPr>
          <w:rFonts w:ascii="Times New Roman" w:hAnsi="Times New Roman" w:cs="Times New Roman" w:eastAsia="黑体"/>
          <w:b/>
          <w:sz w:val="30"/>
        </w:rPr>
        <w:t>3.1 引言</w:t>
      </w:r>
    </w:p>
    <w:p>
      <w:pPr>
        <w:spacing w:before="0" w:after="0" w:line="300" w:lineRule="auto"/>
        <w:ind w:firstLine="480"/>
        <w:jc w:val="both"/>
        <w:snapToGrid w:val="0"/>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snapToGrid w:val="0"/>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snapToGrid w:val="0"/>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83"/>
                    <a:stretch>
                      <a:fillRect/>
                    </a:stretch>
                  </pic:blipFill>
                  <pic:spPr>
                    <a:xfrm>
                      <a:off x="0" y="0"/>
                      <a:ext cx="5112000" cy="681600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 MRG-GCN整体架构</w:t>
      </w:r>
    </w:p>
    <w:p>
      <w:pPr>
        <w:spacing w:before="0" w:after="0" w:line="300" w:lineRule="auto"/>
        <w:ind w:firstLine="480"/>
        <w:jc w:val="both"/>
        <w:snapToGrid w:val="0"/>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snapToGrid w:val="0"/>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图3-2 多关系门控传播单元</w:t>
      </w:r>
    </w:p>
    <w:p>
      <w:pPr>
        <w:spacing w:before="0" w:after="0" w:line="300" w:lineRule="auto"/>
        <w:ind w:firstLine="480"/>
        <w:jc w:val="both"/>
        <w:snapToGrid w:val="0"/>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85"/>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图3-3 时间编码与跨层融合预测结构</w:t>
      </w:r>
    </w:p>
    <w:p>
      <w:pPr>
        <w:spacing w:before="0" w:after="0" w:line="300" w:lineRule="auto"/>
        <w:ind w:firstLine="480"/>
        <w:jc w:val="both"/>
        <w:snapToGrid w:val="0"/>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仅作为第二层传播输入。</w:t>
      </w:r>
    </w:p>
    <w:p>
      <w:pPr>
        <w:spacing w:before="360" w:after="240" w:line="360" w:lineRule="auto"/>
        <w:ind w:firstLine="0"/>
        <w:jc w:val="both"/>
        <w:outlineLvl w:val="1"/>
        <w:snapToGrid w:val="0"/>
      </w:pPr>
      <w:r>
        <w:rPr>
          <w:rFonts w:ascii="Times New Roman" w:hAnsi="Times New Roman" w:cs="Times New Roman" w:eastAsia="黑体"/>
          <w:b/>
          <w:sz w:val="30"/>
        </w:rPr>
        <w:t>3.2 预测任务形式化定义</w:t>
      </w:r>
    </w:p>
    <w:p>
      <w:pPr>
        <w:spacing w:before="0" w:after="0" w:line="300" w:lineRule="auto"/>
        <w:ind w:firstLine="480"/>
        <w:jc w:val="both"/>
        <w:snapToGrid w:val="0"/>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𝒱</m:t>
        </m:r>
        <m:r>
          <w:rPr>
            <w:sz w:val="21"/>
          </w:rPr>
          <m:t>=</m:t>
        </m:r>
        <m:r>
          <w:rPr>
            <w:sz w:val="21"/>
          </w:rPr>
          <m:t>{</m:t>
        </m:r>
        <m:sSub>
          <m:sSubPr/>
          <m:e>
            <m:r>
              <w:rPr>
                <w:sz w:val="21"/>
              </w:rPr>
              <m:t>v</m:t>
            </m:r>
          </m:e>
          <m:sub>
            <m:r>
              <w:rPr>
                <w:sz w:val="21"/>
              </w:rPr>
              <m:t>1</m:t>
            </m:r>
          </m:sub>
        </m:sSub>
        <m:r>
          <w:rPr>
            <w:sz w:val="21"/>
          </w:rPr>
          <m:t>,</m:t>
        </m:r>
        <m:r>
          <w:rPr>
            <w:sz w:val="21"/>
          </w:rPr>
          <m:t>…</m:t>
        </m:r>
        <m:r>
          <w:rPr>
            <w:sz w:val="21"/>
          </w:rPr>
          <m:t>,</m:t>
        </m:r>
        <m:sSub>
          <m:sSubPr/>
          <m:e>
            <m:r>
              <w:rPr>
                <w:sz w:val="21"/>
              </w:rPr>
              <m:t>v</m:t>
            </m:r>
          </m:e>
          <m:sub>
            <m:r>
              <w:rPr>
                <w:sz w:val="21"/>
              </w:rPr>
              <m:t>N</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m:t>
        </m:r>
        <m:r>
          <w:rPr>
            <w:sz w:val="21"/>
          </w:rP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𝐗</m:t>
            </m:r>
          </m:e>
          <m:sub>
            <m:r>
              <w:rPr>
                <w:sz w:val="21"/>
              </w:rPr>
              <m:t>o</m:t>
            </m:r>
          </m:sub>
        </m:sSub>
        <m:r>
          <w:rPr>
            <w:sz w:val="21"/>
          </w:rPr>
          <m:t>∈</m:t>
        </m:r>
        <m:sSup>
          <m:sSupPr/>
          <m:e>
            <m:r>
              <w:rPr>
                <w:sz w:val="21"/>
              </w:rPr>
              <m:t>ℝ</m:t>
            </m:r>
          </m:e>
          <m:sup>
            <m:r>
              <w:rPr>
                <w:sz w:val="21"/>
              </w:rPr>
              <m:t>H</m:t>
            </m:r>
            <m:r>
              <w:rPr>
                <w:sz w:val="21"/>
              </w:rPr>
              <m:t>×</m:t>
            </m:r>
            <m:r>
              <w:rPr>
                <w:sz w:val="21"/>
              </w:rPr>
              <m:t>N</m:t>
            </m:r>
            <m:r>
              <w:rPr>
                <w:sz w:val="21"/>
              </w:rPr>
              <m:t>×</m:t>
            </m:r>
            <m:r>
              <w:rPr>
                <w:sz w:val="21"/>
              </w:rPr>
              <m:t>F</m:t>
            </m:r>
          </m:sup>
        </m:sSup>
        <m:r>
          <w:rPr>
            <w:sz w:val="21"/>
          </w:rPr>
          <m:t>,</m:t>
        </m:r>
        <m:r>
          <w:rPr>
            <w:sz w:val="21"/>
          </w:rPr>
          <m:t>H</m:t>
        </m:r>
        <m:r>
          <w:rPr>
            <w:sz w:val="21"/>
          </w:rPr>
          <m:t>=</m:t>
        </m:r>
        <m:r>
          <w:rPr>
            <w:sz w:val="21"/>
          </w:rPr>
          <m:t>96</m:t>
        </m:r>
        <m:r>
          <w:rPr>
            <w:sz w:val="21"/>
          </w:rPr>
          <m:t>,</m:t>
        </m:r>
        <m:r>
          <w:rPr>
            <w:sz w:val="21"/>
          </w:rPr>
          <m:t> </m:t>
        </m:r>
        <m:r>
          <w:rPr>
            <w:sz w:val="21"/>
          </w:rPr>
          <m:t>F</m:t>
        </m:r>
        <m:r>
          <w:rPr>
            <w:sz w:val="21"/>
          </w:rPr>
          <m:t>=</m:t>
        </m:r>
        <m:r>
          <w:rPr>
            <w:sz w:val="21"/>
          </w:rPr>
          <m:t>7</m:t>
        </m:r>
        <m:r>
          <w:rPr>
            <w:sz w:val="21"/>
          </w:rPr>
          <m:t>,</m:t>
        </m:r>
      </m:oMath>
      <w:r>
        <w:tab/>
      </w:r>
      <w:r>
        <w:rPr>
          <w:rFonts w:ascii="Times New Roman" w:hAnsi="Times New Roman" w:cs="Times New Roman" w:eastAsia="宋体"/>
          <w:sz w:val="21"/>
        </w:rPr>
        <w:t>（3-1）</w:t>
      </w:r>
    </w:p>
    <w:p>
      <w:pPr>
        <w:spacing w:before="0" w:after="0" w:line="300" w:lineRule="auto"/>
        <w:ind w:firstLine="480"/>
        <w:jc w:val="both"/>
        <w:snapToGrid w:val="0"/>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𝐘</m:t>
                </m:r>
              </m:e>
            </m:acc>
          </m:e>
          <m:sub>
            <m:r>
              <w:rPr>
                <w:sz w:val="21"/>
              </w:rPr>
              <m:t>o</m:t>
            </m:r>
          </m:sub>
        </m:sSub>
        <m:r>
          <w:rPr>
            <w:sz w:val="21"/>
          </w:rPr>
          <m:t>=</m:t>
        </m:r>
        <m:sSub>
          <m:sSubPr/>
          <m:e>
            <m:r>
              <w:rPr>
                <w:sz w:val="21"/>
              </w:rPr>
              <m:t>f</m:t>
            </m:r>
          </m:e>
          <m:sub>
            <m:r>
              <w:rPr>
                <w:sz w:val="21"/>
              </w:rPr>
              <m:t>θ</m:t>
            </m:r>
          </m:sub>
        </m:sSub>
        <m:r>
          <w:rPr>
            <w:sz w:val="21"/>
          </w:rPr>
          <m:t>(</m:t>
        </m:r>
        <m:sSub>
          <m:sSubPr/>
          <m:e>
            <m:r>
              <w:rPr>
                <w:sz w:val="21"/>
              </w:rPr>
              <m:t>𝐗</m:t>
            </m:r>
          </m:e>
          <m:sub>
            <m:r>
              <w:rPr>
                <w:sz w:val="21"/>
              </w:rPr>
              <m:t>o</m:t>
            </m:r>
          </m:sub>
        </m:sSub>
        <m:r>
          <w:rPr>
            <w:sz w:val="21"/>
          </w:rPr>
          <m:t>,</m:t>
        </m:r>
        <m:r>
          <w:rPr>
            <w:sz w:val="21"/>
          </w:rPr>
          <m:t>𝒜</m:t>
        </m:r>
        <m:r>
          <w:rPr>
            <w:sz w:val="21"/>
          </w:rPr>
          <m:t>)</m:t>
        </m:r>
        <m:r>
          <w:rPr>
            <w:sz w:val="21"/>
          </w:rPr>
          <m:t>,</m:t>
        </m:r>
        <m:sSub>
          <m:sSubPr/>
          <m:e>
            <m:acc>
              <m:accPr>
                <m:chr m:val="̂"/>
              </m:accPr>
              <m:e>
                <m:r>
                  <w:rPr>
                    <w:sz w:val="21"/>
                  </w:rPr>
                  <m:t>𝐘</m:t>
                </m:r>
              </m:e>
            </m:acc>
          </m:e>
          <m:sub>
            <m:r>
              <w:rPr>
                <w:sz w:val="21"/>
              </w:rPr>
              <m:t>o</m:t>
            </m:r>
          </m:sub>
        </m:sSub>
        <m:r>
          <w:rPr>
            <w:sz w:val="21"/>
          </w:rPr>
          <m:t>,</m:t>
        </m:r>
        <m:sSub>
          <m:sSubPr/>
          <m:e>
            <m:r>
              <w:rPr>
                <w:sz w:val="21"/>
              </w:rPr>
              <m:t>𝐘</m:t>
            </m:r>
          </m:e>
          <m:sub>
            <m:r>
              <w:rPr>
                <w:sz w:val="21"/>
              </w:rPr>
              <m:t>o</m:t>
            </m:r>
          </m:sub>
        </m:sSub>
        <m:r>
          <w:rPr>
            <w:sz w:val="21"/>
          </w:rPr>
          <m:t>∈</m:t>
        </m:r>
        <m:sSup>
          <m:sSupPr/>
          <m:e>
            <m:r>
              <w:rPr>
                <w:sz w:val="21"/>
              </w:rPr>
              <m:t>ℝ</m:t>
            </m:r>
          </m:e>
          <m:sup>
            <m:r>
              <w:rPr>
                <w:sz w:val="21"/>
              </w:rPr>
              <m:t>P</m:t>
            </m:r>
            <m:r>
              <w:rPr>
                <w:sz w:val="21"/>
              </w:rPr>
              <m:t>×</m:t>
            </m:r>
            <m:r>
              <w:rPr>
                <w:sz w:val="21"/>
              </w:rPr>
              <m:t>N</m:t>
            </m:r>
          </m:sup>
        </m:sSup>
        <m:r>
          <w:rPr>
            <w:sz w:val="21"/>
          </w:rPr>
          <m:t>,</m:t>
        </m:r>
        <m:r>
          <w:rPr>
            <w:sz w:val="21"/>
          </w:rPr>
          <m:t> </m:t>
        </m:r>
        <m:r>
          <w:rPr>
            <w:sz w:val="21"/>
          </w:rPr>
          <m:t>P</m:t>
        </m:r>
        <m:r>
          <w:rPr>
            <w:sz w:val="21"/>
          </w:rPr>
          <m:t>=</m:t>
        </m:r>
        <m:r>
          <w:rPr>
            <w:sz w:val="21"/>
          </w:rPr>
          <m:t>4</m:t>
        </m:r>
        <m:r>
          <w:rPr>
            <w:sz w:val="21"/>
          </w:rPr>
          <m:t>,</m:t>
        </m:r>
      </m:oMath>
      <w:r>
        <w:tab/>
      </w:r>
      <w:r>
        <w:rPr>
          <w:rFonts w:ascii="Times New Roman" w:hAnsi="Times New Roman" w:cs="Times New Roman" w:eastAsia="宋体"/>
          <w:sz w:val="21"/>
        </w:rPr>
        <w:t>（3-2）</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f</m:t>
            </m:r>
          </m:e>
          <m:sub>
            <m:r>
              <w:rPr>
                <w:sz w:val="21"/>
              </w:rP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snapToGrid w:val="0"/>
      </w:pPr>
      <w:r>
        <w:rPr>
          <w:rFonts w:ascii="Times New Roman" w:hAnsi="Times New Roman" w:cs="Times New Roman" w:eastAsia="黑体"/>
          <w:b/>
          <w:sz w:val="30"/>
        </w:rPr>
        <w:t>3.3 场景驱动的LRE三关系图构建</w:t>
      </w:r>
    </w:p>
    <w:p>
      <w:pPr>
        <w:spacing w:before="0" w:after="0" w:line="300" w:lineRule="auto"/>
        <w:ind w:firstLine="480"/>
        <w:jc w:val="both"/>
        <w:snapToGrid w:val="0"/>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图3-4 LRE三关系构建流程</w:t>
      </w:r>
    </w:p>
    <w:p>
      <w:pPr>
        <w:spacing w:before="0" w:after="0" w:line="300" w:lineRule="auto"/>
        <w:ind w:firstLine="480"/>
        <w:jc w:val="both"/>
        <w:snapToGrid w:val="0"/>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snapToGrid w:val="0"/>
      </w:pPr>
      <w:r>
        <w:rPr>
          <w:rFonts w:ascii="Times New Roman" w:hAnsi="Times New Roman" w:cs="Times New Roman" w:eastAsia="黑体"/>
          <w:b w:val="0"/>
          <w:sz w:val="28"/>
        </w:rPr>
        <w:t>3.3.1 负荷耦合关系图</w:t>
      </w:r>
    </w:p>
    <w:p>
      <w:pPr>
        <w:spacing w:before="0" w:after="0" w:line="300" w:lineRule="auto"/>
        <w:ind w:firstLine="480"/>
        <w:jc w:val="both"/>
        <w:snapToGrid w:val="0"/>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𝐥</m:t>
            </m:r>
          </m:e>
          <m:sub>
            <m:r>
              <w:rPr>
                <w:sz w:val="21"/>
              </w:rPr>
              <m:t>i</m:t>
            </m:r>
          </m:sub>
        </m:sSub>
        <m:r>
          <w:rPr>
            <w:sz w:val="21"/>
          </w:rPr>
          <m:t>∈</m:t>
        </m:r>
        <m:sSup>
          <m:sSupPr/>
          <m:e>
            <m:r>
              <w:rPr>
                <w:sz w:val="21"/>
              </w:rPr>
              <m:t>ℝ</m:t>
            </m:r>
          </m:e>
          <m:sup>
            <m:r>
              <w:rPr>
                <w:sz w:val="21"/>
              </w:rP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load</m:t>
            </m:r>
          </m:sup>
        </m:sSubSup>
        <m:r>
          <w:rPr>
            <w:sz w:val="21"/>
          </w:rPr>
          <m:t>=</m:t>
        </m:r>
        <m:r>
          <w:rPr>
            <w:sz w:val="21"/>
          </w:rPr>
          <m:t>|</m:t>
        </m:r>
        <m:f>
          <m:num>
            <m:sSup>
              <m:sSupPr/>
              <m:e>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r>
                  <w:rPr>
                    <w:sz w:val="21"/>
                  </w:rPr>
                  <m:t>)</m:t>
                </m:r>
              </m:e>
              <m:sup>
                <m:r>
                  <w:rPr>
                    <w:sz w:val="21"/>
                  </w:rPr>
                  <m:t>𝖳</m:t>
                </m:r>
              </m:sup>
            </m:sSup>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r>
              <w:rPr>
                <w:sz w:val="21"/>
              </w:rPr>
              <m:t>)</m:t>
            </m:r>
          </m:num>
          <m:den>
            <m:r>
              <w:rPr>
                <w:sz w:val="21"/>
              </w:rPr>
              <m:t>‖</m:t>
            </m:r>
            <m:sSub>
              <m:sSubPr/>
              <m:e>
                <m:r>
                  <w:rPr>
                    <w:sz w:val="21"/>
                  </w:rPr>
                  <m:t>𝐥</m:t>
                </m:r>
              </m:e>
              <m:sub>
                <m:r>
                  <w:rPr>
                    <w:sz w:val="21"/>
                  </w:rPr>
                  <m:t>i</m:t>
                </m:r>
              </m:sub>
            </m:sSub>
            <m:r>
              <w:rPr>
                <w:sz w:val="21"/>
              </w:rPr>
              <m:t>−</m:t>
            </m:r>
            <m:sSub>
              <m:sSubPr/>
              <m:e>
                <m:r>
                  <w:rPr>
                    <w:sz w:val="21"/>
                  </w:rPr>
                  <m:t>l</m:t>
                </m:r>
                <m:r>
                  <w:rPr>
                    <w:sz w:val="21"/>
                  </w:rPr>
                  <m:t>‾</m:t>
                </m:r>
              </m:e>
              <m:sub>
                <m:r>
                  <w:rPr>
                    <w:sz w:val="21"/>
                  </w:rPr>
                  <m:t>i</m:t>
                </m:r>
              </m:sub>
            </m:sSub>
            <m:sSub>
              <m:sSubPr/>
              <m:e>
                <m:r>
                  <w:rPr>
                    <w:sz w:val="21"/>
                  </w:rPr>
                  <m:t>‖</m:t>
                </m:r>
              </m:e>
              <m:sub>
                <m:r>
                  <w:rPr>
                    <w:sz w:val="21"/>
                  </w:rPr>
                  <m:t>2</m:t>
                </m:r>
              </m:sub>
            </m:sSub>
            <m:r>
              <w:rPr>
                <w:sz w:val="21"/>
              </w:rPr>
              <m:t>‖</m:t>
            </m:r>
            <m:sSub>
              <m:sSubPr/>
              <m:e>
                <m:r>
                  <w:rPr>
                    <w:sz w:val="21"/>
                  </w:rPr>
                  <m:t>𝐥</m:t>
                </m:r>
              </m:e>
              <m:sub>
                <m:r>
                  <w:rPr>
                    <w:sz w:val="21"/>
                  </w:rPr>
                  <m:t>j</m:t>
                </m:r>
              </m:sub>
            </m:sSub>
            <m:r>
              <w:rPr>
                <w:sz w:val="21"/>
              </w:rPr>
              <m:t>−</m:t>
            </m:r>
            <m:sSub>
              <m:sSubPr/>
              <m:e>
                <m:r>
                  <w:rPr>
                    <w:sz w:val="21"/>
                  </w:rPr>
                  <m:t>l</m:t>
                </m:r>
                <m:r>
                  <w:rPr>
                    <w:sz w:val="21"/>
                  </w:rPr>
                  <m:t>‾</m:t>
                </m:r>
              </m:e>
              <m:sub>
                <m:r>
                  <w:rPr>
                    <w:sz w:val="21"/>
                  </w:rPr>
                  <m:t>j</m:t>
                </m:r>
              </m:sub>
            </m:sSub>
            <m:sSub>
              <m:sSubPr/>
              <m:e>
                <m:r>
                  <w:rPr>
                    <w:sz w:val="21"/>
                  </w:rPr>
                  <m:t>‖</m:t>
                </m:r>
              </m:e>
              <m:sub>
                <m:r>
                  <w:rPr>
                    <w:sz w:val="21"/>
                  </w:rPr>
                  <m:t>2</m:t>
                </m:r>
              </m:sub>
            </m:sSub>
          </m:den>
        </m:f>
        <m:r>
          <w:rPr>
            <w:sz w:val="21"/>
          </w:rPr>
          <m:t>|</m:t>
        </m:r>
        <m:r>
          <w:rPr>
            <w:sz w:val="21"/>
          </w:rPr>
          <m:t>.</m:t>
        </m:r>
      </m:oMath>
      <w:r>
        <w:tab/>
      </w:r>
      <w:r>
        <w:rPr>
          <w:rFonts w:ascii="Times New Roman" w:hAnsi="Times New Roman" w:cs="Times New Roman" w:eastAsia="宋体"/>
          <w:sz w:val="21"/>
        </w:rPr>
        <w:t>（3-3）</w:t>
      </w:r>
    </w:p>
    <w:p>
      <w:pPr>
        <w:spacing w:before="0" w:after="0" w:line="300" w:lineRule="auto"/>
        <w:ind w:firstLine="480"/>
        <w:jc w:val="both"/>
        <w:snapToGrid w:val="0"/>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snapToGrid w:val="0"/>
      </w:pPr>
      <w:r>
        <w:rPr>
          <w:rFonts w:ascii="Times New Roman" w:hAnsi="Times New Roman" w:cs="Times New Roman" w:eastAsia="黑体"/>
          <w:b w:val="0"/>
          <w:sz w:val="28"/>
        </w:rPr>
        <w:t>3.3.2 行为共现关系图</w:t>
      </w:r>
    </w:p>
    <w:p>
      <w:pPr>
        <w:spacing w:before="0" w:after="0" w:line="300" w:lineRule="auto"/>
        <w:ind w:firstLine="480"/>
        <w:jc w:val="both"/>
        <w:snapToGrid w:val="0"/>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i</m:t>
        </m:r>
      </m:oMath>
      <w:r>
        <w:rPr>
          <w:rFonts w:ascii="Times New Roman" w:hAnsi="Times New Roman" w:cs="Times New Roman" w:eastAsia="宋体"/>
          <w:b w:val="0"/>
          <w:sz w:val="24"/>
        </w:rPr>
        <w:t>构造行为序列</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𝐛</m:t>
            </m:r>
          </m:e>
          <m:sub>
            <m:r>
              <w:rPr>
                <w:sz w:val="21"/>
              </w:rPr>
              <m:t>i</m:t>
            </m:r>
          </m:sub>
        </m:sSub>
        <m:r>
          <w:rPr>
            <w:sz w:val="21"/>
          </w:rPr>
          <m:t>=</m:t>
        </m:r>
        <m:sSubSup>
          <m:sSubSupPr/>
          <m:e>
            <m:r>
              <w:rPr>
                <w:sz w:val="21"/>
              </w:rPr>
              <m:t>𝐱</m:t>
            </m:r>
          </m:e>
          <m:sub>
            <m:r>
              <w:rPr>
                <w:sz w:val="21"/>
              </w:rPr>
              <m:t>i</m:t>
            </m:r>
          </m:sub>
          <m:sup>
            <m:r>
              <w:rPr>
                <w:sz w:val="21"/>
              </w:rPr>
              <m:t>access</m:t>
            </m:r>
          </m:sup>
        </m:sSubSup>
        <m:r>
          <w:rPr>
            <w:sz w:val="21"/>
          </w:rPr>
          <m:t>+</m:t>
        </m:r>
        <m:sSubSup>
          <m:sSubSupPr/>
          <m:e>
            <m:r>
              <w:rPr>
                <w:sz w:val="21"/>
              </w:rPr>
              <m:t>𝐱</m:t>
            </m:r>
          </m:e>
          <m:sub>
            <m:r>
              <w:rPr>
                <w:sz w:val="21"/>
              </w:rPr>
              <m:t>i</m:t>
            </m:r>
          </m:sub>
          <m:sup>
            <m:r>
              <w:rPr>
                <w:sz w:val="21"/>
              </w:rPr>
              <m:t>departure</m:t>
            </m:r>
          </m:sup>
        </m:sSubSup>
        <m:r>
          <w:rPr>
            <w:sz w:val="21"/>
          </w:rPr>
          <m:t>+</m:t>
        </m:r>
        <m:r>
          <w:rPr>
            <w:sz w:val="21"/>
          </w:rPr>
          <m:t>|</m:t>
        </m:r>
        <m:r>
          <w:rPr>
            <w:sz w:val="21"/>
          </w:rPr>
          <m:t>Δ</m:t>
        </m:r>
        <m:sSubSup>
          <m:sSubSupPr/>
          <m:e>
            <m:r>
              <w:rPr>
                <w:sz w:val="21"/>
              </w:rPr>
              <m:t>𝐱</m:t>
            </m:r>
          </m:e>
          <m:sub>
            <m:r>
              <w:rPr>
                <w:sz w:val="21"/>
              </w:rPr>
              <m:t>i</m:t>
            </m:r>
          </m:sub>
          <m:sup>
            <m:r>
              <w:rPr>
                <w:sz w:val="21"/>
              </w:rPr>
              <m:t>active</m:t>
            </m:r>
          </m:sup>
        </m:sSubSup>
        <m:r>
          <w:rPr>
            <w:sz w:val="21"/>
          </w:rP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A</m:t>
            </m:r>
          </m:e>
          <m:sub>
            <m:r>
              <w:rPr>
                <w:sz w:val="21"/>
              </w:rPr>
              <m:t>i</m:t>
            </m:r>
            <m:r>
              <w:rPr>
                <w:sz w:val="21"/>
              </w:rPr>
              <m:t>j</m:t>
            </m:r>
          </m:sub>
          <m:sup>
            <m:r>
              <w:rPr>
                <w:sz w:val="21"/>
              </w:rPr>
              <m:t>event</m:t>
            </m:r>
          </m:sup>
        </m:sSubSup>
        <m:r>
          <w:rPr>
            <w:sz w:val="21"/>
          </w:rPr>
          <m:t>=</m:t>
        </m:r>
        <m:f>
          <m:num>
            <m:sSubSup>
              <m:sSubSupPr/>
              <m:e>
                <m:r>
                  <w:rPr>
                    <w:sz w:val="21"/>
                  </w:rPr>
                  <m:t>𝐛</m:t>
                </m:r>
              </m:e>
              <m:sub>
                <m:r>
                  <w:rPr>
                    <w:sz w:val="21"/>
                  </w:rPr>
                  <m:t>i</m:t>
                </m:r>
              </m:sub>
              <m:sup>
                <m:r>
                  <w:rPr>
                    <w:sz w:val="21"/>
                  </w:rPr>
                  <m:t>𝖳</m:t>
                </m:r>
              </m:sup>
            </m:sSubSup>
            <m:sSub>
              <m:sSubPr/>
              <m:e>
                <m:r>
                  <w:rPr>
                    <w:sz w:val="21"/>
                  </w:rPr>
                  <m:t>𝐛</m:t>
                </m:r>
              </m:e>
              <m:sub>
                <m:r>
                  <w:rPr>
                    <w:sz w:val="21"/>
                  </w:rPr>
                  <m:t>j</m:t>
                </m:r>
              </m:sub>
            </m:sSub>
          </m:num>
          <m:den>
            <m:r>
              <w:rPr>
                <w:sz w:val="21"/>
              </w:rPr>
              <m:t>‖</m:t>
            </m:r>
            <m:sSub>
              <m:sSubPr/>
              <m:e>
                <m:r>
                  <w:rPr>
                    <w:sz w:val="21"/>
                  </w:rPr>
                  <m:t>𝐛</m:t>
                </m:r>
              </m:e>
              <m:sub>
                <m:r>
                  <w:rPr>
                    <w:sz w:val="21"/>
                  </w:rPr>
                  <m:t>i</m:t>
                </m:r>
              </m:sub>
            </m:sSub>
            <m:sSub>
              <m:sSubPr/>
              <m:e>
                <m:r>
                  <w:rPr>
                    <w:sz w:val="21"/>
                  </w:rPr>
                  <m:t>‖</m:t>
                </m:r>
              </m:e>
              <m:sub>
                <m:r>
                  <w:rPr>
                    <w:sz w:val="21"/>
                  </w:rPr>
                  <m:t>2</m:t>
                </m:r>
              </m:sub>
            </m:sSub>
            <m:r>
              <w:rPr>
                <w:sz w:val="21"/>
              </w:rPr>
              <m:t>‖</m:t>
            </m:r>
            <m:sSub>
              <m:sSubPr/>
              <m:e>
                <m:r>
                  <w:rPr>
                    <w:sz w:val="21"/>
                  </w:rPr>
                  <m:t>𝐛</m:t>
                </m:r>
              </m:e>
              <m:sub>
                <m:r>
                  <w:rPr>
                    <w:sz w:val="21"/>
                  </w:rPr>
                  <m:t>j</m:t>
                </m:r>
              </m:sub>
            </m:sSub>
            <m:sSub>
              <m:sSubPr/>
              <m:e>
                <m:r>
                  <w:rPr>
                    <w:sz w:val="21"/>
                  </w:rPr>
                  <m:t>‖</m:t>
                </m:r>
              </m:e>
              <m:sub>
                <m:r>
                  <w:rPr>
                    <w:sz w:val="21"/>
                  </w:rPr>
                  <m:t>2</m:t>
                </m:r>
              </m:sub>
            </m:sSub>
          </m:den>
        </m:f>
        <m:r>
          <w:rPr>
            <w:sz w:val="21"/>
          </w:rPr>
          <m:t>.</m:t>
        </m:r>
      </m:oMath>
      <w:r>
        <w:tab/>
      </w:r>
      <w:r>
        <w:rPr>
          <w:rFonts w:ascii="Times New Roman" w:hAnsi="Times New Roman" w:cs="Times New Roman" w:eastAsia="宋体"/>
          <w:sz w:val="21"/>
        </w:rPr>
        <w:t>（3-4）</w:t>
      </w:r>
    </w:p>
    <w:p>
      <w:pPr>
        <w:spacing w:before="0" w:after="0" w:line="300" w:lineRule="auto"/>
        <w:ind w:firstLine="480"/>
        <w:jc w:val="both"/>
        <w:snapToGrid w:val="0"/>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snapToGrid w:val="0"/>
      </w:pPr>
      <w:r>
        <w:rPr>
          <w:rFonts w:ascii="Times New Roman" w:hAnsi="Times New Roman" w:cs="Times New Roman" w:eastAsia="黑体"/>
          <w:b w:val="0"/>
          <w:sz w:val="28"/>
        </w:rPr>
        <w:t>3.3.3 轮廓相似关系图</w:t>
      </w:r>
    </w:p>
    <w:p>
      <w:pPr>
        <w:spacing w:before="0" w:after="0" w:line="300" w:lineRule="auto"/>
        <w:ind w:firstLine="480"/>
        <w:jc w:val="both"/>
        <w:snapToGrid w:val="0"/>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𝐩</m:t>
            </m:r>
          </m:e>
          <m:sub>
            <m:r>
              <w:rPr>
                <w:sz w:val="21"/>
              </w:rPr>
              <m:t>i</m:t>
            </m:r>
          </m:sub>
        </m:sSub>
        <m:r>
          <w:rPr>
            <w:sz w:val="21"/>
          </w:rPr>
          <m:t>∈</m:t>
        </m:r>
        <m:sSup>
          <m:sSupPr/>
          <m:e>
            <m:r>
              <w:rPr>
                <w:sz w:val="21"/>
              </w:rPr>
              <m:t>ℝ</m:t>
            </m:r>
          </m:e>
          <m:sup>
            <m:r>
              <w:rPr>
                <w:sz w:val="21"/>
              </w:rP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i</m:t>
            </m:r>
            <m:r>
              <w:rPr>
                <w:sz w:val="21"/>
              </w:rPr>
              <m:t>j</m:t>
            </m:r>
          </m:sub>
        </m:sSub>
        <m:r>
          <w:rPr>
            <w:sz w:val="21"/>
          </w:rPr>
          <m:t>=</m:t>
        </m:r>
        <m:rad>
          <m:radPr>
            <m:degHide m:val="1"/>
          </m:radPr>
          <m:deg/>
          <m:e>
            <m:f>
              <m:num>
                <m:r>
                  <w:rPr>
                    <w:sz w:val="21"/>
                  </w:rPr>
                  <m:t>1</m:t>
                </m:r>
              </m:num>
              <m:den>
                <m:r>
                  <w:rPr>
                    <w:sz w:val="21"/>
                  </w:rPr>
                  <m:t>96</m:t>
                </m:r>
              </m:den>
            </m:f>
            <m:sSubSup>
              <m:sSubSupPr/>
              <m:e>
                <m:r>
                  <w:rPr>
                    <w:sz w:val="21"/>
                  </w:rPr>
                  <m:t>∑</m:t>
                </m:r>
              </m:e>
              <m:sub>
                <m:r>
                  <w:rPr>
                    <w:sz w:val="21"/>
                  </w:rPr>
                  <m:t>q</m:t>
                </m:r>
                <m:r>
                  <w:rPr>
                    <w:sz w:val="21"/>
                  </w:rPr>
                  <m:t>=</m:t>
                </m:r>
                <m:r>
                  <w:rPr>
                    <w:sz w:val="21"/>
                  </w:rPr>
                  <m:t>1</m:t>
                </m:r>
              </m:sub>
              <m:sup>
                <m:r>
                  <w:rPr>
                    <w:sz w:val="21"/>
                  </w:rPr>
                  <m:t>96</m:t>
                </m:r>
              </m:sup>
            </m:sSubSup>
            <m:sSup>
              <m:sSupPr/>
              <m:e>
                <m:r>
                  <w:rPr>
                    <w:sz w:val="21"/>
                  </w:rPr>
                  <m:t>(</m:t>
                </m:r>
                <m:sSub>
                  <m:sSubPr/>
                  <m:e>
                    <m:r>
                      <w:rPr>
                        <w:sz w:val="21"/>
                      </w:rPr>
                      <m:t>p</m:t>
                    </m:r>
                  </m:e>
                  <m:sub>
                    <m:r>
                      <w:rPr>
                        <w:sz w:val="21"/>
                      </w:rPr>
                      <m:t>i</m:t>
                    </m:r>
                    <m:r>
                      <w:rPr>
                        <w:sz w:val="21"/>
                      </w:rPr>
                      <m:t>q</m:t>
                    </m:r>
                  </m:sub>
                </m:sSub>
                <m:r>
                  <w:rPr>
                    <w:sz w:val="21"/>
                  </w:rPr>
                  <m:t>−</m:t>
                </m:r>
                <m:sSub>
                  <m:sSubPr/>
                  <m:e>
                    <m:r>
                      <w:rPr>
                        <w:sz w:val="21"/>
                      </w:rPr>
                      <m:t>p</m:t>
                    </m:r>
                  </m:e>
                  <m:sub>
                    <m:r>
                      <w:rPr>
                        <w:sz w:val="21"/>
                      </w:rPr>
                      <m:t>j</m:t>
                    </m:r>
                    <m:r>
                      <w:rPr>
                        <w:sz w:val="21"/>
                      </w:rPr>
                      <m:t>q</m:t>
                    </m:r>
                  </m:sub>
                </m:sSub>
                <m:r>
                  <w:rPr>
                    <w:sz w:val="21"/>
                  </w:rPr>
                  <m:t>)</m:t>
                </m:r>
              </m:e>
              <m:sup>
                <m:r>
                  <w:rPr>
                    <w:sz w:val="21"/>
                  </w:rPr>
                  <m:t>2</m:t>
                </m:r>
              </m:sup>
            </m:sSup>
          </m:e>
        </m:rad>
        <m:r>
          <w:rPr>
            <w:sz w:val="21"/>
          </w:rPr>
          <m:t>,</m:t>
        </m:r>
        <m:sSubSup>
          <m:sSubSupPr/>
          <m:e>
            <m:r>
              <w:rPr>
                <w:sz w:val="21"/>
              </w:rPr>
              <m:t>A</m:t>
            </m:r>
          </m:e>
          <m:sub>
            <m:r>
              <w:rPr>
                <w:sz w:val="21"/>
              </w:rPr>
              <m:t>i</m:t>
            </m:r>
            <m:r>
              <w:rPr>
                <w:sz w:val="21"/>
              </w:rPr>
              <m:t>j</m:t>
            </m:r>
          </m:sub>
          <m:sup>
            <m:r>
              <w:rPr>
                <w:sz w:val="21"/>
              </w:rPr>
              <m:t>pattern</m:t>
            </m:r>
          </m:sup>
        </m:sSubSup>
        <m:r>
          <w:rPr>
            <w:sz w:val="21"/>
          </w:rPr>
          <m:t>=</m:t>
        </m:r>
        <m:r>
          <w:rPr>
            <w:sz w:val="21"/>
          </w:rPr>
          <m:t>exp</m:t>
        </m:r>
        <m:r>
          <w:rPr>
            <w:sz w:val="21"/>
          </w:rPr>
          <m:t>⁡</m:t>
        </m:r>
        <m:r>
          <w:rPr>
            <w:sz w:val="21"/>
          </w:rPr>
          <m:t>[</m:t>
        </m:r>
        <m:r>
          <w:rPr>
            <w:sz w:val="21"/>
          </w:rPr>
          <m:t>−</m:t>
        </m:r>
        <m:f>
          <m:num>
            <m:sSub>
              <m:sSubPr/>
              <m:e>
                <m:r>
                  <w:rPr>
                    <w:sz w:val="21"/>
                  </w:rPr>
                  <m:t>d</m:t>
                </m:r>
              </m:e>
              <m:sub>
                <m:r>
                  <w:rPr>
                    <w:sz w:val="21"/>
                  </w:rPr>
                  <m:t>i</m:t>
                </m:r>
                <m:r>
                  <w:rPr>
                    <w:sz w:val="21"/>
                  </w:rPr>
                  <m:t>j</m:t>
                </m:r>
              </m:sub>
            </m:sSub>
          </m:num>
          <m:den>
            <m:r>
              <w:rPr>
                <w:sz w:val="21"/>
              </w:rPr>
              <m:t>median</m:t>
            </m:r>
            <m:r>
              <w:rPr>
                <w:sz w:val="21"/>
              </w:rPr>
              <m:t>⁡</m:t>
            </m:r>
            <m:r>
              <w:rPr>
                <w:sz w:val="21"/>
              </w:rPr>
              <m:t>(</m:t>
            </m:r>
            <m:sSub>
              <m:sSubPr/>
              <m:e>
                <m:r>
                  <w:rPr>
                    <w:sz w:val="21"/>
                  </w:rPr>
                  <m:t>d</m:t>
                </m:r>
              </m:e>
              <m:sub>
                <m:r>
                  <w:rPr>
                    <w:sz w:val="21"/>
                  </w:rPr>
                  <m:t>u</m:t>
                </m:r>
                <m:r>
                  <w:rPr>
                    <w:sz w:val="21"/>
                  </w:rPr>
                  <m:t>v</m:t>
                </m:r>
              </m:sub>
            </m:sSub>
            <m:r>
              <w:rPr>
                <w:sz w:val="21"/>
              </w:rPr>
              <m:t>&gt;</m:t>
            </m:r>
            <m:r>
              <w:rPr>
                <w:sz w:val="21"/>
              </w:rPr>
              <m:t>0</m:t>
            </m:r>
            <m:r>
              <w:rPr>
                <w:sz w:val="21"/>
              </w:rPr>
              <m:t>)</m:t>
            </m:r>
          </m:den>
        </m:f>
        <m:r>
          <w:rPr>
            <w:sz w:val="21"/>
          </w:rPr>
          <m:t>]</m:t>
        </m:r>
        <m:r>
          <w:rPr>
            <w:sz w:val="21"/>
          </w:rPr>
          <m:t>.</m:t>
        </m:r>
      </m:oMath>
      <w:r>
        <w:tab/>
      </w:r>
      <w:r>
        <w:rPr>
          <w:rFonts w:ascii="Times New Roman" w:hAnsi="Times New Roman" w:cs="Times New Roman" w:eastAsia="宋体"/>
          <w:sz w:val="21"/>
        </w:rPr>
        <w:t>（3-5）</w:t>
      </w:r>
    </w:p>
    <w:p>
      <w:pPr>
        <w:spacing w:before="0" w:after="0" w:line="300" w:lineRule="auto"/>
        <w:ind w:firstLine="480"/>
        <w:jc w:val="both"/>
        <w:snapToGrid w:val="0"/>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snapToGrid w:val="0"/>
      </w:pPr>
      <w:r>
        <w:rPr>
          <w:rFonts w:ascii="Times New Roman" w:hAnsi="Times New Roman" w:cs="Times New Roman" w:eastAsia="黑体"/>
          <w:b w:val="0"/>
          <w:sz w:val="28"/>
        </w:rPr>
        <w:t>3.3.4 top-k稀疏化与对称归一化</w:t>
      </w:r>
    </w:p>
    <w:p>
      <w:pPr>
        <w:spacing w:before="0" w:after="0" w:line="300" w:lineRule="auto"/>
        <w:ind w:firstLine="480"/>
        <w:jc w:val="both"/>
        <w:snapToGrid w:val="0"/>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max</m:t>
        </m:r>
        <m:r>
          <w:rPr>
            <w:sz w:val="21"/>
          </w:rPr>
          <m:t>⁡</m:t>
        </m:r>
        <m:r>
          <w:rPr>
            <w:sz w:val="21"/>
          </w:rPr>
          <m:t>(</m:t>
        </m:r>
        <m:r>
          <w:rPr>
            <w:sz w:val="21"/>
          </w:rPr>
          <m:t>𝐀</m:t>
        </m:r>
        <m:r>
          <w:rPr>
            <w:sz w:val="21"/>
          </w:rPr>
          <m:t>,</m:t>
        </m:r>
        <m:sSup>
          <m:sSupPr/>
          <m:e>
            <m:r>
              <w:rPr>
                <w:sz w:val="21"/>
              </w:rPr>
              <m:t>𝐀</m:t>
            </m:r>
          </m:e>
          <m:sup>
            <m:r>
              <w:rPr>
                <w:sz w:val="21"/>
              </w:rPr>
              <m:t>𝖳</m:t>
            </m:r>
          </m:sup>
        </m:sSup>
        <m:r>
          <w:rPr>
            <w:sz w:val="21"/>
          </w:rP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𝐀</m:t>
                </m:r>
              </m:e>
            </m:acc>
          </m:e>
          <m:sub>
            <m:r>
              <w:rPr>
                <w:sz w:val="21"/>
              </w:rPr>
              <m:t>r</m:t>
            </m:r>
          </m:sub>
        </m:sSub>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sSub>
          <m:sSubPr/>
          <m:e>
            <m:r>
              <w:rPr>
                <w:sz w:val="21"/>
              </w:rPr>
              <m:t>𝐀</m:t>
            </m:r>
          </m:e>
          <m:sub>
            <m:r>
              <w:rPr>
                <w:sz w:val="21"/>
              </w:rPr>
              <m:t>r</m:t>
            </m:r>
          </m:sub>
        </m:sSub>
        <m:r>
          <w:rPr>
            <w:sz w:val="21"/>
          </w:rPr>
          <m:t>+</m:t>
        </m:r>
        <m:r>
          <w:rPr>
            <w:sz w:val="21"/>
          </w:rPr>
          <m:t>𝐈</m:t>
        </m:r>
        <m:r>
          <w:rPr>
            <w:sz w:val="21"/>
          </w:rPr>
          <m:t>)</m:t>
        </m:r>
        <m:sSubSup>
          <m:sSubSupPr/>
          <m:e>
            <m:acc>
              <m:accPr>
                <m:chr m:val="̃"/>
              </m:accPr>
              <m:e>
                <m:r>
                  <w:rPr>
                    <w:sz w:val="21"/>
                  </w:rPr>
                  <m:t>𝐃</m:t>
                </m:r>
              </m:e>
            </m:acc>
          </m:e>
          <m:sub>
            <m:r>
              <w:rPr>
                <w:sz w:val="21"/>
              </w:rPr>
              <m:t>r</m:t>
            </m:r>
          </m:sub>
          <m:sup>
            <m:r>
              <w:rPr>
                <w:sz w:val="21"/>
              </w:rPr>
              <m:t>−</m:t>
            </m:r>
            <m:r>
              <w:rPr>
                <w:sz w:val="21"/>
              </w:rPr>
              <m:t>1</m:t>
            </m:r>
            <m:r>
              <w:rPr>
                <w:sz w:val="21"/>
              </w:rPr>
              <m:t>/</m:t>
            </m:r>
            <m:r>
              <w:rPr>
                <w:sz w:val="21"/>
              </w:rPr>
              <m:t>2</m:t>
            </m:r>
          </m:sup>
        </m:sSubSup>
        <m:r>
          <w:rPr>
            <w:sz w:val="21"/>
          </w:rPr>
          <m:t>,</m:t>
        </m:r>
        <m:r>
          <w:rPr>
            <w:sz w:val="21"/>
          </w:rPr>
          <m:t>r</m:t>
        </m:r>
        <m:r>
          <w:rPr>
            <w:sz w:val="21"/>
          </w:rPr>
          <m:t>∈</m:t>
        </m:r>
        <m:r>
          <w:rPr>
            <w:sz w:val="21"/>
          </w:rPr>
          <m:t>{</m:t>
        </m:r>
        <m:r>
          <w:rPr>
            <w:sz w:val="21"/>
          </w:rPr>
          <m:t>l</m:t>
        </m:r>
        <m:r>
          <w:rPr>
            <w:sz w:val="21"/>
          </w:rPr>
          <m:t>o</m:t>
        </m:r>
        <m:r>
          <w:rPr>
            <w:sz w:val="21"/>
          </w:rPr>
          <m:t>a</m:t>
        </m:r>
        <m:r>
          <w:rPr>
            <w:sz w:val="21"/>
          </w:rPr>
          <m:t>d</m:t>
        </m:r>
        <m:r>
          <w:rPr>
            <w:sz w:val="21"/>
          </w:rPr>
          <m:t>,</m:t>
        </m:r>
        <m:r>
          <w:rPr>
            <w:sz w:val="21"/>
          </w:rPr>
          <m:t>e</m:t>
        </m:r>
        <m:r>
          <w:rPr>
            <w:sz w:val="21"/>
          </w:rPr>
          <m:t>v</m:t>
        </m:r>
        <m:r>
          <w:rPr>
            <w:sz w:val="21"/>
          </w:rPr>
          <m:t>e</m:t>
        </m:r>
        <m:r>
          <w:rPr>
            <w:sz w:val="21"/>
          </w:rPr>
          <m:t>n</m:t>
        </m:r>
        <m:r>
          <w:rPr>
            <w:sz w:val="21"/>
          </w:rPr>
          <m:t>t</m:t>
        </m:r>
        <m:r>
          <w:rPr>
            <w:sz w:val="21"/>
          </w:rPr>
          <m:t>,</m:t>
        </m:r>
        <m:r>
          <w:rPr>
            <w:sz w:val="21"/>
          </w:rPr>
          <m:t>p</m:t>
        </m:r>
        <m:r>
          <w:rPr>
            <w:sz w:val="21"/>
          </w:rPr>
          <m:t>a</m:t>
        </m:r>
        <m:r>
          <w:rPr>
            <w:sz w:val="21"/>
          </w:rPr>
          <m:t>t</m:t>
        </m:r>
        <m:r>
          <w:rPr>
            <w:sz w:val="21"/>
          </w:rPr>
          <m:t>t</m:t>
        </m:r>
        <m:r>
          <w:rPr>
            <w:sz w:val="21"/>
          </w:rPr>
          <m:t>e</m:t>
        </m:r>
        <m:r>
          <w:rPr>
            <w:sz w:val="21"/>
          </w:rPr>
          <m:t>r</m:t>
        </m:r>
        <m:r>
          <w:rPr>
            <w:sz w:val="21"/>
          </w:rPr>
          <m:t>n</m:t>
        </m:r>
        <m:r>
          <w:rPr>
            <w:sz w:val="21"/>
          </w:rPr>
          <m:t>}</m:t>
        </m:r>
        <m:r>
          <w:rPr>
            <w:sz w:val="21"/>
          </w:rPr>
          <m:t>.</m:t>
        </m:r>
      </m:oMath>
      <w:r>
        <w:tab/>
      </w:r>
      <w:r>
        <w:rPr>
          <w:rFonts w:ascii="Times New Roman" w:hAnsi="Times New Roman" w:cs="Times New Roman" w:eastAsia="宋体"/>
          <w:sz w:val="21"/>
        </w:rPr>
        <w:t>（3-6）</w:t>
      </w:r>
    </w:p>
    <w:p>
      <w:pPr>
        <w:spacing w:before="0" w:after="0" w:line="300" w:lineRule="auto"/>
        <w:ind w:firstLine="480"/>
        <w:jc w:val="both"/>
        <w:snapToGrid w:val="0"/>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snapToGrid w:val="0"/>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7"/>
                    <a:stretch>
                      <a:fillRect/>
                    </a:stretch>
                  </pic:blipFill>
                  <pic:spPr>
                    <a:xfrm>
                      <a:off x="0" y="0"/>
                      <a:ext cx="5112000" cy="198330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图3-5 LRE三类站内关系矩阵</w:t>
      </w:r>
    </w:p>
    <w:p>
      <w:pPr>
        <w:spacing w:before="0" w:after="0" w:line="300" w:lineRule="auto"/>
        <w:ind w:firstLine="480"/>
        <w:jc w:val="both"/>
        <w:snapToGrid w:val="0"/>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snapToGrid w:val="0"/>
      </w:pPr>
      <w:r>
        <w:rPr>
          <w:rFonts w:ascii="Times New Roman" w:hAnsi="Times New Roman" w:cs="Times New Roman" w:eastAsia="黑体"/>
          <w:b/>
          <w:sz w:val="30"/>
        </w:rPr>
        <w:t>3.4 时间基线：TCN</w:t>
      </w:r>
    </w:p>
    <w:p>
      <w:pPr>
        <w:spacing w:before="0" w:after="0" w:line="300" w:lineRule="auto"/>
        <w:ind w:firstLine="480"/>
        <w:jc w:val="both"/>
        <w:snapToGrid w:val="0"/>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1</m:t>
        </m:r>
        <m:r>
          <w:rPr>
            <w:sz w:val="21"/>
          </w:rPr>
          <m:t>+</m:t>
        </m:r>
        <m:r>
          <w:rPr>
            <w:sz w:val="21"/>
          </w:rPr>
          <m:t>(</m:t>
        </m:r>
        <m:r>
          <w:rPr>
            <w:sz w:val="21"/>
          </w:rPr>
          <m:t>K</m:t>
        </m:r>
        <m:r>
          <w:rPr>
            <w:sz w:val="21"/>
          </w:rPr>
          <m:t>−</m:t>
        </m:r>
        <m:r>
          <w:rPr>
            <w:sz w:val="21"/>
          </w:rPr>
          <m:t>1</m:t>
        </m:r>
        <m:r>
          <w:rPr>
            <w:sz w:val="21"/>
          </w:rPr>
          <m:t>)</m:t>
        </m:r>
        <m:sSubSup>
          <m:sSubSupPr/>
          <m:e>
            <m:r>
              <w:rPr>
                <w:sz w:val="21"/>
              </w:rPr>
              <m:t>∑</m:t>
            </m:r>
          </m:e>
          <m:sub>
            <m:r>
              <w:rPr>
                <w:sz w:val="21"/>
              </w:rPr>
              <m:t>l</m:t>
            </m:r>
            <m:r>
              <w:rPr>
                <w:sz w:val="21"/>
              </w:rPr>
              <m:t>=</m:t>
            </m:r>
            <m:r>
              <w:rPr>
                <w:sz w:val="21"/>
              </w:rPr>
              <m:t>0</m:t>
            </m:r>
          </m:sub>
          <m:sup>
            <m:r>
              <w:rPr>
                <w:sz w:val="21"/>
              </w:rPr>
              <m:t>L</m:t>
            </m:r>
            <m:r>
              <w:rPr>
                <w:sz w:val="21"/>
              </w:rPr>
              <m:t>−</m:t>
            </m:r>
            <m:r>
              <w:rPr>
                <w:sz w:val="21"/>
              </w:rPr>
              <m:t>1</m:t>
            </m:r>
          </m:sup>
        </m:sSubSup>
        <m:sSup>
          <m:sSupPr/>
          <m:e>
            <m:r>
              <w:rPr>
                <w:sz w:val="21"/>
              </w:rPr>
              <m:t>2</m:t>
            </m:r>
          </m:e>
          <m:sup>
            <m:r>
              <w:rPr>
                <w:sz w:val="21"/>
              </w:rPr>
              <m:t>l</m:t>
            </m:r>
          </m:sup>
        </m:sSup>
        <m:r>
          <w:rPr>
            <w:sz w:val="21"/>
          </w:rPr>
          <m:t>=</m:t>
        </m:r>
        <m:r>
          <w:rPr>
            <w:sz w:val="21"/>
          </w:rPr>
          <m:t>1</m:t>
        </m:r>
        <m:r>
          <w:rPr>
            <w:sz w:val="21"/>
          </w:rPr>
          <m:t>+</m:t>
        </m:r>
        <m:r>
          <w:rPr>
            <w:sz w:val="21"/>
          </w:rPr>
          <m:t>2</m:t>
        </m:r>
        <m:r>
          <w:rPr>
            <w:sz w:val="21"/>
          </w:rPr>
          <m:t>(</m:t>
        </m:r>
        <m:r>
          <w:rPr>
            <w:sz w:val="21"/>
          </w:rPr>
          <m:t>1</m:t>
        </m:r>
        <m:r>
          <w:rPr>
            <w:sz w:val="21"/>
          </w:rPr>
          <m:t>+</m:t>
        </m:r>
        <m:r>
          <w:rPr>
            <w:sz w:val="21"/>
          </w:rPr>
          <m:t>2</m:t>
        </m:r>
        <m:r>
          <w:rPr>
            <w:sz w:val="21"/>
          </w:rPr>
          <m:t>+</m:t>
        </m:r>
        <m:r>
          <w:rPr>
            <w:sz w:val="21"/>
          </w:rPr>
          <m:t>4</m:t>
        </m:r>
        <m:r>
          <w:rPr>
            <w:sz w:val="21"/>
          </w:rPr>
          <m:t>+</m:t>
        </m:r>
        <m:r>
          <w:rPr>
            <w:sz w:val="21"/>
          </w:rPr>
          <m:t>8</m:t>
        </m:r>
        <m:r>
          <w:rPr>
            <w:sz w:val="21"/>
          </w:rPr>
          <m:t>+</m:t>
        </m:r>
        <m:r>
          <w:rPr>
            <w:sz w:val="21"/>
          </w:rPr>
          <m:t>16</m:t>
        </m:r>
        <m:r>
          <w:rPr>
            <w:sz w:val="21"/>
          </w:rPr>
          <m:t>+</m:t>
        </m:r>
        <m:r>
          <w:rPr>
            <w:sz w:val="21"/>
          </w:rPr>
          <m:t>32</m:t>
        </m:r>
        <m:r>
          <w:rPr>
            <w:sz w:val="21"/>
          </w:rPr>
          <m:t>)</m:t>
        </m:r>
        <m:r>
          <w:rPr>
            <w:sz w:val="21"/>
          </w:rPr>
          <m:t>=</m:t>
        </m:r>
        <m:r>
          <w:rPr>
            <w:sz w:val="21"/>
          </w:rPr>
          <m:t>127</m:t>
        </m:r>
        <m:r>
          <w:rPr>
            <w:sz w:val="21"/>
          </w:rPr>
          <m:t>,</m:t>
        </m:r>
      </m:oMath>
      <w:r>
        <w:tab/>
      </w:r>
      <w:r>
        <w:rPr>
          <w:rFonts w:ascii="Times New Roman" w:hAnsi="Times New Roman" w:cs="Times New Roman" w:eastAsia="宋体"/>
          <w:sz w:val="21"/>
        </w:rPr>
        <w:t>（3-7）</w:t>
      </w:r>
    </w:p>
    <w:p>
      <w:pPr>
        <w:spacing w:before="0" w:after="0" w:line="300" w:lineRule="auto"/>
        <w:ind w:firstLine="480"/>
        <w:jc w:val="both"/>
        <w:snapToGrid w:val="0"/>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ℝ</m:t>
            </m:r>
          </m:e>
          <m:sup>
            <m:r>
              <w:rPr>
                <w:sz w:val="21"/>
              </w:rPr>
              <m:t>B</m:t>
            </m:r>
            <m:r>
              <w:rPr>
                <w:sz w:val="21"/>
              </w:rPr>
              <m:t>×</m:t>
            </m:r>
            <m:r>
              <w:rPr>
                <w:sz w:val="21"/>
              </w:rPr>
              <m:t>N</m:t>
            </m:r>
            <m:r>
              <w:rPr>
                <w:sz w:val="21"/>
              </w:rPr>
              <m:t>×</m:t>
            </m:r>
            <m:r>
              <w:rPr>
                <w:sz w:val="21"/>
              </w:rP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D</m:t>
        </m:r>
        <m:r>
          <w:rPr>
            <w:sz w:val="21"/>
          </w:rPr>
          <m:t>=</m:t>
        </m:r>
        <m:r>
          <w:rPr>
            <w:sz w:val="21"/>
          </w:rP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snapToGrid w:val="0"/>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snapToGrid w:val="0"/>
      </w:pPr>
      <w:r>
        <w:rPr>
          <w:rFonts w:ascii="Times New Roman" w:hAnsi="Times New Roman" w:cs="Times New Roman" w:eastAsia="黑体"/>
          <w:b w:val="0"/>
          <w:sz w:val="28"/>
        </w:rPr>
        <w:t>3.5.1 总体架构</w:t>
      </w:r>
    </w:p>
    <w:p>
      <w:pPr>
        <w:spacing w:before="0" w:after="0" w:line="300" w:lineRule="auto"/>
        <w:ind w:firstLine="480"/>
        <w:jc w:val="both"/>
        <w:snapToGrid w:val="0"/>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1</m:t>
            </m:r>
            <m:r>
              <w:rPr>
                <w:sz w:val="21"/>
              </w:rPr>
              <m:t>)</m:t>
            </m:r>
          </m:sup>
        </m:sSup>
        <m:r>
          <w:rPr>
            <w:sz w:val="21"/>
          </w:rPr>
          <m:t>=</m:t>
        </m:r>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2</m:t>
            </m:r>
            <m:r>
              <w:rPr>
                <w:sz w:val="21"/>
              </w:rPr>
              <m:t>)</m:t>
            </m:r>
          </m:sup>
        </m:sSup>
        <m:r>
          <w:rPr>
            <w:sz w:val="21"/>
          </w:rPr>
          <m:t>=</m:t>
        </m:r>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snapToGrid w:val="0"/>
      </w:pPr>
      <w:r>
        <w:rPr>
          <w:rFonts w:ascii="Times New Roman" w:hAnsi="Times New Roman" w:cs="Times New Roman" w:eastAsia="黑体"/>
          <w:b w:val="0"/>
          <w:sz w:val="28"/>
        </w:rPr>
        <w:t>3.5.2 单关系消息传递</w:t>
      </w:r>
    </w:p>
    <w:p>
      <w:pPr>
        <w:spacing w:before="0" w:after="0" w:line="300" w:lineRule="auto"/>
        <w:ind w:firstLine="480"/>
        <w:jc w:val="both"/>
        <w:snapToGrid w:val="0"/>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r</m:t>
            </m:r>
          </m:sub>
          <m:sup>
            <m:r>
              <w:rPr>
                <w:sz w:val="21"/>
              </w:rPr>
              <m:t>(</m:t>
            </m:r>
            <m:r>
              <w:rPr>
                <w:sz w:val="21"/>
              </w:rPr>
              <m:t>l</m:t>
            </m:r>
            <m:r>
              <w:rPr>
                <w:sz w:val="21"/>
              </w:rPr>
              <m:t>)</m:t>
            </m:r>
          </m:sup>
        </m:sSubSup>
        <m:r>
          <w:rPr>
            <w:sz w:val="21"/>
          </w:rPr>
          <m:t>=</m:t>
        </m:r>
        <m:sSub>
          <m:sSubPr/>
          <m:e>
            <m:acc>
              <m:accPr>
                <m:chr m:val="̂"/>
              </m:accPr>
              <m:e>
                <m:r>
                  <w:rPr>
                    <w:sz w:val="21"/>
                  </w:rPr>
                  <m:t>𝐀</m:t>
                </m:r>
              </m:e>
            </m:acc>
          </m:e>
          <m:sub>
            <m:r>
              <w:rPr>
                <w:sz w:val="21"/>
              </w:rPr>
              <m:t>r</m:t>
            </m:r>
          </m:sub>
        </m:sSub>
        <m:sSup>
          <m:sSupPr/>
          <m:e>
            <m:r>
              <w:rPr>
                <w:sz w:val="21"/>
              </w:rPr>
              <m:t>𝐙</m:t>
            </m:r>
          </m:e>
          <m:sup>
            <m:r>
              <w:rPr>
                <w:sz w:val="21"/>
              </w:rPr>
              <m:t>(</m:t>
            </m:r>
            <m:r>
              <w:rPr>
                <w:sz w:val="21"/>
              </w:rPr>
              <m:t>l</m:t>
            </m:r>
            <m:r>
              <w:rPr>
                <w:sz w:val="21"/>
              </w:rPr>
              <m:t>)</m:t>
            </m:r>
          </m:sup>
        </m:sSup>
        <m:sSubSup>
          <m:sSubSupPr/>
          <m:e>
            <m:r>
              <w:rPr>
                <w:sz w:val="21"/>
              </w:rPr>
              <m:t>𝐖</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（3-8）</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𝐖</m:t>
            </m:r>
          </m:e>
          <m:sub>
            <m:r>
              <w:rPr>
                <w:sz w:val="21"/>
              </w:rPr>
              <m:t>r</m:t>
            </m:r>
          </m:sub>
          <m:sup>
            <m:r>
              <w:rPr>
                <w:sz w:val="21"/>
              </w:rPr>
              <m:t>(</m:t>
            </m:r>
            <m:r>
              <w:rPr>
                <w:sz w:val="21"/>
              </w:rPr>
              <m:t>l</m:t>
            </m:r>
            <m:r>
              <w:rPr>
                <w:sz w:val="21"/>
              </w:rPr>
              <m:t>)</m:t>
            </m:r>
          </m:sup>
        </m:sSubSup>
        <m:r>
          <w:rPr>
            <w:sz w:val="21"/>
          </w:rPr>
          <m:t>∈</m:t>
        </m:r>
        <m:sSup>
          <m:sSupPr/>
          <m:e>
            <m:r>
              <w:rPr>
                <w:sz w:val="21"/>
              </w:rPr>
              <m:t>ℝ</m:t>
            </m:r>
          </m:e>
          <m:sup>
            <m:r>
              <w:rPr>
                <w:sz w:val="21"/>
              </w:rPr>
              <m:t>D</m:t>
            </m:r>
            <m:r>
              <w:rPr>
                <w:sz w:val="21"/>
              </w:rPr>
              <m:t>×</m:t>
            </m:r>
            <m:r>
              <w:rPr>
                <w:sz w:val="21"/>
              </w:rP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snapToGrid w:val="0"/>
      </w:pPr>
      <w:r>
        <w:rPr>
          <w:rFonts w:ascii="Times New Roman" w:hAnsi="Times New Roman" w:cs="Times New Roman" w:eastAsia="黑体"/>
          <w:b w:val="0"/>
          <w:sz w:val="28"/>
        </w:rPr>
        <w:t>3.5.3 关系级门控</w:t>
      </w:r>
    </w:p>
    <w:p>
      <w:pPr>
        <w:spacing w:before="0" w:after="0" w:line="300" w:lineRule="auto"/>
        <w:ind w:firstLine="480"/>
        <w:jc w:val="both"/>
        <w:snapToGrid w:val="0"/>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𝐚</m:t>
            </m:r>
          </m:e>
          <m:sup>
            <m:r>
              <w:rPr>
                <w:sz w:val="21"/>
              </w:rPr>
              <m:t>(</m:t>
            </m:r>
            <m:r>
              <w:rPr>
                <w:sz w:val="21"/>
              </w:rPr>
              <m:t>l</m:t>
            </m:r>
            <m:r>
              <w:rPr>
                <w:sz w:val="21"/>
              </w:rPr>
              <m:t>)</m:t>
            </m:r>
          </m:sup>
        </m:sSup>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r>
              <w:rPr>
                <w:sz w:val="21"/>
              </w:rPr>
              <m:t>l</m:t>
            </m:r>
            <m:r>
              <w:rPr>
                <w:sz w:val="21"/>
              </w:rPr>
              <m:t>)</m:t>
            </m:r>
          </m:sup>
        </m:sSubSup>
        <m:r>
          <w:rPr>
            <w:sz w:val="21"/>
          </w:rPr>
          <m:t>=</m:t>
        </m:r>
        <m:f>
          <m:num>
            <m:r>
              <w:rPr>
                <w:sz w:val="21"/>
              </w:rPr>
              <m:t>exp</m:t>
            </m:r>
            <m:r>
              <w:rPr>
                <w:sz w:val="21"/>
              </w:rPr>
              <m:t>⁡</m:t>
            </m:r>
            <m:r>
              <w:rPr>
                <w:sz w:val="21"/>
              </w:rPr>
              <m:t>(</m:t>
            </m:r>
            <m:sSubSup>
              <m:sSubSupPr/>
              <m:e>
                <m:r>
                  <w:rPr>
                    <w:sz w:val="21"/>
                  </w:rPr>
                  <m:t>a</m:t>
                </m:r>
              </m:e>
              <m:sub>
                <m:r>
                  <w:rPr>
                    <w:sz w:val="21"/>
                  </w:rPr>
                  <m:t>r</m:t>
                </m:r>
              </m:sub>
              <m:sup>
                <m:r>
                  <w:rPr>
                    <w:sz w:val="21"/>
                  </w:rPr>
                  <m:t>(</m:t>
                </m:r>
                <m:r>
                  <w:rPr>
                    <w:sz w:val="21"/>
                  </w:rPr>
                  <m:t>l</m:t>
                </m:r>
                <m:r>
                  <w:rPr>
                    <w:sz w:val="21"/>
                  </w:rPr>
                  <m:t>)</m:t>
                </m:r>
              </m:sup>
            </m:sSubSup>
            <m:r>
              <w:rPr>
                <w:sz w:val="21"/>
              </w:rPr>
              <m:t>)</m:t>
            </m:r>
          </m:num>
          <m:den>
            <m:sSubSup>
              <m:sSubSupPr/>
              <m:e>
                <m:r>
                  <w:rPr>
                    <w:sz w:val="21"/>
                  </w:rPr>
                  <m:t>∑</m:t>
                </m:r>
              </m:e>
              <m:sub>
                <m:r>
                  <w:rPr>
                    <w:sz w:val="21"/>
                  </w:rPr>
                  <m:t>s</m:t>
                </m:r>
                <m:r>
                  <w:rPr>
                    <w:sz w:val="21"/>
                  </w:rPr>
                  <m:t>=</m:t>
                </m:r>
                <m:r>
                  <w:rPr>
                    <w:sz w:val="21"/>
                  </w:rPr>
                  <m:t>1</m:t>
                </m:r>
              </m:sub>
              <m:sup>
                <m:r>
                  <w:rPr>
                    <w:sz w:val="21"/>
                  </w:rPr>
                  <m:t>3</m:t>
                </m:r>
              </m:sup>
            </m:sSubSup>
            <m:r>
              <w:rPr>
                <w:sz w:val="21"/>
              </w:rPr>
              <m:t>exp</m:t>
            </m:r>
            <m:r>
              <w:rPr>
                <w:sz w:val="21"/>
              </w:rPr>
              <m:t>⁡</m:t>
            </m:r>
            <m:r>
              <w:rPr>
                <w:sz w:val="21"/>
              </w:rPr>
              <m:t>(</m:t>
            </m:r>
            <m:sSubSup>
              <m:sSubSupPr/>
              <m:e>
                <m:r>
                  <w:rPr>
                    <w:sz w:val="21"/>
                  </w:rPr>
                  <m:t>a</m:t>
                </m:r>
              </m:e>
              <m:sub>
                <m:r>
                  <w:rPr>
                    <w:sz w:val="21"/>
                  </w:rPr>
                  <m:t>s</m:t>
                </m:r>
              </m:sub>
              <m:sup>
                <m:r>
                  <w:rPr>
                    <w:sz w:val="21"/>
                  </w:rPr>
                  <m:t>(</m:t>
                </m:r>
                <m:r>
                  <w:rPr>
                    <w:sz w:val="21"/>
                  </w:rPr>
                  <m:t>l</m:t>
                </m:r>
                <m:r>
                  <w:rPr>
                    <w:sz w:val="21"/>
                  </w:rPr>
                  <m:t>)</m:t>
                </m:r>
              </m:sup>
            </m:sSubSup>
            <m:r>
              <w:rPr>
                <w:sz w:val="21"/>
              </w:rPr>
              <m:t>)</m:t>
            </m:r>
          </m:den>
        </m:f>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m:t>
            </m:r>
          </m:e>
          <m:sub>
            <m:r>
              <w:rPr>
                <w:sz w:val="21"/>
              </w:rPr>
              <m:t>r</m:t>
            </m:r>
            <m:r>
              <w:rPr>
                <w:sz w:val="21"/>
              </w:rPr>
              <m:t>=</m:t>
            </m:r>
            <m:r>
              <w:rPr>
                <w:sz w:val="21"/>
              </w:rPr>
              <m:t>1</m:t>
            </m:r>
          </m:sub>
          <m:sup>
            <m:r>
              <w:rPr>
                <w:sz w:val="21"/>
              </w:rPr>
              <m:t>3</m:t>
            </m:r>
          </m:sup>
        </m:sSubSup>
        <m:sSubSup>
          <m:sSubSupPr/>
          <m:e>
            <m:r>
              <w:rPr>
                <w:sz w:val="21"/>
              </w:rPr>
              <m:t>β</m:t>
            </m:r>
          </m:e>
          <m:sub>
            <m:r>
              <w:rPr>
                <w:sz w:val="21"/>
              </w:rPr>
              <m:t>r</m:t>
            </m:r>
          </m:sub>
          <m:sup>
            <m:r>
              <w:rPr>
                <w:sz w:val="21"/>
              </w:rPr>
              <m:t>(</m:t>
            </m:r>
            <m:r>
              <w:rPr>
                <w:sz w:val="21"/>
              </w:rPr>
              <m:t>l</m:t>
            </m:r>
            <m:r>
              <w:rPr>
                <w:sz w:val="21"/>
              </w:rPr>
              <m:t>)</m:t>
            </m:r>
          </m:sup>
        </m:sSubSup>
        <m:sSubSup>
          <m:sSubSupPr/>
          <m:e>
            <m:r>
              <w:rPr>
                <w:sz w:val="21"/>
              </w:rPr>
              <m:t>𝐌</m:t>
            </m:r>
          </m:e>
          <m:sub>
            <m:r>
              <w:rPr>
                <w:sz w:val="21"/>
              </w:rPr>
              <m:t>r</m:t>
            </m:r>
          </m:sub>
          <m:sup>
            <m:r>
              <w:rPr>
                <w:sz w:val="21"/>
              </w:rPr>
              <m:t>(</m:t>
            </m:r>
            <m:r>
              <w:rPr>
                <w:sz w:val="21"/>
              </w:rPr>
              <m:t>l</m:t>
            </m:r>
            <m:r>
              <w:rPr>
                <w:sz w:val="21"/>
              </w:rPr>
              <m:t>)</m:t>
            </m:r>
          </m:sup>
        </m:sSubSup>
        <m:r>
          <w:rPr>
            <w:sz w:val="21"/>
          </w:rPr>
          <m:t>.</m:t>
        </m:r>
      </m:oMath>
      <w:r>
        <w:tab/>
      </w:r>
      <w:r>
        <w:rPr>
          <w:rFonts w:ascii="Times New Roman" w:hAnsi="Times New Roman" w:cs="Times New Roman" w:eastAsia="宋体"/>
          <w:sz w:val="21"/>
        </w:rPr>
        <w:t>（3-9）</w:t>
      </w:r>
    </w:p>
    <w:p>
      <w:pPr>
        <w:spacing w:before="0" w:after="0" w:line="300" w:lineRule="auto"/>
        <w:ind w:firstLine="480"/>
        <w:jc w:val="both"/>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l</m:t>
            </m:r>
            <m:r>
              <w:rPr>
                <w:sz w:val="21"/>
              </w:rPr>
              <m:t>)</m:t>
            </m:r>
          </m:sup>
        </m:sSup>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snapToGrid w:val="0"/>
      </w:pPr>
      <w:r>
        <w:rPr>
          <w:rFonts w:ascii="Times New Roman" w:hAnsi="Times New Roman" w:cs="Times New Roman" w:eastAsia="黑体"/>
          <w:b w:val="0"/>
          <w:sz w:val="28"/>
        </w:rPr>
        <w:t>3.5.4 节点级门控</w:t>
      </w:r>
    </w:p>
    <w:p>
      <w:pPr>
        <w:spacing w:before="0" w:after="0" w:line="300" w:lineRule="auto"/>
        <w:ind w:firstLine="480"/>
        <w:jc w:val="both"/>
        <w:snapToGrid w:val="0"/>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m>
          <m:mr>
            <m:e>
              <m:sSup>
                <m:sSupPr/>
                <m:e>
                  <m:r>
                    <w:rPr>
                      <w:sz w:val="21"/>
                    </w:rPr>
                    <m:t>𝐆</m:t>
                  </m:r>
                </m:e>
                <m:sup>
                  <m:r>
                    <w:rPr>
                      <w:sz w:val="21"/>
                    </w:rPr>
                    <m:t>(</m:t>
                  </m:r>
                  <m:r>
                    <w:rPr>
                      <w:sz w:val="21"/>
                    </w:rPr>
                    <m:t>l</m:t>
                  </m:r>
                  <m:r>
                    <w:rPr>
                      <w:sz w:val="21"/>
                    </w:rPr>
                    <m:t>)</m:t>
                  </m:r>
                </m:sup>
              </m:sSup>
            </m:e>
            <m:e>
              <m:r>
                <w:rPr>
                  <w:sz w:val="21"/>
                </w:rPr>
                <m:t>=</m:t>
              </m:r>
              <m:r>
                <w:rPr>
                  <w:sz w:val="21"/>
                </w:rPr>
                <m:t>σ</m:t>
              </m:r>
              <m:r>
                <w:rPr>
                  <w:sz w:val="21"/>
                </w:rPr>
                <m:t>(</m:t>
              </m:r>
              <m:r>
                <w:rPr>
                  <w:sz w:val="21"/>
                </w:rPr>
                <m:t>[</m:t>
              </m:r>
              <m:sSup>
                <m:sSupPr/>
                <m:e>
                  <m:r>
                    <w:rPr>
                      <w:sz w:val="21"/>
                    </w:rPr>
                    <m:t>𝐙</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sSubSup>
                <m:sSubSupPr/>
                <m:e>
                  <m:r>
                    <w:rPr>
                      <w:sz w:val="21"/>
                    </w:rPr>
                    <m:t>𝐖</m:t>
                  </m:r>
                </m:e>
                <m:sub>
                  <m:r>
                    <w:rPr>
                      <w:sz w:val="21"/>
                    </w:rPr>
                    <m:t>g</m:t>
                  </m:r>
                </m:sub>
                <m:sup>
                  <m:r>
                    <w:rPr>
                      <w:sz w:val="21"/>
                    </w:rPr>
                    <m:t>(</m:t>
                  </m:r>
                  <m:r>
                    <w:rPr>
                      <w:sz w:val="21"/>
                    </w:rPr>
                    <m:t>l</m:t>
                  </m:r>
                  <m:r>
                    <w:rPr>
                      <w:sz w:val="21"/>
                    </w:rPr>
                    <m:t>)</m:t>
                  </m:r>
                </m:sup>
              </m:sSubSup>
              <m:r>
                <w:rPr>
                  <w:sz w:val="21"/>
                </w:rPr>
                <m:t>+</m:t>
              </m:r>
              <m:sSubSup>
                <m:sSubSupPr/>
                <m:e>
                  <m:r>
                    <w:rPr>
                      <w:sz w:val="21"/>
                    </w:rPr>
                    <m:t>𝐛</m:t>
                  </m:r>
                </m:e>
                <m:sub>
                  <m:r>
                    <w:rPr>
                      <w:sz w:val="21"/>
                    </w:rPr>
                    <m:t>g</m:t>
                  </m:r>
                </m:sub>
                <m:sup>
                  <m:r>
                    <w:rPr>
                      <w:sz w:val="21"/>
                    </w:rPr>
                    <m:t>(</m:t>
                  </m:r>
                  <m:r>
                    <w:rPr>
                      <w:sz w:val="21"/>
                    </w:rPr>
                    <m:t>l</m:t>
                  </m:r>
                  <m:r>
                    <w:rPr>
                      <w:sz w:val="21"/>
                    </w:rPr>
                    <m:t>)</m:t>
                  </m:r>
                </m:sup>
              </m:sSubSup>
              <m:r>
                <w:rPr>
                  <w:sz w:val="21"/>
                </w:rPr>
                <m:t>)</m:t>
              </m:r>
              <m:r>
                <w:rPr>
                  <w:sz w:val="21"/>
                </w:rPr>
                <m:t>,</m:t>
              </m:r>
            </m:e>
          </m:mr>
          <m:mr>
            <m:e>
              <m:sSup>
                <m:sSupPr/>
                <m:e>
                  <m:acc>
                    <m:accPr>
                      <m:chr m:val="̃"/>
                    </m:accPr>
                    <m:e>
                      <m:r>
                        <w:rPr>
                          <w:sz w:val="21"/>
                        </w:rPr>
                        <m:t>𝐇</m:t>
                      </m:r>
                    </m:e>
                  </m:acc>
                </m:e>
                <m:sup>
                  <m:r>
                    <w:rPr>
                      <w:sz w:val="21"/>
                    </w:rPr>
                    <m:t>(</m:t>
                  </m:r>
                  <m:r>
                    <w:rPr>
                      <w:sz w:val="21"/>
                    </w:rPr>
                    <m:t>l</m:t>
                  </m:r>
                  <m:r>
                    <w:rPr>
                      <w:sz w:val="21"/>
                    </w:rPr>
                    <m:t>)</m:t>
                  </m:r>
                </m:sup>
              </m:sSup>
            </m:e>
            <m:e>
              <m:r>
                <w:rPr>
                  <w:sz w:val="21"/>
                </w:rPr>
                <m:t>=</m:t>
              </m:r>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r>
                <w:rPr>
                  <w:sz w:val="21"/>
                </w:rPr>
                <m:t>.</m:t>
              </m:r>
            </m:e>
          </m:mr>
        </m:m>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r>
          <w:rPr>
            <w:sz w:val="21"/>
          </w:rPr>
          <m:t>=</m:t>
        </m:r>
        <m:r>
          <w:rPr>
            <w:sz w:val="21"/>
          </w:rPr>
          <m:t>LayerNorm</m:t>
        </m:r>
        <m:r>
          <w:rPr>
            <w:sz w:val="21"/>
          </w:rPr>
          <m:t>⁡</m:t>
        </m:r>
        <m:r>
          <w:rPr>
            <w:sz w:val="21"/>
          </w:rPr>
          <m:t>[</m:t>
        </m:r>
        <m:sSup>
          <m:sSupPr/>
          <m:e>
            <m:r>
              <w:rPr>
                <w:sz w:val="21"/>
              </w:rPr>
              <m:t>𝐙</m:t>
            </m:r>
          </m:e>
          <m:sup>
            <m:r>
              <w:rPr>
                <w:sz w:val="21"/>
              </w:rPr>
              <m:t>(</m:t>
            </m:r>
            <m:r>
              <w:rPr>
                <w:sz w:val="21"/>
              </w:rPr>
              <m:t>l</m:t>
            </m:r>
            <m:r>
              <w:rPr>
                <w:sz w:val="21"/>
              </w:rPr>
              <m:t>)</m:t>
            </m:r>
          </m:sup>
        </m:sSup>
        <m:r>
          <w:rPr>
            <w:sz w:val="21"/>
          </w:rPr>
          <m:t>+</m:t>
        </m:r>
        <m:r>
          <w:rPr>
            <w:sz w:val="21"/>
          </w:rPr>
          <m:t>Dropout</m:t>
        </m:r>
        <m:r>
          <w:rPr>
            <w:sz w:val="21"/>
          </w:rPr>
          <m:t>⁡</m:t>
        </m:r>
        <m:r>
          <w:rPr>
            <w:sz w:val="21"/>
          </w:rPr>
          <m:t>(</m:t>
        </m:r>
        <m:sSup>
          <m:sSupPr/>
          <m:e>
            <m:acc>
              <m:accPr>
                <m:chr m:val="̃"/>
              </m:accPr>
              <m:e>
                <m:r>
                  <w:rPr>
                    <w:sz w:val="21"/>
                  </w:rPr>
                  <m:t>𝐇</m:t>
                </m:r>
              </m:e>
            </m:acc>
          </m:e>
          <m:sup>
            <m:r>
              <w:rPr>
                <w:sz w:val="21"/>
              </w:rPr>
              <m:t>(</m:t>
            </m:r>
            <m:r>
              <w:rPr>
                <w:sz w:val="21"/>
              </w:rPr>
              <m:t>l</m:t>
            </m:r>
            <m:r>
              <w:rPr>
                <w:sz w:val="21"/>
              </w:rPr>
              <m:t>)</m:t>
            </m:r>
          </m:sup>
        </m:sSup>
        <m:r>
          <w:rPr>
            <w:sz w:val="21"/>
          </w:rPr>
          <m:t>)</m:t>
        </m:r>
        <m:r>
          <w:rPr>
            <w:sz w:val="21"/>
          </w:rPr>
          <m:t>]</m:t>
        </m:r>
        <m:r>
          <w:rPr>
            <w:sz w:val="21"/>
          </w:rPr>
          <m:t>.</m:t>
        </m:r>
      </m:oMath>
      <w:r>
        <w:tab/>
      </w:r>
      <w:r>
        <w:rPr>
          <w:rFonts w:ascii="Times New Roman" w:hAnsi="Times New Roman" w:cs="Times New Roman" w:eastAsia="宋体"/>
          <w:sz w:val="21"/>
        </w:rPr>
        <w:t>（3-11）</w:t>
      </w:r>
    </w:p>
    <w:p>
      <w:pPr>
        <w:spacing w:before="0" w:after="0" w:line="300" w:lineRule="auto"/>
        <w:ind w:firstLine="480"/>
        <w:jc w:val="both"/>
        <w:snapToGrid w:val="0"/>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与各关系变换共同缩放聚合消息，节点级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在自身表示和邻域消息间分配门值。β不能脱离关系变换的尺度单独解释为重要性，详见4.2.5节。旧主协议未对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单独重训练消融，新协议固定门值结果只作为受限功能证据，详见3.7.5节。</w:t>
      </w:r>
    </w:p>
    <w:p>
      <w:pPr>
        <w:spacing w:before="240" w:after="180" w:line="300" w:lineRule="auto"/>
        <w:ind w:firstLine="0"/>
        <w:jc w:val="both"/>
        <w:outlineLvl w:val="2"/>
        <w:snapToGrid w:val="0"/>
      </w:pPr>
      <w:r>
        <w:rPr>
          <w:rFonts w:ascii="Times New Roman" w:hAnsi="Times New Roman" w:cs="Times New Roman" w:eastAsia="黑体"/>
          <w:b w:val="0"/>
          <w:sz w:val="28"/>
        </w:rPr>
        <w:t>3.5.5 关系随机失活</w:t>
      </w:r>
    </w:p>
    <w:p>
      <w:pPr>
        <w:spacing w:before="0" w:after="0" w:line="300" w:lineRule="auto"/>
        <w:ind w:firstLine="480"/>
        <w:jc w:val="both"/>
        <w:snapToGrid w:val="0"/>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&gt;</m:t>
        </m:r>
        <m:r>
          <w:rPr>
            <w:sz w:val="21"/>
          </w:rP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snapToGrid w:val="0"/>
      </w:pPr>
      <w:r>
        <w:rPr>
          <w:rFonts w:ascii="Times New Roman" w:hAnsi="Times New Roman" w:cs="Times New Roman" w:eastAsia="黑体"/>
          <w:b w:val="0"/>
          <w:sz w:val="28"/>
        </w:rPr>
        <w:t>3.5.6 逐层关系选择与跨层融合</w:t>
      </w:r>
    </w:p>
    <w:p>
      <w:pPr>
        <w:spacing w:before="0" w:after="0" w:line="300" w:lineRule="auto"/>
        <w:ind w:firstLine="480"/>
        <w:jc w:val="both"/>
        <w:snapToGrid w:val="0"/>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fuse</m:t>
            </m:r>
          </m:sup>
        </m:sSup>
        <m:r>
          <w:rPr>
            <w:sz w:val="21"/>
          </w:rPr>
          <m:t>=</m:t>
        </m:r>
        <m:r>
          <w:rPr>
            <w:sz w:val="21"/>
          </w:rPr>
          <m:t>Dropout</m:t>
        </m:r>
        <m:r>
          <w:rPr>
            <w:sz w:val="21"/>
          </w:rPr>
          <m:t>⁡</m:t>
        </m:r>
        <m:r>
          <w:rPr>
            <w:sz w:val="21"/>
          </w:rPr>
          <m:t>(</m:t>
        </m:r>
        <m:r>
          <w:rPr>
            <w:sz w:val="21"/>
          </w:rPr>
          <m:t>GELU</m:t>
        </m:r>
        <m:r>
          <w:rPr>
            <w:sz w:val="21"/>
          </w:rPr>
          <m:t>⁡</m:t>
        </m:r>
        <m:r>
          <w:rPr>
            <w:sz w:val="21"/>
          </w:rPr>
          <m:t>{</m:t>
        </m:r>
        <m:r>
          <w:rPr>
            <w:sz w:val="21"/>
          </w:rPr>
          <m:t>LayerNorm</m:t>
        </m:r>
        <m:r>
          <w:rPr>
            <w:sz w:val="21"/>
          </w:rPr>
          <m:t>⁡</m:t>
        </m:r>
        <m:r>
          <w:rPr>
            <w:sz w:val="21"/>
          </w:rPr>
          <m:t>[</m:t>
        </m:r>
        <m:sSub>
          <m:sSubPr/>
          <m:e>
            <m:r>
              <w:rPr>
                <w:sz w:val="21"/>
              </w:rPr>
              <m:t>𝐖</m:t>
            </m:r>
          </m:e>
          <m:sub>
            <m:r>
              <w:rPr>
                <w:sz w:val="21"/>
              </w:rPr>
              <m:t>f</m:t>
            </m:r>
          </m:sub>
        </m:sSub>
        <m:r>
          <w:rPr>
            <w:sz w:val="21"/>
          </w:rPr>
          <m:t>(</m:t>
        </m:r>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r>
          <w:rPr>
            <w:sz w:val="21"/>
          </w:rPr>
          <m:t>)</m:t>
        </m:r>
        <m:r>
          <w:rPr>
            <w:sz w:val="21"/>
          </w:rPr>
          <m:t>]</m:t>
        </m:r>
        <m:r>
          <w:rPr>
            <w:sz w:val="21"/>
          </w:rPr>
          <m:t>}</m:t>
        </m:r>
        <m:r>
          <w:rPr>
            <w:sz w:val="21"/>
          </w:rPr>
          <m:t>)</m:t>
        </m:r>
        <m:r>
          <w:rPr>
            <w:sz w:val="21"/>
          </w:rPr>
          <m:t>.</m:t>
        </m:r>
      </m:oMath>
      <w:r>
        <w:tab/>
      </w:r>
      <w:r>
        <w:rPr>
          <w:rFonts w:ascii="Times New Roman" w:hAnsi="Times New Roman" w:cs="Times New Roman" w:eastAsia="宋体"/>
          <w:sz w:val="21"/>
        </w:rPr>
        <w:t>（3-12）</w:t>
      </w:r>
    </w:p>
    <w:p>
      <w:pPr>
        <w:spacing w:before="0" w:after="0" w:line="300" w:lineRule="auto"/>
        <w:ind w:firstLine="480"/>
        <w:jc w:val="both"/>
        <w:snapToGrid w:val="0"/>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snapToGrid w:val="0"/>
      </w:pPr>
      <w:r>
        <w:rPr>
          <w:rFonts w:ascii="Times New Roman" w:hAnsi="Times New Roman" w:cs="Times New Roman" w:eastAsia="黑体"/>
          <w:b w:val="0"/>
          <w:sz w:val="28"/>
        </w:rPr>
        <w:t>3.5.7 目标函数与训练策略</w:t>
      </w:r>
    </w:p>
    <w:p>
      <w:pPr>
        <w:spacing w:before="0" w:after="0" w:line="300" w:lineRule="auto"/>
        <w:ind w:firstLine="480"/>
        <w:jc w:val="both"/>
        <w:snapToGrid w:val="0"/>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ℒ</m:t>
        </m:r>
        <m:r>
          <w:rPr>
            <w:sz w:val="21"/>
          </w:rPr>
          <m:t>(</m:t>
        </m:r>
        <m:r>
          <w:rPr>
            <w:sz w:val="21"/>
          </w:rPr>
          <m:t>θ</m:t>
        </m:r>
        <m:r>
          <w:rPr>
            <w:sz w:val="21"/>
          </w:rPr>
          <m:t>)</m:t>
        </m:r>
        <m:r>
          <w:rPr>
            <w:sz w:val="21"/>
          </w:rPr>
          <m:t>=</m:t>
        </m:r>
        <m:f>
          <m:num>
            <m:r>
              <w:rPr>
                <w:sz w:val="21"/>
              </w:rPr>
              <m:t>1</m:t>
            </m:r>
          </m:num>
          <m:den>
            <m:r>
              <w:rPr>
                <w:sz w:val="21"/>
              </w:rPr>
              <m:t>B</m:t>
            </m:r>
            <m:r>
              <w:rPr>
                <w:sz w:val="21"/>
              </w:rPr>
              <m:t>P</m:t>
            </m:r>
            <m:r>
              <w:rPr>
                <w:sz w:val="21"/>
              </w:rPr>
              <m:t>N</m:t>
            </m:r>
          </m:den>
        </m:f>
        <m:sSubSup>
          <m:sSubSupPr/>
          <m:e>
            <m:r>
              <w:rPr>
                <w:sz w:val="21"/>
              </w:rPr>
              <m:t>∑</m:t>
            </m:r>
          </m:e>
          <m:sub>
            <m:r>
              <w:rPr>
                <w:sz w:val="21"/>
              </w:rPr>
              <m:t>b</m:t>
            </m:r>
            <m:r>
              <w:rPr>
                <w:sz w:val="21"/>
              </w:rPr>
              <m:t>=</m:t>
            </m:r>
            <m:r>
              <w:rPr>
                <w:sz w:val="21"/>
              </w:rPr>
              <m:t>1</m:t>
            </m:r>
          </m:sub>
          <m:sup>
            <m:r>
              <w:rPr>
                <w:sz w:val="21"/>
              </w:rPr>
              <m:t>B</m:t>
            </m:r>
          </m:sup>
        </m:sSubSup>
        <m:sSubSup>
          <m:sSubSupPr/>
          <m:e>
            <m:r>
              <w:rPr>
                <w:sz w:val="21"/>
              </w:rPr>
              <m:t>∑</m:t>
            </m:r>
          </m:e>
          <m:sub>
            <m:r>
              <w:rPr>
                <w:sz w:val="21"/>
              </w:rPr>
              <m:t>p</m:t>
            </m:r>
            <m:r>
              <w:rPr>
                <w:sz w:val="21"/>
              </w:rPr>
              <m:t>=</m:t>
            </m:r>
            <m:r>
              <w:rPr>
                <w:sz w:val="21"/>
              </w:rPr>
              <m:t>1</m:t>
            </m:r>
          </m:sub>
          <m:sup>
            <m:r>
              <w:rPr>
                <w:sz w:val="21"/>
              </w:rPr>
              <m:t>P</m:t>
            </m:r>
          </m:sup>
        </m:sSubSup>
        <m:sSubSup>
          <m:sSubSupPr/>
          <m:e>
            <m:r>
              <w:rPr>
                <w:sz w:val="21"/>
              </w:rPr>
              <m:t>∑</m:t>
            </m:r>
          </m:e>
          <m:sub>
            <m:r>
              <w:rPr>
                <w:sz w:val="21"/>
              </w:rPr>
              <m:t>i</m:t>
            </m:r>
            <m:r>
              <w:rPr>
                <w:sz w:val="21"/>
              </w:rPr>
              <m:t>=</m:t>
            </m:r>
            <m:r>
              <w:rPr>
                <w:sz w:val="21"/>
              </w:rPr>
              <m:t>1</m:t>
            </m:r>
          </m:sub>
          <m:sup>
            <m:r>
              <w:rPr>
                <w:sz w:val="21"/>
              </w:rPr>
              <m:t>N</m:t>
            </m:r>
          </m:sup>
        </m:sSubSup>
        <m:r>
          <w:rPr>
            <w:sz w:val="21"/>
          </w:rPr>
          <m:t>|</m:t>
        </m:r>
        <m:sSub>
          <m:sSubPr/>
          <m:e>
            <m:acc>
              <m:accPr>
                <m:chr m:val="̂"/>
              </m:accPr>
              <m:e>
                <m:r>
                  <w:rPr>
                    <w:sz w:val="21"/>
                  </w:rPr>
                  <m:t>Y</m:t>
                </m:r>
              </m:e>
            </m:acc>
          </m:e>
          <m:sub>
            <m:r>
              <w:rPr>
                <w:sz w:val="21"/>
              </w:rPr>
              <m:t>b</m:t>
            </m:r>
            <m:r>
              <w:rPr>
                <w:sz w:val="21"/>
              </w:rPr>
              <m:t>p</m:t>
            </m:r>
            <m:r>
              <w:rPr>
                <w:sz w:val="21"/>
              </w:rPr>
              <m:t>i</m:t>
            </m:r>
          </m:sub>
        </m:sSub>
        <m:r>
          <w:rPr>
            <w:sz w:val="21"/>
          </w:rPr>
          <m:t>−</m:t>
        </m:r>
        <m:sSub>
          <m:sSubPr/>
          <m:e>
            <m:r>
              <w:rPr>
                <w:sz w:val="21"/>
              </w:rPr>
              <m:t>Y</m:t>
            </m:r>
          </m:e>
          <m:sub>
            <m:r>
              <w:rPr>
                <w:sz w:val="21"/>
              </w:rPr>
              <m:t>b</m:t>
            </m:r>
            <m:r>
              <w:rPr>
                <w:sz w:val="21"/>
              </w:rPr>
              <m:t>p</m:t>
            </m:r>
            <m:r>
              <w:rPr>
                <w:sz w:val="21"/>
              </w:rPr>
              <m:t>i</m:t>
            </m:r>
          </m:sub>
        </m:sSub>
        <m:r>
          <w:rPr>
            <w:sz w:val="21"/>
          </w:rPr>
          <m:t>|</m:t>
        </m:r>
        <m:r>
          <w:rPr>
            <w:sz w:val="21"/>
          </w:rPr>
          <m:t>.</m:t>
        </m:r>
      </m:oMath>
      <w:r>
        <w:tab/>
      </w:r>
      <w:r>
        <w:rPr>
          <w:rFonts w:ascii="Times New Roman" w:hAnsi="Times New Roman" w:cs="Times New Roman" w:eastAsia="宋体"/>
          <w:sz w:val="21"/>
        </w:rPr>
        <w:t>（3-13）</w:t>
      </w:r>
    </w:p>
    <w:p>
      <w:pPr>
        <w:spacing w:before="0" w:after="0" w:line="300" w:lineRule="auto"/>
        <w:ind w:firstLine="480"/>
        <w:jc w:val="both"/>
        <w:snapToGrid w:val="0"/>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snapToGrid w:val="0"/>
      </w:pPr>
      <w:r>
        <w:rPr>
          <w:rFonts w:ascii="Times New Roman" w:hAnsi="Times New Roman" w:cs="Times New Roman" w:eastAsia="黑体"/>
          <w:b w:val="0"/>
          <w:sz w:val="28"/>
        </w:rPr>
        <w:t>3.5.8 与现有方法的区别</w:t>
      </w:r>
    </w:p>
    <w:p>
      <w:pPr>
        <w:spacing w:before="0" w:after="0" w:line="300" w:lineRule="auto"/>
        <w:ind w:firstLine="480"/>
        <w:jc w:val="both"/>
        <w:snapToGrid w:val="0"/>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snapToGrid w:val="0"/>
      </w:pPr>
      <w:r>
        <w:rPr>
          <w:rFonts w:ascii="Times New Roman" w:hAnsi="Times New Roman" w:cs="Times New Roman" w:eastAsia="黑体"/>
          <w:b w:val="0"/>
          <w:sz w:val="28"/>
        </w:rPr>
        <w:t>3.5.9 节点门控与残差更新的分工</w:t>
      </w:r>
    </w:p>
    <w:p>
      <w:pPr>
        <w:spacing w:before="0" w:after="0" w:line="300" w:lineRule="auto"/>
        <w:ind w:firstLine="480"/>
        <w:jc w:val="both"/>
        <w:snapToGrid w:val="0"/>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snapToGrid w:val="0"/>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load</m:t>
            </m:r>
          </m:sub>
          <m:sup>
            <m:r>
              <w:rPr>
                <w:sz w:val="21"/>
              </w:rPr>
              <m:t>(</m:t>
            </m:r>
            <m:r>
              <w:rPr>
                <w:sz w:val="21"/>
              </w:rPr>
              <m:t>l</m:t>
            </m:r>
            <m:r>
              <w:rPr>
                <w:sz w:val="21"/>
              </w:rPr>
              <m:t>)</m:t>
            </m:r>
          </m:sup>
        </m:sSub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event</m:t>
            </m:r>
          </m:sub>
          <m:sup>
            <m:r>
              <w:rPr>
                <w:sz w:val="21"/>
              </w:rPr>
              <m:t>(</m:t>
            </m:r>
            <m:r>
              <w:rPr>
                <w:sz w:val="21"/>
              </w:rPr>
              <m:t>l</m:t>
            </m:r>
            <m:r>
              <w:rPr>
                <w:sz w:val="21"/>
              </w:rPr>
              <m:t>)</m:t>
            </m:r>
          </m:sup>
        </m:sSub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𝐌</m:t>
            </m:r>
          </m:e>
          <m:sub>
            <m:r>
              <w:rPr>
                <w:sz w:val="21"/>
              </w:rPr>
              <m:t>pattern</m:t>
            </m:r>
          </m:sub>
          <m:sup>
            <m:r>
              <w:rPr>
                <w:sz w:val="21"/>
              </w:rPr>
              <m:t>(</m:t>
            </m:r>
            <m:r>
              <w:rPr>
                <w:sz w:val="21"/>
              </w:rPr>
              <m:t>l</m:t>
            </m:r>
            <m:r>
              <w:rPr>
                <w:sz w:val="21"/>
              </w:rPr>
              <m:t>)</m:t>
            </m:r>
          </m:sup>
        </m:sSubSup>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snapToGrid w:val="0"/>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𝐆</m:t>
            </m:r>
          </m:e>
          <m:sup>
            <m:r>
              <w:rPr>
                <w:sz w:val="21"/>
              </w:rPr>
              <m:t>(</m:t>
            </m:r>
            <m:r>
              <w:rPr>
                <w:sz w:val="21"/>
              </w:rPr>
              <m:t>l</m:t>
            </m:r>
            <m:r>
              <w:rPr>
                <w:sz w:val="21"/>
              </w:rPr>
              <m:t>)</m:t>
            </m:r>
          </m:sup>
        </m:sSup>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𝐆</m:t>
            </m:r>
          </m:e>
          <m:sup>
            <m:r>
              <w:rPr>
                <w:sz w:val="21"/>
              </w:rPr>
              <m:t>(</m:t>
            </m:r>
            <m:r>
              <w:rPr>
                <w:sz w:val="21"/>
              </w:rPr>
              <m:t>l</m:t>
            </m:r>
            <m:r>
              <w:rPr>
                <w:sz w:val="21"/>
              </w:rPr>
              <m:t>)</m:t>
            </m:r>
          </m:sup>
        </m:sSup>
        <m:r>
          <w:rPr>
            <w:sz w:val="21"/>
          </w:rPr>
          <m:t>⊙</m:t>
        </m:r>
        <m:sSup>
          <m:sSupPr/>
          <m:e>
            <m:r>
              <w:rPr>
                <w:sz w:val="21"/>
              </w:rPr>
              <m:t>𝐌</m:t>
            </m:r>
          </m:e>
          <m:sup>
            <m:r>
              <w:rPr>
                <w:sz w:val="21"/>
              </w:rPr>
              <m:t>(</m:t>
            </m:r>
            <m:r>
              <w:rPr>
                <w:sz w:val="21"/>
              </w:rPr>
              <m:t>l</m:t>
            </m:r>
            <m:r>
              <w:rPr>
                <w:sz w:val="21"/>
              </w:rPr>
              <m:t>)</m:t>
            </m:r>
          </m:sup>
        </m:sSup>
        <m:r>
          <w:rPr>
            <w:sz w:val="21"/>
          </w:rPr>
          <m:t>+</m:t>
        </m:r>
        <m:r>
          <w:rPr>
            <w:sz w:val="21"/>
          </w:rPr>
          <m:t>(</m:t>
        </m:r>
        <m:r>
          <w:rPr>
            <w:sz w:val="21"/>
          </w:rPr>
          <m:t>1</m:t>
        </m:r>
        <m:r>
          <w:rPr>
            <w:sz w:val="21"/>
          </w:rPr>
          <m:t>−</m:t>
        </m:r>
        <m:sSup>
          <m:sSupPr/>
          <m:e>
            <m:r>
              <w:rPr>
                <w:sz w:val="21"/>
              </w:rPr>
              <m:t>𝐆</m:t>
            </m:r>
          </m:e>
          <m:sup>
            <m:r>
              <w:rPr>
                <w:sz w:val="21"/>
              </w:rPr>
              <m:t>(</m:t>
            </m:r>
            <m:r>
              <w:rPr>
                <w:sz w:val="21"/>
              </w:rPr>
              <m:t>l</m:t>
            </m:r>
            <m:r>
              <w:rPr>
                <w:sz w:val="21"/>
              </w:rPr>
              <m:t>)</m:t>
            </m:r>
          </m:sup>
        </m:sSup>
        <m:r>
          <w:rPr>
            <w:sz w:val="21"/>
          </w:rPr>
          <m:t>)</m:t>
        </m:r>
        <m:r>
          <w:rPr>
            <w:sz w:val="21"/>
          </w:rPr>
          <m:t>⊙</m:t>
        </m:r>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推出节点级门值。</w:t>
      </w:r>
    </w:p>
    <w:p>
      <w:pPr>
        <w:spacing w:before="0" w:after="0" w:line="300" w:lineRule="auto"/>
        <w:ind w:firstLine="480"/>
        <w:jc w:val="both"/>
        <w:snapToGrid w:val="0"/>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8"/>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图3-6 节点门控与残差更新细节</w:t>
      </w:r>
    </w:p>
    <w:p>
      <w:pPr>
        <w:spacing w:before="0" w:after="0" w:line="300" w:lineRule="auto"/>
        <w:ind w:firstLine="480"/>
        <w:jc w:val="both"/>
        <w:snapToGrid w:val="0"/>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𝐌</m:t>
            </m:r>
          </m:e>
          <m:sup>
            <m:r>
              <w:rPr>
                <w:sz w:val="21"/>
              </w:rPr>
              <m:t>(</m:t>
            </m:r>
            <m:r>
              <w:rPr>
                <w:sz w:val="21"/>
              </w:rPr>
              <m:t>l</m:t>
            </m:r>
            <m:r>
              <w:rPr>
                <w:sz w:val="21"/>
              </w:rPr>
              <m:t>)</m:t>
            </m:r>
          </m:sup>
        </m:sSup>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𝐙</m:t>
            </m:r>
          </m:e>
          <m:sup>
            <m:r>
              <w:rPr>
                <w:sz w:val="21"/>
              </w:rPr>
              <m:t>(</m:t>
            </m:r>
            <m:r>
              <w:rPr>
                <w:sz w:val="21"/>
              </w:rPr>
              <m:t>l</m:t>
            </m:r>
            <m:r>
              <w:rPr>
                <w:sz w:val="21"/>
              </w:rPr>
              <m:t>)</m:t>
            </m:r>
          </m:sup>
        </m:sSup>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l</m:t>
            </m:r>
            <m:r>
              <w:rPr>
                <w:sz w:val="21"/>
              </w:rPr>
              <m:t>)</m:t>
            </m:r>
          </m:sup>
        </m:sSup>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snapToGrid w:val="0"/>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𝐆</m:t>
        </m:r>
      </m:oMath>
      <w:r>
        <w:rPr>
          <w:rFonts w:ascii="Times New Roman" w:hAnsi="Times New Roman" w:cs="Times New Roman" w:eastAsia="宋体"/>
          <w:b w:val="0"/>
          <w:sz w:val="24"/>
        </w:rPr>
        <w:t>的独立增益。旧主协议未设置节点门控的独立重训练消融；事件时刻输入协议中的固定门值变体虽出现退化，但同时改变了参数量，且部分种子达到最大训练轮次，因此只作为有限功能证据。本文不报告“节点门控单独贡献了多少百分点”，而将其独立净增益列为后续同协议重训练事项。</w:t>
      </w:r>
    </w:p>
    <w:p>
      <w:pPr>
        <w:spacing w:before="240" w:after="180" w:line="300" w:lineRule="auto"/>
        <w:ind w:firstLine="0"/>
        <w:jc w:val="both"/>
        <w:outlineLvl w:val="2"/>
        <w:snapToGrid w:val="0"/>
      </w:pPr>
      <w:r>
        <w:rPr>
          <w:rFonts w:ascii="Times New Roman" w:hAnsi="Times New Roman" w:cs="Times New Roman" w:eastAsia="黑体"/>
          <w:b w:val="0"/>
          <w:sz w:val="28"/>
        </w:rPr>
        <w:t>3.5.10 跨层表示的使用原则</w:t>
      </w:r>
    </w:p>
    <w:p>
      <w:pPr>
        <w:spacing w:before="0" w:after="0" w:line="300" w:lineRule="auto"/>
        <w:ind w:firstLine="480"/>
        <w:jc w:val="both"/>
        <w:snapToGrid w:val="0"/>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snapToGrid w:val="0"/>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r>
          <w:rPr>
            <w:sz w:val="21"/>
          </w:rPr>
          <m:t>‖</m:t>
        </m:r>
        <m:sSup>
          <m:sSupPr/>
          <m:e>
            <m:r>
              <w:rPr>
                <w:sz w:val="21"/>
              </w:rPr>
              <m:t>𝐇</m:t>
            </m:r>
          </m:e>
          <m:sup>
            <m:r>
              <w:rPr>
                <w:sz w:val="21"/>
              </w:rPr>
              <m:t>(</m:t>
            </m:r>
            <m:r>
              <w:rPr>
                <w:sz w:val="21"/>
              </w:rPr>
              <m:t>1</m:t>
            </m:r>
            <m:r>
              <w:rPr>
                <w:sz w:val="21"/>
              </w:rPr>
              <m:t>)</m:t>
            </m:r>
          </m:sup>
        </m:sSup>
        <m:r>
          <w:rPr>
            <w:sz w:val="21"/>
          </w:rPr>
          <m:t>‖</m:t>
        </m:r>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9"/>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图3-7 跨层表示路径</w:t>
      </w:r>
    </w:p>
    <w:p>
      <w:pPr>
        <w:spacing w:before="0" w:after="0" w:line="300" w:lineRule="auto"/>
        <w:ind w:firstLine="480"/>
        <w:jc w:val="both"/>
        <w:snapToGrid w:val="0"/>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r>
              <w:rPr>
                <w:sz w:val="21"/>
              </w:rPr>
              <m:t>ref</m:t>
            </m:r>
            <m:r>
              <w:rPr>
                <w:sz w:val="21"/>
              </w:rPr>
              <m:t>)</m:t>
            </m:r>
          </m:sup>
        </m:sSup>
      </m:oMath>
      <w:r>
        <w:rPr>
          <w:rFonts w:ascii="Times New Roman" w:hAnsi="Times New Roman" w:cs="Times New Roman" w:eastAsia="宋体"/>
          <w:b w:val="0"/>
          <w:sz w:val="18"/>
        </w:rPr>
        <w:t>接入跨层拼接。</w:t>
      </w:r>
    </w:p>
    <w:p>
      <w:pPr>
        <w:spacing w:before="0" w:after="0" w:line="300" w:lineRule="auto"/>
        <w:ind w:firstLine="480"/>
        <w:jc w:val="both"/>
        <w:snapToGrid w:val="0"/>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snapToGrid w:val="0"/>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0</m:t>
            </m:r>
            <m:r>
              <w:rPr>
                <w:sz w:val="21"/>
              </w:rPr>
              <m:t>)</m:t>
            </m:r>
          </m:sup>
        </m:sSup>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1</m:t>
            </m:r>
            <m:r>
              <w:rPr>
                <w:sz w:val="21"/>
              </w:rPr>
              <m:t>)</m:t>
            </m:r>
          </m:sup>
        </m:sSup>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𝐇</m:t>
            </m:r>
          </m:e>
          <m:sup>
            <m:r>
              <w:rPr>
                <w:sz w:val="21"/>
              </w:rPr>
              <m:t>(</m:t>
            </m:r>
            <m:r>
              <w:rPr>
                <w:sz w:val="21"/>
              </w:rPr>
              <m:t>2</m:t>
            </m:r>
            <m:r>
              <w:rPr>
                <w:sz w:val="21"/>
              </w:rPr>
              <m:t>)</m:t>
            </m:r>
          </m:sup>
        </m:sSup>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snapToGrid w:val="0"/>
      </w:pPr>
      <w:r>
        <w:rPr>
          <w:rFonts w:ascii="Times New Roman" w:hAnsi="Times New Roman" w:cs="Times New Roman" w:eastAsia="宋体"/>
          <w:b w:val="0"/>
          <w:sz w:val="24"/>
        </w:rPr>
        <w:t>模型结构的可解释性来自可区分的计算路径。关系级权重、节点级门值、残差路径和跨层拼接各自有明确的输入、输出和干预边界；图3-6和图3-7补充的是实现关系，不新增训练目标或实验结论。3.7.5节分别重训了新协议下的节点门控、精炼与跨层变体；这些结果不能倒推旧协议中各组件的净增益，训练后参数替换也不能代替结构消融。</w:t>
      </w:r>
    </w:p>
    <w:p>
      <w:pPr>
        <w:spacing w:before="360" w:after="240" w:line="360" w:lineRule="auto"/>
        <w:ind w:firstLine="0"/>
        <w:jc w:val="both"/>
        <w:outlineLvl w:val="1"/>
        <w:snapToGrid w:val="0"/>
      </w:pPr>
      <w:r>
        <w:rPr>
          <w:rFonts w:ascii="Times New Roman" w:hAnsi="Times New Roman" w:cs="Times New Roman" w:eastAsia="黑体"/>
          <w:b/>
          <w:sz w:val="30"/>
        </w:rPr>
        <w:t>3.6 对比实验</w:t>
      </w:r>
    </w:p>
    <w:p>
      <w:pPr>
        <w:spacing w:before="240" w:after="180" w:line="300" w:lineRule="auto"/>
        <w:ind w:firstLine="0"/>
        <w:jc w:val="both"/>
        <w:outlineLvl w:val="2"/>
        <w:snapToGrid w:val="0"/>
      </w:pPr>
      <w:r>
        <w:rPr>
          <w:rFonts w:ascii="Times New Roman" w:hAnsi="Times New Roman" w:cs="Times New Roman" w:eastAsia="黑体"/>
          <w:b w:val="0"/>
          <w:sz w:val="28"/>
        </w:rPr>
        <w:t>3.6.1 实验协议</w:t>
      </w:r>
    </w:p>
    <w:p>
      <w:pPr>
        <w:spacing w:before="0" w:after="0" w:line="300" w:lineRule="auto"/>
        <w:ind w:firstLine="480"/>
        <w:jc w:val="both"/>
        <w:snapToGrid w:val="0"/>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snapToGrid w:val="0"/>
      </w:pPr>
      <w:r>
        <w:rPr>
          <w:rFonts w:ascii="Times New Roman" w:hAnsi="Times New Roman" w:cs="Times New Roman" w:eastAsia="宋体"/>
          <w:b w:val="0"/>
          <w:sz w:val="24"/>
        </w:rPr>
        <w:t>为锁定原主实验的配置，本文将正式MRG-GCN定义为SG-EXP-003的StaticGraph运行，而不是后续可见性修订协议的替代结果。第四章四格诊断和本节时间块统计均从三种子逐键预测重新计算，具体配置见表3-1。</w:t>
      </w:r>
    </w:p>
    <w:p>
      <w:pPr>
        <w:spacing w:before="60" w:after="60" w:line="240" w:lineRule="auto"/>
        <w:ind w:firstLine="0"/>
        <w:jc w:val="center"/>
        <w:keepNext/>
        <w:snapToGrid w:val="0"/>
      </w:pPr>
      <w:r>
        <w:rPr>
          <w:rFonts w:ascii="Times New Roman" w:hAnsi="Times New Roman" w:cs="Times New Roman" w:eastAsia="黑体"/>
          <w:b w:val="0"/>
          <w:sz w:val="21"/>
        </w:rPr>
        <w:t>表3-1 原主实验冻结配置</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keepNext/>
              <w:snapToGrid w:val="0"/>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3</m:t>
                  </m:r>
                </m:sup>
              </m:sSup>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4</m:t>
                  </m:r>
                </m:sup>
              </m:sSup>
            </m:oMath>
            <w:r>
              <w:rPr/>
              <w:t>；批量256；最多60轮；patience=8</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随机种子</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p>
        </w:tc>
      </w:tr>
    </w:tbl>
    <w:p>
      <w:pPr>
        <w:spacing w:before="0" w:after="0" w:line="300" w:lineRule="auto"/>
        <w:ind w:firstLine="480"/>
        <w:jc w:val="both"/>
        <w:snapToGrid w:val="0"/>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MAE</m:t>
        </m:r>
        <m:r>
          <w:rPr>
            <w:sz w:val="21"/>
          </w:rPr>
          <m:t>⁡</m:t>
        </m:r>
        <m:r>
          <w:rPr>
            <w:sz w:val="21"/>
          </w:rPr>
          <m:t>=</m:t>
        </m:r>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r>
          <w:rPr>
            <w:sz w:val="21"/>
          </w:rPr>
          <m:t>,</m:t>
        </m:r>
        <m:r>
          <w:rPr>
            <w:sz w:val="21"/>
          </w:rPr>
          <m:t>RMSE</m:t>
        </m:r>
        <m:r>
          <w:rPr>
            <w:sz w:val="21"/>
          </w:rPr>
          <m:t>⁡</m:t>
        </m:r>
        <m:r>
          <w:rPr>
            <w:sz w:val="21"/>
          </w:rPr>
          <m:t>=</m:t>
        </m:r>
        <m:rad>
          <m:radPr>
            <m:degHide m:val="1"/>
          </m:radPr>
          <m:deg/>
          <m:e>
            <m:f>
              <m:num>
                <m:r>
                  <w:rPr>
                    <w:sz w:val="21"/>
                  </w:rPr>
                  <m:t>1</m:t>
                </m:r>
              </m:num>
              <m:den>
                <m:r>
                  <w:rPr>
                    <w:sz w:val="21"/>
                  </w:rPr>
                  <m:t>M</m:t>
                </m:r>
              </m:den>
            </m:f>
            <m:sSubSup>
              <m:sSubSupPr/>
              <m:e>
                <m:r>
                  <w:rPr>
                    <w:sz w:val="21"/>
                  </w:rPr>
                  <m:t>∑</m:t>
                </m:r>
              </m:e>
              <m:sub>
                <m:r>
                  <w:rPr>
                    <w:sz w:val="21"/>
                  </w:rPr>
                  <m:t>m</m:t>
                </m:r>
                <m:r>
                  <w:rPr>
                    <w:sz w:val="21"/>
                  </w:rPr>
                  <m:t>=</m:t>
                </m:r>
                <m:r>
                  <w:rPr>
                    <w:sz w:val="21"/>
                  </w:rPr>
                  <m:t>1</m:t>
                </m:r>
              </m:sub>
              <m:sup>
                <m:r>
                  <w:rPr>
                    <w:sz w:val="21"/>
                  </w:rPr>
                  <m:t>M</m:t>
                </m:r>
              </m:sup>
            </m:sSubSup>
            <m:sSup>
              <m:sSupPr/>
              <m:e>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e>
              <m:sup>
                <m:r>
                  <w:rPr>
                    <w:sz w:val="21"/>
                  </w:rPr>
                  <m:t>2</m:t>
                </m:r>
              </m:sup>
            </m:sSup>
          </m:e>
        </m:rad>
        <m:r>
          <w:rPr>
            <w:sz w:val="21"/>
          </w:rP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WAPE</m:t>
        </m:r>
        <m:r>
          <w:rPr>
            <w:sz w:val="21"/>
          </w:rPr>
          <m:t>⁡</m:t>
        </m:r>
        <m:r>
          <w:rPr>
            <w:sz w:val="21"/>
          </w:rPr>
          <m:t>=</m:t>
        </m:r>
        <m:f>
          <m:num>
            <m:sSubSup>
              <m:sSubSupPr/>
              <m:e>
                <m:r>
                  <w:rPr>
                    <w:sz w:val="21"/>
                  </w:rPr>
                  <m:t>∑</m:t>
                </m:r>
              </m:e>
              <m:sub>
                <m:r>
                  <w:rPr>
                    <w:sz w:val="21"/>
                  </w:rPr>
                  <m:t>m</m:t>
                </m:r>
                <m:r>
                  <w:rPr>
                    <w:sz w:val="21"/>
                  </w:rPr>
                  <m:t>=</m:t>
                </m:r>
                <m:r>
                  <w:rPr>
                    <w:sz w:val="21"/>
                  </w:rPr>
                  <m:t>1</m:t>
                </m:r>
              </m:sub>
              <m:sup>
                <m:r>
                  <w:rPr>
                    <w:sz w:val="21"/>
                  </w:rPr>
                  <m:t>M</m:t>
                </m:r>
              </m:sup>
            </m:sSubSup>
            <m:r>
              <w:rPr>
                <w:sz w:val="21"/>
              </w:rPr>
              <m:t>|</m:t>
            </m:r>
            <m:sSub>
              <m:sSubPr/>
              <m:e>
                <m:acc>
                  <m:accPr>
                    <m:chr m:val="̂"/>
                  </m:accPr>
                  <m:e>
                    <m:r>
                      <w:rPr>
                        <w:sz w:val="21"/>
                      </w:rPr>
                      <m:t>y</m:t>
                    </m:r>
                  </m:e>
                </m:acc>
              </m:e>
              <m:sub>
                <m:r>
                  <w:rPr>
                    <w:sz w:val="21"/>
                  </w:rPr>
                  <m:t>m</m:t>
                </m:r>
              </m:sub>
            </m:sSub>
            <m:r>
              <w:rPr>
                <w:sz w:val="21"/>
              </w:rPr>
              <m:t>−</m:t>
            </m:r>
            <m:sSub>
              <m:sSubPr/>
              <m:e>
                <m:r>
                  <w:rPr>
                    <w:sz w:val="21"/>
                  </w:rPr>
                  <m:t>y</m:t>
                </m:r>
              </m:e>
              <m:sub>
                <m:r>
                  <w:rPr>
                    <w:sz w:val="21"/>
                  </w:rPr>
                  <m:t>m</m:t>
                </m:r>
              </m:sub>
            </m:sSub>
            <m:r>
              <w:rPr>
                <w:sz w:val="21"/>
              </w:rPr>
              <m:t>|</m:t>
            </m:r>
          </m:num>
          <m:den>
            <m:sSubSup>
              <m:sSubSupPr/>
              <m:e>
                <m:r>
                  <w:rPr>
                    <w:sz w:val="21"/>
                  </w:rPr>
                  <m:t>∑</m:t>
                </m:r>
              </m:e>
              <m:sub>
                <m:r>
                  <w:rPr>
                    <w:sz w:val="21"/>
                  </w:rPr>
                  <m:t>m</m:t>
                </m:r>
                <m:r>
                  <w:rPr>
                    <w:sz w:val="21"/>
                  </w:rPr>
                  <m:t>=</m:t>
                </m:r>
                <m:r>
                  <w:rPr>
                    <w:sz w:val="21"/>
                  </w:rPr>
                  <m:t>1</m:t>
                </m:r>
              </m:sub>
              <m:sup>
                <m:r>
                  <w:rPr>
                    <w:sz w:val="21"/>
                  </w:rPr>
                  <m:t>M</m:t>
                </m:r>
              </m:sup>
            </m:sSubSup>
            <m:r>
              <w:rPr>
                <w:sz w:val="21"/>
              </w:rPr>
              <m:t>|</m:t>
            </m:r>
            <m:sSub>
              <m:sSubPr/>
              <m:e>
                <m:r>
                  <w:rPr>
                    <w:sz w:val="21"/>
                  </w:rPr>
                  <m:t>y</m:t>
                </m:r>
              </m:e>
              <m:sub>
                <m:r>
                  <w:rPr>
                    <w:sz w:val="21"/>
                  </w:rPr>
                  <m:t>m</m:t>
                </m:r>
              </m:sub>
            </m:sSub>
            <m:r>
              <w:rPr>
                <w:sz w:val="21"/>
              </w:rPr>
              <m:t>|</m:t>
            </m:r>
          </m:den>
        </m:f>
        <m:r>
          <w:rPr>
            <w:sz w:val="21"/>
          </w:rPr>
          <m:t>.</m:t>
        </m:r>
      </m:oMath>
      <w:r>
        <w:tab/>
      </w:r>
      <w:r>
        <w:rPr>
          <w:rFonts w:ascii="Times New Roman" w:hAnsi="Times New Roman" w:cs="Times New Roman" w:eastAsia="宋体"/>
          <w:sz w:val="21"/>
        </w:rPr>
        <w:t>（3-15）</w:t>
      </w:r>
    </w:p>
    <w:p>
      <w:pPr>
        <w:spacing w:before="0" w:after="0" w:line="300" w:lineRule="auto"/>
        <w:ind w:firstLine="480"/>
        <w:jc w:val="both"/>
        <w:snapToGrid w:val="0"/>
      </w:pPr>
      <w:r>
        <w:rPr>
          <w:rFonts w:ascii="Times New Roman" w:hAnsi="Times New Roman" w:cs="Times New Roman" w:eastAsia="宋体"/>
          <w:b w:val="0"/>
          <w:sz w:val="24"/>
        </w:rPr>
        <w:t>MAE和RMSE单位均为kWh/15 min，WAPE无量纲。测试键中零负荷约占87%，MAPE易受零分母影响，故不作为主指标。表3-2汇总11个正式比较模型，并保留EventResidual作为已执行探索路线的结果记录。正式比较模型包括4个传统基线、MLP、GRU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90"/>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图3-8 训练—预测—评价流程</w:t>
      </w:r>
    </w:p>
    <w:p>
      <w:pPr>
        <w:spacing w:before="0" w:after="0" w:line="300" w:lineRule="auto"/>
        <w:ind w:firstLine="480"/>
        <w:jc w:val="both"/>
        <w:snapToGrid w:val="0"/>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snapToGrid w:val="0"/>
      </w:pPr>
      <w:r>
        <w:rPr>
          <w:rFonts w:ascii="Times New Roman" w:hAnsi="Times New Roman" w:cs="Times New Roman" w:eastAsia="黑体"/>
          <w:b w:val="0"/>
          <w:sz w:val="28"/>
        </w:rPr>
        <w:t>3.6.2 全局指标对比</w:t>
      </w:r>
    </w:p>
    <w:p>
      <w:pPr>
        <w:spacing w:before="60" w:after="60" w:line="240" w:lineRule="auto"/>
        <w:ind w:firstLine="0"/>
        <w:jc w:val="center"/>
        <w:keepNext/>
        <w:snapToGrid w:val="0"/>
      </w:pPr>
      <w:r>
        <w:rPr>
          <w:rFonts w:ascii="Times New Roman" w:hAnsi="Times New Roman" w:cs="Times New Roman" w:eastAsia="黑体"/>
          <w:b w:val="0"/>
          <w:sz w:val="21"/>
        </w:rPr>
        <w:t>表3-2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0.2860</w:t>
            </w:r>
          </w:p>
        </w:tc>
      </w:tr>
    </w:tbl>
    <w:p>
      <w:pPr>
        <w:spacing w:before="0" w:after="0" w:line="300" w:lineRule="auto"/>
        <w:ind w:firstLine="480"/>
        <w:jc w:val="both"/>
        <w:snapToGrid w:val="0"/>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snapToGrid w:val="0"/>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snapToGrid w:val="0"/>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snapToGrid w:val="0"/>
      </w:pPr>
      <w:r>
        <w:drawing>
          <wp:inline xmlns:a="http://schemas.openxmlformats.org/drawingml/2006/main" xmlns:pic="http://schemas.openxmlformats.org/drawingml/2006/picture">
            <wp:extent cx="5112000" cy="3798854"/>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91"/>
                    <a:stretch>
                      <a:fillRect/>
                    </a:stretch>
                  </pic:blipFill>
                  <pic:spPr>
                    <a:xfrm>
                      <a:off x="0" y="0"/>
                      <a:ext cx="5112000" cy="379885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图3-9 不同模型的全局MAE</w:t>
      </w:r>
    </w:p>
    <w:p>
      <w:pPr>
        <w:spacing w:before="0" w:after="0" w:line="300" w:lineRule="auto"/>
        <w:ind w:firstLine="480"/>
        <w:jc w:val="both"/>
        <w:snapToGrid w:val="0"/>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snapToGrid w:val="0"/>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24"/>
        </w:rPr>
        <w:t>处较LightGBM的0.05139低55.2%。</w:t>
      </w:r>
    </w:p>
    <w:p>
      <w:pPr>
        <w:spacing w:before="60" w:after="60" w:line="240" w:lineRule="auto"/>
        <w:ind w:firstLine="0"/>
        <w:jc w:val="center"/>
        <w:snapToGrid w:val="0"/>
      </w:pPr>
      <w:r>
        <w:drawing>
          <wp:inline xmlns:a="http://schemas.openxmlformats.org/drawingml/2006/main" xmlns:pic="http://schemas.openxmlformats.org/drawingml/2006/picture">
            <wp:extent cx="5112000" cy="2794559"/>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92"/>
                    <a:stretch>
                      <a:fillRect/>
                    </a:stretch>
                  </pic:blipFill>
                  <pic:spPr>
                    <a:xfrm>
                      <a:off x="0" y="0"/>
                      <a:ext cx="5112000" cy="279455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图3-10 不同模型的逐步长MAE</w:t>
      </w:r>
    </w:p>
    <w:p>
      <w:pPr>
        <w:spacing w:before="0" w:after="0" w:line="300" w:lineRule="auto"/>
        <w:ind w:firstLine="480"/>
        <w:jc w:val="both"/>
        <w:snapToGrid w:val="0"/>
      </w:pPr>
      <w:r>
        <w:rPr>
          <w:rFonts w:ascii="Times New Roman" w:hAnsi="Times New Roman" w:cs="Times New Roman" w:eastAsia="宋体"/>
          <w:b w:val="0"/>
          <w:sz w:val="18"/>
        </w:rPr>
        <w:t>注：曲线为三种子均值，阴影为跨种子样本标准差；横轴15、30、45、60 min分别对应</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rFonts w:ascii="Times New Roman" w:hAnsi="Times New Roman" w:cs="Times New Roman" w:eastAsia="宋体"/>
          <w:b w:val="0"/>
          <w:sz w:val="18"/>
        </w:rPr>
        <w:t>。实心方形标记表示MRG-GCN（StaticGraph），GWN和AGCRN为本文所检简化变体。</w:t>
      </w:r>
    </w:p>
    <w:p>
      <w:pPr>
        <w:spacing w:before="0" w:after="0" w:line="300" w:lineRule="auto"/>
        <w:ind w:firstLine="480"/>
        <w:jc w:val="both"/>
        <w:snapToGrid w:val="0"/>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4217775"/>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93"/>
                    <a:stretch>
                      <a:fillRect/>
                    </a:stretch>
                  </pic:blipFill>
                  <pic:spPr>
                    <a:xfrm>
                      <a:off x="0" y="0"/>
                      <a:ext cx="5112000" cy="4217775"/>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图3-11 模型误差差的点级Bootstrap</w:t>
      </w:r>
    </w:p>
    <w:p>
      <w:pPr>
        <w:spacing w:before="0" w:after="0" w:line="300" w:lineRule="auto"/>
        <w:ind w:firstLine="480"/>
        <w:jc w:val="both"/>
        <w:snapToGrid w:val="0"/>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snapToGrid w:val="0"/>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keepNext/>
        <w:snapToGrid w:val="0"/>
      </w:pPr>
      <w:r>
        <w:rPr>
          <w:rFonts w:ascii="Times New Roman" w:hAnsi="Times New Roman" w:cs="Times New Roman" w:eastAsia="黑体"/>
          <w:b w:val="0"/>
          <w:sz w:val="21"/>
        </w:rPr>
        <w:t>表3-3 原主实验时间块误差差复核</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27/27</w:t>
            </w:r>
          </w:p>
        </w:tc>
      </w:tr>
    </w:tbl>
    <w:p>
      <w:pPr>
        <w:spacing w:before="0" w:after="0" w:line="300" w:lineRule="auto"/>
        <w:ind w:firstLine="480"/>
        <w:jc w:val="both"/>
        <w:snapToGrid w:val="0"/>
      </w:pPr>
      <w:r>
        <w:rPr>
          <w:rFonts w:ascii="Times New Roman" w:hAnsi="Times New Roman" w:cs="Times New Roman" w:eastAsia="宋体"/>
          <w:b w:val="0"/>
          <w:sz w:val="24"/>
        </w:rPr>
        <w:t>表3-3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w:t>
      </w:r>
    </w:p>
    <w:p>
      <w:pPr>
        <w:spacing w:before="240" w:after="180" w:line="300" w:lineRule="auto"/>
        <w:ind w:firstLine="0"/>
        <w:jc w:val="both"/>
        <w:outlineLvl w:val="2"/>
        <w:snapToGrid w:val="0"/>
      </w:pPr>
      <w:r>
        <w:rPr>
          <w:rFonts w:ascii="Times New Roman" w:hAnsi="Times New Roman" w:cs="Times New Roman" w:eastAsia="黑体"/>
          <w:b w:val="0"/>
          <w:sz w:val="28"/>
        </w:rPr>
        <w:t>3.6.3 分层指标对比</w:t>
      </w:r>
    </w:p>
    <w:p>
      <w:pPr>
        <w:spacing w:before="0" w:after="0" w:line="300" w:lineRule="auto"/>
        <w:ind w:firstLine="480"/>
        <w:jc w:val="both"/>
        <w:snapToGrid w:val="0"/>
      </w:pPr>
      <w:r>
        <w:rPr>
          <w:rFonts w:ascii="Times New Roman" w:hAnsi="Times New Roman" w:cs="Times New Roman" w:eastAsia="宋体"/>
          <w:b w:val="0"/>
          <w:sz w:val="24"/>
        </w:rPr>
        <w:t>分层结果见表3-4：依据目标侧标签事件target_event划分事件与稳定窗口，并另行报告非零负荷子集。事件窗口占测试预测键的1.43%，冻结规则触发率0.43%不用于本表分层。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keepNext/>
        <w:snapToGrid w:val="0"/>
      </w:pPr>
      <w:r>
        <w:rPr>
          <w:rFonts w:ascii="Times New Roman" w:hAnsi="Times New Roman" w:cs="Times New Roman" w:eastAsia="黑体"/>
          <w:b w:val="0"/>
          <w:sz w:val="21"/>
        </w:rPr>
        <w:t>表3-4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0.0711</w:t>
            </w:r>
          </w:p>
        </w:tc>
      </w:tr>
    </w:tbl>
    <w:p>
      <w:pPr>
        <w:spacing w:before="0" w:after="0" w:line="300" w:lineRule="auto"/>
        <w:ind w:firstLine="480"/>
        <w:jc w:val="both"/>
        <w:snapToGrid w:val="0"/>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snapToGrid w:val="0"/>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94"/>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图3-12 不同评价窗口的MAE</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snapToGrid w:val="0"/>
      </w:pPr>
      <w:r>
        <w:rPr>
          <w:rFonts w:ascii="Times New Roman" w:hAnsi="Times New Roman" w:cs="Times New Roman" w:eastAsia="黑体"/>
          <w:b w:val="0"/>
          <w:sz w:val="28"/>
        </w:rPr>
        <w:t>3.6.4 节点与预测步长分析</w:t>
      </w:r>
    </w:p>
    <w:p>
      <w:pPr>
        <w:spacing w:before="0" w:after="0" w:line="300" w:lineRule="auto"/>
        <w:ind w:firstLine="480"/>
        <w:jc w:val="both"/>
        <w:snapToGrid w:val="0"/>
      </w:pPr>
      <w:r>
        <w:rPr>
          <w:rFonts w:ascii="Times New Roman" w:hAnsi="Times New Roman" w:cs="Times New Roman" w:eastAsia="宋体"/>
          <w:b w:val="0"/>
          <w:sz w:val="24"/>
        </w:rPr>
        <w:t>MRG-GCN的逐步长和逐节点误差列于表3-5。</w:t>
      </w:r>
    </w:p>
    <w:p>
      <w:pPr>
        <w:spacing w:before="60" w:after="60" w:line="240" w:lineRule="auto"/>
        <w:ind w:firstLine="0"/>
        <w:jc w:val="center"/>
        <w:keepNext/>
        <w:snapToGrid w:val="0"/>
      </w:pPr>
      <w:r>
        <w:rPr>
          <w:rFonts w:ascii="Times New Roman" w:hAnsi="Times New Roman" w:cs="Times New Roman" w:eastAsia="黑体"/>
          <w:b w:val="0"/>
          <w:sz w:val="21"/>
        </w:rPr>
        <w:t>表3-5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1</m:t>
              </m:r>
            </m:oMath>
            <w:r>
              <w:rPr/>
              <w:t>（15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2</m:t>
              </m:r>
            </m:oMath>
            <w:r>
              <w:rPr/>
              <w:t>（30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3</m:t>
              </m:r>
            </m:oMath>
            <w:r>
              <w:rPr/>
              <w:t>（45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r>
                <w:rPr>
                  <w:sz w:val="21"/>
                </w:rPr>
                <m:t>4</m:t>
              </m:r>
            </m:oMath>
            <w:r>
              <w:rPr/>
              <w:t>（60 min）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0.00839</w:t>
            </w:r>
          </w:p>
        </w:tc>
      </w:tr>
    </w:tbl>
    <w:p>
      <w:pPr>
        <w:spacing w:before="0" w:after="0" w:line="300" w:lineRule="auto"/>
        <w:ind w:firstLine="480"/>
        <w:jc w:val="both"/>
        <w:snapToGrid w:val="0"/>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snapToGrid w:val="0"/>
      </w:pPr>
      <w:r>
        <w:drawing>
          <wp:inline xmlns:a="http://schemas.openxmlformats.org/drawingml/2006/main" xmlns:pic="http://schemas.openxmlformats.org/drawingml/2006/picture">
            <wp:extent cx="5112000" cy="3367277"/>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95"/>
                    <a:stretch>
                      <a:fillRect/>
                    </a:stretch>
                  </pic:blipFill>
                  <pic:spPr>
                    <a:xfrm>
                      <a:off x="0" y="0"/>
                      <a:ext cx="5112000" cy="336727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图3-13 不同模型的逐节点MAE</w:t>
      </w:r>
    </w:p>
    <w:p>
      <w:pPr>
        <w:spacing w:before="0" w:after="0" w:line="300" w:lineRule="auto"/>
        <w:ind w:firstLine="480"/>
        <w:jc w:val="both"/>
        <w:snapToGrid w:val="0"/>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snapToGrid w:val="0"/>
      </w:pPr>
      <w:r>
        <w:rPr>
          <w:rFonts w:ascii="Times New Roman" w:hAnsi="Times New Roman" w:cs="Times New Roman" w:eastAsia="黑体"/>
          <w:b w:val="0"/>
          <w:sz w:val="28"/>
        </w:rPr>
        <w:t>3.6.5 模型效率分析</w:t>
      </w:r>
    </w:p>
    <w:p>
      <w:pPr>
        <w:spacing w:before="0" w:after="0" w:line="300" w:lineRule="auto"/>
        <w:ind w:firstLine="480"/>
        <w:jc w:val="both"/>
        <w:snapToGrid w:val="0"/>
      </w:pPr>
      <w:r>
        <w:rPr>
          <w:rFonts w:ascii="Times New Roman" w:hAnsi="Times New Roman" w:cs="Times New Roman" w:eastAsia="宋体"/>
          <w:b w:val="0"/>
          <w:sz w:val="24"/>
        </w:rPr>
        <w:t>模型规模与正式训练耗时列于表3-6。</w:t>
      </w:r>
    </w:p>
    <w:p>
      <w:pPr>
        <w:spacing w:before="60" w:after="60" w:line="240" w:lineRule="auto"/>
        <w:ind w:firstLine="0"/>
        <w:jc w:val="center"/>
        <w:keepNext/>
        <w:snapToGrid w:val="0"/>
      </w:pPr>
      <w:r>
        <w:rPr>
          <w:rFonts w:ascii="Times New Roman" w:hAnsi="Times New Roman" w:cs="Times New Roman" w:eastAsia="黑体"/>
          <w:b w:val="0"/>
          <w:sz w:val="21"/>
        </w:rPr>
        <w:t>表3-6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0.02112</w:t>
            </w:r>
          </w:p>
        </w:tc>
      </w:tr>
    </w:tbl>
    <w:p>
      <w:pPr>
        <w:spacing w:before="0" w:after="0" w:line="300" w:lineRule="auto"/>
        <w:ind w:firstLine="480"/>
        <w:jc w:val="both"/>
        <w:snapToGrid w:val="0"/>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snapToGrid w:val="0"/>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snapToGrid w:val="0"/>
      </w:pPr>
      <w:r>
        <w:rPr>
          <w:rFonts w:ascii="Times New Roman" w:hAnsi="Times New Roman" w:cs="Times New Roman" w:eastAsia="宋体"/>
          <w:b w:val="0"/>
          <w:sz w:val="24"/>
        </w:rPr>
        <w:t>从结果解读角度，表3-2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snapToGrid w:val="0"/>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snapToGrid w:val="0"/>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snapToGrid w:val="0"/>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snapToGrid w:val="0"/>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-6作为本实现的量级参考，不用它证明某一模型在所有设备上都更高效。</w:t>
      </w:r>
    </w:p>
    <w:p>
      <w:pPr>
        <w:spacing w:before="240" w:after="180" w:line="300" w:lineRule="auto"/>
        <w:ind w:firstLine="0"/>
        <w:jc w:val="both"/>
        <w:outlineLvl w:val="2"/>
        <w:snapToGrid w:val="0"/>
      </w:pPr>
      <w:r>
        <w:rPr>
          <w:rFonts w:ascii="Times New Roman" w:hAnsi="Times New Roman" w:cs="Times New Roman" w:eastAsia="黑体"/>
          <w:b w:val="0"/>
          <w:sz w:val="28"/>
        </w:rPr>
        <w:t>3.6.6 事件机制消融与归因</w:t>
      </w:r>
    </w:p>
    <w:p>
      <w:pPr>
        <w:spacing w:before="0" w:after="0" w:line="300" w:lineRule="auto"/>
        <w:ind w:firstLine="480"/>
        <w:jc w:val="both"/>
        <w:snapToGrid w:val="0"/>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-2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snapToGrid w:val="0"/>
      </w:pPr>
      <w:r>
        <w:rPr>
          <w:rFonts w:ascii="Times New Roman" w:hAnsi="Times New Roman" w:cs="Times New Roman" w:eastAsia="黑体"/>
          <w:b/>
          <w:sz w:val="30"/>
        </w:rPr>
        <w:t>3.7 消融实验</w:t>
      </w:r>
    </w:p>
    <w:p>
      <w:pPr>
        <w:spacing w:before="0" w:after="0" w:line="300" w:lineRule="auto"/>
        <w:ind w:firstLine="480"/>
        <w:jc w:val="both"/>
        <w:snapToGrid w:val="0"/>
      </w:pPr>
      <w:r>
        <w:rPr>
          <w:rFonts w:ascii="Times New Roman" w:hAnsi="Times New Roman" w:cs="Times New Roman" w:eastAsia="宋体"/>
          <w:b w:val="0"/>
          <w:sz w:val="24"/>
        </w:rPr>
        <w:t>本节将三类操作分开报告：3.7.1为消融套件内的结构变体重训，3.7.2为旧协议已训练模型的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仅前向替换，3.7.5为事件时刻输入协议下的等权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等变体重训。它们的基线、输入协议和回答问题不同，不能合并为同一项消融。</w:t>
      </w:r>
    </w:p>
    <w:p>
      <w:pPr>
        <w:spacing w:before="240" w:after="180" w:line="300" w:lineRule="auto"/>
        <w:ind w:firstLine="0"/>
        <w:jc w:val="both"/>
        <w:outlineLvl w:val="2"/>
        <w:snapToGrid w:val="0"/>
      </w:pPr>
      <w:r>
        <w:rPr>
          <w:rFonts w:ascii="Times New Roman" w:hAnsi="Times New Roman" w:cs="Times New Roman" w:eastAsia="黑体"/>
          <w:b w:val="0"/>
          <w:sz w:val="28"/>
        </w:rPr>
        <w:t>3.7.1 组合配置下的结构消融证据</w:t>
      </w:r>
    </w:p>
    <w:p>
      <w:pPr>
        <w:spacing w:before="0" w:after="0" w:line="300" w:lineRule="auto"/>
        <w:ind w:firstLine="480"/>
        <w:jc w:val="both"/>
        <w:snapToGrid w:val="0"/>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-2的正式MRG-GCN不是同一比较基准。表3-7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snapToGrid w:val="0"/>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keepNext/>
        <w:snapToGrid w:val="0"/>
      </w:pPr>
      <w:r>
        <w:rPr>
          <w:rFonts w:ascii="Times New Roman" w:hAnsi="Times New Roman" w:cs="Times New Roman" w:eastAsia="黑体"/>
          <w:b w:val="0"/>
          <w:sz w:val="21"/>
        </w:rPr>
        <w:t>表3-7 组合配置下的结构消融结果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+113.0%</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886946"/>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6"/>
                    <a:stretch>
                      <a:fillRect/>
                    </a:stretch>
                  </pic:blipFill>
                  <pic:spPr>
                    <a:xfrm>
                      <a:off x="0" y="0"/>
                      <a:ext cx="5112000" cy="288694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图3-14 结构消融结果</w:t>
      </w:r>
    </w:p>
    <w:p>
      <w:pPr>
        <w:spacing w:before="0" w:after="0" w:line="300" w:lineRule="auto"/>
        <w:ind w:firstLine="480"/>
        <w:jc w:val="both"/>
        <w:snapToGrid w:val="0"/>
      </w:pPr>
      <w:r>
        <w:rPr>
          <w:rFonts w:ascii="Times New Roman" w:hAnsi="Times New Roman" w:cs="Times New Roman" w:eastAsia="宋体"/>
          <w:b w:val="0"/>
          <w:sz w:val="18"/>
        </w:rPr>
        <w:t>注：柱高为三种子均值，误差棒为跨种子标准差。百分比均相对于消融套件的0.01390内部基线，不与表3-2主模型直接换算。</w:t>
      </w:r>
    </w:p>
    <w:p>
      <w:pPr>
        <w:spacing w:before="240" w:after="180" w:line="300" w:lineRule="auto"/>
        <w:ind w:firstLine="0"/>
        <w:jc w:val="both"/>
        <w:outlineLvl w:val="2"/>
        <w:snapToGrid w:val="0"/>
      </w:pPr>
      <w:r>
        <w:rPr>
          <w:rFonts w:ascii="Times New Roman" w:hAnsi="Times New Roman" w:cs="Times New Roman" w:eastAsia="黑体"/>
          <w:b w:val="0"/>
          <w:sz w:val="28"/>
        </w:rPr>
        <w:t>3.7.2 门控参数干预</w:t>
      </w:r>
    </w:p>
    <w:p>
      <w:pPr>
        <w:spacing w:before="0" w:after="0" w:line="300" w:lineRule="auto"/>
        <w:ind w:firstLine="480"/>
        <w:jc w:val="both"/>
        <w:snapToGrid w:val="0"/>
      </w:pPr>
      <w:r>
        <w:rPr>
          <w:rFonts w:ascii="Times New Roman" w:hAnsi="Times New Roman" w:cs="Times New Roman" w:eastAsia="宋体"/>
          <w:b w:val="0"/>
          <w:sz w:val="24"/>
        </w:rPr>
        <w:t>对旧训练模型只替换β、保持关系变换及其他参数不变，检验的是已训练配置的功能依赖，而不是重训练后的结构净增益。详细权重、七种替换结果及β与关系变换的共同作用统一见第4章L1，不在本章重复展开。新协议等权变体的重训练结果另见3.7.5节，两类实验不能混写。</w:t>
      </w:r>
    </w:p>
    <w:p>
      <w:pPr>
        <w:spacing w:before="240" w:after="180" w:line="300" w:lineRule="auto"/>
        <w:ind w:firstLine="0"/>
        <w:jc w:val="both"/>
        <w:outlineLvl w:val="2"/>
        <w:snapToGrid w:val="0"/>
      </w:pPr>
      <w:r>
        <w:rPr>
          <w:rFonts w:ascii="Times New Roman" w:hAnsi="Times New Roman" w:cs="Times New Roman" w:eastAsia="黑体"/>
          <w:b w:val="0"/>
          <w:sz w:val="28"/>
        </w:rPr>
        <w:t>3.7.3 四格诊断</w:t>
      </w:r>
    </w:p>
    <w:p>
      <w:pPr>
        <w:spacing w:before="0" w:after="0" w:line="300" w:lineRule="auto"/>
        <w:ind w:firstLine="480"/>
        <w:jc w:val="both"/>
        <w:snapToGrid w:val="0"/>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（3-16）</w:t>
      </w:r>
    </w:p>
    <w:p>
      <w:pPr>
        <w:spacing w:before="0" w:after="0" w:line="300" w:lineRule="auto"/>
        <w:ind w:firstLine="480"/>
        <w:jc w:val="both"/>
        <w:snapToGrid w:val="0"/>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，说明分层样本与全局预测键一致。本章将其作为评价接口的一致性检查；主模型三种子的各格误差与贡献统一在4.4节解释，不将算术闭合当作机制证明。</w:t>
      </w:r>
    </w:p>
    <w:p>
      <w:pPr>
        <w:spacing w:before="240" w:after="180" w:line="300" w:lineRule="auto"/>
        <w:ind w:firstLine="0"/>
        <w:jc w:val="both"/>
        <w:outlineLvl w:val="2"/>
        <w:snapToGrid w:val="0"/>
      </w:pPr>
      <w:r>
        <w:rPr>
          <w:rFonts w:ascii="Times New Roman" w:hAnsi="Times New Roman" w:cs="Times New Roman" w:eastAsia="黑体"/>
          <w:b w:val="0"/>
          <w:sz w:val="28"/>
        </w:rPr>
        <w:t>3.7.4 关系子集与敏感性</w:t>
      </w:r>
    </w:p>
    <w:p>
      <w:pPr>
        <w:spacing w:before="0" w:after="0" w:line="300" w:lineRule="auto"/>
        <w:ind w:firstLine="480"/>
        <w:jc w:val="both"/>
        <w:snapToGrid w:val="0"/>
      </w:pPr>
      <w:r>
        <w:rPr>
          <w:rFonts w:ascii="Times New Roman" w:hAnsi="Times New Roman" w:cs="Times New Roman" w:eastAsia="宋体"/>
          <w:b w:val="0"/>
          <w:sz w:val="24"/>
        </w:rPr>
        <w:t>关系子集实验结果见表3-8，采用另一套完整模型协议，基线MAE为0.01412，不与表3-7或表3-2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snapToGrid w:val="0"/>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m:t>
        </m:r>
      </m:oMath>
      <w:r>
        <w:rPr>
          <w:rFonts w:ascii="Times New Roman" w:hAnsi="Times New Roman" w:cs="Times New Roman" w:eastAsia="宋体"/>
          <w:b w:val="0"/>
          <w:sz w:val="24"/>
        </w:rPr>
        <w:t>。这些已完成的小网格实验不构成输入长度、15节点范围或规则阈值/扩展长度的全面敏感性验证；后几项尚未完成，不声称模型对其稳健。</w:t>
      </w:r>
    </w:p>
    <w:p>
      <w:pPr>
        <w:spacing w:before="60" w:after="60" w:line="240" w:lineRule="auto"/>
        <w:ind w:firstLine="0"/>
        <w:jc w:val="center"/>
        <w:keepNext/>
        <w:snapToGrid w:val="0"/>
      </w:pPr>
      <w:r>
        <w:rPr>
          <w:rFonts w:ascii="Times New Roman" w:hAnsi="Times New Roman" w:cs="Times New Roman" w:eastAsia="黑体"/>
          <w:b w:val="0"/>
          <w:sz w:val="21"/>
        </w:rPr>
        <w:t>表3-8 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5</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k</m:t>
              </m:r>
              <m:r>
                <w:rPr>
                  <w:sz w:val="21"/>
                </w:rPr>
                <m:t>=</m:t>
              </m:r>
              <m:r>
                <w:rPr>
                  <w:sz w:val="21"/>
                </w:rPr>
                <m:t>7</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keepNext/>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oMath>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0.4</m:t>
              </m:r>
            </m:oMath>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变化不足0.03%</w:t>
            </w:r>
          </w:p>
        </w:tc>
      </w:tr>
    </w:tbl>
    <w:p>
      <w:pPr>
        <w:spacing w:before="240" w:after="180" w:line="300" w:lineRule="auto"/>
        <w:ind w:firstLine="0"/>
        <w:jc w:val="both"/>
        <w:outlineLvl w:val="2"/>
        <w:snapToGrid w:val="0"/>
      </w:pPr>
      <w:r>
        <w:rPr>
          <w:rFonts w:ascii="Times New Roman" w:hAnsi="Times New Roman" w:cs="Times New Roman" w:eastAsia="黑体"/>
          <w:b w:val="0"/>
          <w:sz w:val="28"/>
        </w:rPr>
        <w:t>3.7.5 事件时刻输入协议下的压力测试</w:t>
      </w:r>
    </w:p>
    <w:p>
      <w:pPr>
        <w:spacing w:before="0" w:after="0" w:line="300" w:lineRule="auto"/>
        <w:ind w:firstLine="480"/>
        <w:jc w:val="both"/>
        <w:snapToGrid w:val="0"/>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snapToGrid w:val="0"/>
      </w:pPr>
      <w:r>
        <w:rPr>
          <w:rFonts w:ascii="Times New Roman" w:hAnsi="Times New Roman" w:cs="Times New Roman" w:eastAsia="宋体"/>
          <w:b w:val="0"/>
          <w:sz w:val="24"/>
        </w:rPr>
        <w:t>该协议共完成12种配置、每种配置3个随机种子，训练预算和模型选择规则保持一致。结果见表3-9。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spacing w:before="60" w:after="60" w:line="240" w:lineRule="auto"/>
        <w:ind w:firstLine="0"/>
        <w:jc w:val="center"/>
        <w:keepNext/>
        <w:snapToGrid w:val="0"/>
      </w:pPr>
      <w:r>
        <w:rPr>
          <w:rFonts w:ascii="Times New Roman" w:hAnsi="Times New Roman" w:cs="Times New Roman" w:eastAsia="黑体"/>
          <w:b w:val="0"/>
          <w:sz w:val="21"/>
        </w:rPr>
        <w:t>表3-9 事件时刻输入协议下的正式结果与内部消融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0.03743</w:t>
              <w:br/>
              <w:t>±0.00022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0.3774</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0.0325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equal_beta</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0.03862</w:t>
              <w:br/>
              <w:t>±0.00028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0.3812</w:t>
              <w:br/>
              <w:t>±0.0014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0.0336</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0.03890</w:t>
              <w:br/>
              <w:t>±0.00010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0.3810</w:t>
              <w:br/>
              <w:t>±0.0009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0.0339</w:t>
              <w:br/>
              <w:t>±0.0001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0.03900</w:t>
              <w:br/>
              <w:t>±0.00051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0.3829</w:t>
              <w:br/>
              <w:t>±0.0019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0.0340</w:t>
              <w:br/>
              <w:t>±0.0005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no_refine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0.03931</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0.0343</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0.03948</w:t>
              <w:br/>
              <w:t>±0.00031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0.3816</w:t>
              <w:br/>
              <w:t>±0.0025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0.0345</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fixed_gate</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0.04111</w:t>
              <w:br/>
              <w:t>±0.00147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0.3825</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0.0361</w:t>
              <w:br/>
              <w:t>±0.0015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0.04315</w:t>
              <w:br/>
              <w:t>±0.00073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0.3805</w:t>
              <w:br/>
              <w:t>±0.0024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0.0382</w:t>
              <w:br/>
              <w:t>±0.0008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0.04559</w:t>
              <w:br/>
              <w:t>±0.00027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0.3780</w:t>
              <w:br/>
              <w:t>±0.0004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0.0407</w:t>
              <w:br/>
              <w:t>±0.0003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mrg_</w:t>
              <w:br/>
              <w:t>self_loop</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0.04610</w:t>
              <w:br/>
              <w:t>±0.00057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0.3739</w:t>
              <w:br/>
              <w:t>±0.0010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0.0413</w:t>
              <w:br/>
              <w:t>±0.0006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0.04629</w:t>
              <w:br/>
              <w:t>±0.00019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0.3751</w:t>
              <w:br/>
              <w:t>±0.0007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0.0415</w:t>
              <w:br/>
              <w:t>±0.0002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0.04634</w:t>
              <w:br/>
              <w:t>±0.00029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0.3746</w:t>
              <w:br/>
              <w:t>±0.0019</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0.0415</w:t>
              <w:br/>
              <w:t>±0.0003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11/4/3；19/12/11</w:t>
            </w:r>
          </w:p>
        </w:tc>
      </w:tr>
    </w:tbl>
    <w:p>
      <w:pPr>
        <w:spacing w:before="0" w:after="0" w:line="300" w:lineRule="auto"/>
        <w:ind w:firstLine="480"/>
        <w:jc w:val="both"/>
        <w:snapToGrid w:val="0"/>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snapToGrid w:val="0"/>
      </w:pPr>
      <w:r>
        <w:rPr>
          <w:rFonts w:ascii="Times New Roman" w:hAnsi="Times New Roman" w:cs="Times New Roman" w:eastAsia="宋体"/>
          <w:b w:val="0"/>
          <w:sz w:val="24"/>
        </w:rPr>
        <w:t>在同一新协议下，mrg_full比参数量近似匹配的tcn_wide低16.1%的全局MAE；与参数量相同的mrg_self_loop相比，MAE低约15.6%，该对照更直接地支持跨节点关系路径在本协议中的补充价值。这里的比较只在新协议内部成立，不将其解释为删除旧代理负荷输入所造成的因果变化。另一方面，agcrn_full比mrg_full低3.9%，但参数量约为其6.1倍，因此该差异只作为完整能力基线结果，不解释为结构公平比较。内部消融的全局MAE从低到高依次为mrg_equal_beta、mrg_full、mrg_no_skip、mrg_no_refine、mrg_pattern、mrg_fixed_gate、mrg_load和mrg_event。其中固定门值退化最明显，去除跨层拼接和精炼的变化较小；三个单关系变体均劣于三关系融合，轮廓关系优于负荷关系，负荷关系又优于行为关系，支持关系互补性的窄结论。由于固定门值变体参数量较少，且部分种子达到最大训练轮次，该结果只支持门控在给定协议和预算下具有功能作用，不作为严格净增益估计。mrg_equal_beta略低于mrg_full，其均值差与三种子波动同级；本节后续时间块分析进一步检查该历史时期差异，不将种子离散度直接当作等效性判据，也不主张可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的正向净增益。需要注意，mrg_equal_beta是从头训练的等权模型，与旧协议中保持其他参数不变的训练后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替换不是同一实验：前者检验模型能否重新适应等权约束，后者检验既有模型对已学习关系分配的依赖。</w:t>
      </w:r>
    </w:p>
    <w:p>
      <w:pPr>
        <w:spacing w:before="0" w:after="0" w:line="300" w:lineRule="auto"/>
        <w:ind w:firstLine="480"/>
        <w:jc w:val="both"/>
        <w:snapToGrid w:val="0"/>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本压力测试不改变旧主实验的结论层级，也不补齐新协议下的全部公平基线。严格意义上，行为输入GRU/MLP或线性下界，以及参数量匹配的AGCRN仍未在该协议中执行；旧协议的GRU、MLP和传统基线不能直接搬入表3-9。</w:t>
      </w:r>
    </w:p>
    <w:p>
      <w:pPr>
        <w:spacing w:before="0" w:after="0" w:line="300" w:lineRule="auto"/>
        <w:ind w:firstLine="480"/>
        <w:jc w:val="both"/>
        <w:snapToGrid w:val="0"/>
      </w:pPr>
      <w:r>
        <w:rPr>
          <w:rFonts w:ascii="Times New Roman" w:hAnsi="Times New Roman" w:cs="Times New Roman" w:eastAsia="宋体"/>
          <w:b w:val="0"/>
          <w:sz w:val="24"/>
        </w:rPr>
        <w:t>为定位全局改善来自哪些样本，按归档预测作补充分层。新协议中零目标键占87.25%，MRG-GCN在该组的MAE为0.00403，等宽TCN为0.01312；非零目标组分别为0.27751和0.27365，标签事件组分别为0.38101和0.37463，MRG-GCN在后两组未取得更低均值。零目标组的绝对误差减少相当于全局净减少的106.6%，超过100%的部分被非零组误差增加抵消。因此，全局16.1%的降低主要来自大量零负荷窗口的误差抑制，不能解释为活跃充电幅度或突变预测全面改善。三种子节点均值在10个节点中的8个低于等宽TCN，CA-321与CA-489则较高；7个测试月份均值均较低，但首末月并不完整。</w:t>
      </w:r>
    </w:p>
    <w:p>
      <w:pPr>
        <w:spacing w:before="0" w:after="0" w:line="300" w:lineRule="auto"/>
        <w:ind w:firstLine="480"/>
        <w:jc w:val="both"/>
        <w:snapToGrid w:val="0"/>
      </w:pPr>
      <w:r>
        <w:rPr>
          <w:rFonts w:ascii="Times New Roman" w:hAnsi="Times New Roman" w:cs="Times New Roman" w:eastAsia="宋体"/>
          <w:b w:val="0"/>
          <w:sz w:val="24"/>
        </w:rPr>
        <w:t>按预测发布的当地日期划分27个连续七日非重叠时间块，保留全部节点、步长和三种子，对种子平均的同键误差差作2,000次配对Bootstrap。以“对照MAE减MRG-GCN MAE”为正向改善，等宽TCN与自环对照的全局差分别为0.00744和0.00720 kWh/15 min，描述性95%区间分别为[0.00693, 0.00798]和[0.00664, 0.00773]；相对等宽TCN的标签事件差为−0.00638，区间为[−0.00847, −0.00444]。这些结果把关系路径的价值限定在本测试时期和样本组成上。该区间反映固定三种子平均后的时间段变动，不包含重新抽取训练种子的全部不确定性，且未作多终点校正。</w:t>
      </w:r>
    </w:p>
    <w:p>
      <w:pPr>
        <w:spacing w:before="0" w:after="0" w:line="300" w:lineRule="auto"/>
        <w:ind w:firstLine="480"/>
        <w:jc w:val="both"/>
        <w:snapToGrid w:val="0"/>
      </w:pPr>
      <w:r>
        <w:rPr>
          <w:rFonts w:ascii="Times New Roman" w:hAnsi="Times New Roman" w:cs="Times New Roman" w:eastAsia="宋体"/>
          <w:b w:val="0"/>
          <w:sz w:val="24"/>
        </w:rPr>
        <w:t>相同时间块分析中，等权β配置比完整模型低0.000277 kWh/15 min，“等权减完整”的区间为[−0.000470, −0.000089]。这一历史时期的条件性差异与三种子离散度是不同的统计对象，不能因两模型均值接近便宣称完全等效，也不能将其外推为等权参数化普遍更优；它进一步表明现有结果不支持可学习β的正向净增益。跨层拼接去除后的差异区间跨零，精炼去除的条件性差异较小，固定门值的参数量与预算混淆仍存在。</w:t>
      </w:r>
    </w:p>
    <w:p>
      <w:pPr>
        <w:spacing w:before="360" w:after="240" w:line="360" w:lineRule="auto"/>
        <w:ind w:firstLine="0"/>
        <w:jc w:val="both"/>
        <w:outlineLvl w:val="1"/>
        <w:snapToGrid w:val="0"/>
      </w:pPr>
      <w:r>
        <w:rPr>
          <w:rFonts w:ascii="Times New Roman" w:hAnsi="Times New Roman" w:cs="Times New Roman" w:eastAsia="黑体"/>
          <w:b/>
          <w:sz w:val="30"/>
        </w:rPr>
        <w:t>3.8 方法设计及证据边界</w:t>
      </w:r>
    </w:p>
    <w:p>
      <w:pPr>
        <w:spacing w:before="0" w:after="0" w:line="300" w:lineRule="auto"/>
        <w:ind w:firstLine="480"/>
        <w:jc w:val="both"/>
        <w:snapToGrid w:val="0"/>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本章的方法设计主要体现在面向站内充电节点任务的关系构造、门控组合和统一验证协议，而非声称图卷积、TCN或门控机制本身首次出现。各组件对应的实验证据及适用边界见表3-10。</w:t>
      </w:r>
    </w:p>
    <w:p>
      <w:pPr>
        <w:spacing w:before="60" w:after="60" w:line="240" w:lineRule="auto"/>
        <w:ind w:firstLine="0"/>
        <w:jc w:val="center"/>
        <w:keepNext/>
        <w:snapToGrid w:val="0"/>
      </w:pPr>
      <w:r>
        <w:rPr>
          <w:rFonts w:ascii="Times New Roman" w:hAnsi="Times New Roman" w:cs="Times New Roman" w:eastAsia="黑体"/>
          <w:b w:val="0"/>
          <w:sz w:val="21"/>
        </w:rPr>
        <w:t>表3-10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旧子协议单关系接近；新协议三关系均值较低，整体改善主要来自零目标组；未证明三类均有独立增量</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旧7种冻结干预均退化；新等权重训及配对统计未支持可学习β正向净增益</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t>门控</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旧主协议未设置独立重训练消融；新协议固定门值变体MAE上升5.68%，但受参数量与固定训练预算影响，仅作功能证据</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0</m:t>
                  </m:r>
                  <m:r>
                    <w:rPr>
                      <w:sz w:val="21"/>
                    </w:rPr>
                    <m:t>)</m:t>
                  </m:r>
                </m:sup>
              </m:sSup>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1</m:t>
                  </m:r>
                  <m:r>
                    <w:rPr>
                      <w:sz w:val="21"/>
                    </w:rPr>
                    <m:t>)</m:t>
                  </m:r>
                </m:sup>
              </m:sSup>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H</m:t>
                  </m:r>
                </m:e>
                <m:sup>
                  <m:r>
                    <w:rPr>
                      <w:sz w:val="21"/>
                    </w:rPr>
                    <m:t>(</m:t>
                  </m:r>
                  <m:r>
                    <w:rPr>
                      <w:sz w:val="21"/>
                    </w:rPr>
                    <m:t>2</m:t>
                  </m:r>
                  <m:r>
                    <w:rPr>
                      <w:sz w:val="21"/>
                    </w:rPr>
                    <m:t>)</m:t>
                  </m:r>
                </m:sup>
              </m:sSup>
            </m:oMath>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由完整模型结果支持，未穷举层数和融合形式</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keepNext/>
              <w:snapToGrid w:val="0"/>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m:t>
              </m:r>
              <m:r>
                <w:rPr>
                  <w:sz w:val="21"/>
                </w:rPr>
                <m:t>0.2</m:t>
              </m:r>
              <m:r>
                <w:rPr>
                  <w:sz w:val="21"/>
                </w:rPr>
                <m:t>/</m:t>
              </m:r>
              <m:r>
                <w:rPr>
                  <w:sz w:val="21"/>
                </w:rP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snapToGrid w:val="0"/>
      </w:pPr>
      <w:r>
        <w:rPr>
          <w:rFonts w:ascii="Times New Roman" w:hAnsi="Times New Roman" w:cs="Times New Roman" w:eastAsia="黑体"/>
          <w:b w:val="0"/>
          <w:sz w:val="28"/>
        </w:rPr>
        <w:t>3.8.1 新旧输入协议的对应问题</w:t>
      </w:r>
    </w:p>
    <w:p>
      <w:pPr>
        <w:spacing w:before="0" w:after="0" w:line="300" w:lineRule="auto"/>
        <w:ind w:firstLine="480"/>
        <w:jc w:val="both"/>
        <w:snapToGrid w:val="0"/>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事件时刻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snapToGrid w:val="0"/>
      </w:pPr>
      <w:r>
        <w:rPr>
          <w:rFonts w:ascii="Times New Roman" w:hAnsi="Times New Roman" w:cs="Times New Roman" w:eastAsia="宋体"/>
          <w:b w:val="0"/>
          <w:sz w:val="24"/>
        </w:rPr>
        <w:t>旧协议具有既定比较组、三种子结果和配套机制诊断，因而承担主要预测结论；其中AGCRN和GWN使用已披露的简化实现，不将该比较组称为全部完整能力基线。新协议作为压力测试，报告同协议内的模型排序与组件边界，并在3.7.5节定位误差改善的样本来源。节点门控的独立净增益仍需容量接近的同协议重训练对照，现有固定门值结果仅作有限功能证据。</w:t>
      </w:r>
    </w:p>
    <w:p>
      <w:pPr>
        <w:spacing w:before="0" w:after="0" w:line="300" w:lineRule="auto"/>
        <w:ind w:firstLine="480"/>
        <w:jc w:val="both"/>
        <w:snapToGrid w:val="0"/>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snapToGrid w:val="0"/>
      </w:pPr>
      <w:r>
        <w:rPr>
          <w:rFonts w:ascii="Times New Roman" w:hAnsi="Times New Roman" w:cs="Times New Roman" w:eastAsia="黑体"/>
          <w:b/>
          <w:sz w:val="30"/>
        </w:rPr>
        <w:t>3.9 本章小结</w:t>
      </w:r>
    </w:p>
    <w:p>
      <w:pPr>
        <w:spacing w:before="0" w:after="0" w:line="300" w:lineRule="auto"/>
        <w:ind w:firstLine="480"/>
        <w:jc w:val="both"/>
        <w:snapToGrid w:val="0"/>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snapToGrid w:val="0"/>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新协议的固定门值变体出现明显退化，但由于该变体同时改变可训练参数量且部分种子达到最大轮次，本文将其作为有限功能证据，不据此估计门控的独立净增益。下一章将把这些证据按干预归因、蒸馏验证和四格溯源组织为机制诊断协议。</w:t>
      </w:r>
    </w:p>
    <w:p>
      <w:pPr>
        <w:spacing w:before="0" w:after="0" w:line="300" w:lineRule="auto"/>
        <w:ind w:firstLine="480"/>
        <w:jc w:val="both"/>
        <w:snapToGrid w:val="0"/>
      </w:pPr>
      <w:r>
        <w:rPr>
          <w:rFonts w:ascii="Times New Roman" w:hAnsi="Times New Roman" w:cs="Times New Roman" w:eastAsia="宋体"/>
          <w:b w:val="0"/>
          <w:sz w:val="24"/>
        </w:rPr>
        <w:t>为核查输入信息权限的影响，本文另按SG-DATA-006-eventtime-v1完成36项新协议运行。该组只作可见性边界和内部设计压力测试：行为可见输入下，MRG相对容量匹配TCN仍有相对优势，但完整AGCRN能力基线更低，且等权</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未劣于学习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β</m:t>
        </m:r>
      </m:oMath>
      <w:r>
        <w:rPr>
          <w:rFonts w:ascii="Times New Roman" w:hAnsi="Times New Roman" w:cs="Times New Roman" w:eastAsia="宋体"/>
          <w:b w:val="0"/>
          <w:sz w:val="24"/>
        </w:rPr>
        <w:t>，可学习权重的正向净增益未获支持；旧协议仍承担主要预测结论，两组结果不合并排名。</w:t>
      </w:r>
    </w:p>
    <w:p>
      <w:pPr>
        <w:sectPr>
          <w:headerReference w:type="default" r:id="rId79"/>
          <w:headerReference w:type="even" r:id="rId80"/>
          <w:footerReference w:type="default" r:id="rId81"/>
          <w:footerReference w:type="even" r:id="rId8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snapToGrid w:val="0"/>
      </w:pPr>
      <w:r>
        <w:rPr>
          <w:rFonts w:ascii="Times New Roman" w:hAnsi="Times New Roman" w:cs="Times New Roman" w:eastAsia="黑体"/>
          <w:b/>
          <w:sz w:val="30"/>
        </w:rPr>
        <w:t>4.1 引言：MDP协议的定义与设计原则</w:t>
      </w:r>
    </w:p>
    <w:p>
      <w:pPr>
        <w:spacing w:before="0" w:after="0" w:line="300" w:lineRule="auto"/>
        <w:ind w:firstLine="480"/>
        <w:jc w:val="both"/>
        <w:snapToGrid w:val="0"/>
      </w:pPr>
      <w:r>
        <w:rPr>
          <w:rFonts w:ascii="Times New Roman" w:hAnsi="Times New Roman" w:cs="Times New Roman" w:eastAsia="宋体"/>
          <w:b w:val="0"/>
          <w:sz w:val="24"/>
        </w:rPr>
        <w:t>第3章给出了MRG-GCN在共同预测键上的误差表现，但预测精度不能说明模型如何使用关系结构，也不能揭示全局误差的样本构成。特征归因或权重可视化能够展示模型读数</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，却无法直接回答关系分配改变后的响应、图模型信息能否被纯时序学生吸收，以及事件样本如何贡献总体误差。针对这三个问题，本文构建三层机制诊断协议（mechanism diagnosis protocol，MDP），以明确的操作和判定边界补充观察式解释。</w:t>
      </w:r>
    </w:p>
    <w:p>
      <w:pPr>
        <w:spacing w:before="0" w:after="0" w:line="300" w:lineRule="auto"/>
        <w:ind w:firstLine="480"/>
        <w:jc w:val="both"/>
        <w:snapToGrid w:val="0"/>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snapToGrid w:val="0"/>
      </w:pPr>
      <w:r>
        <w:rPr>
          <w:rFonts w:ascii="Times New Roman" w:hAnsi="Times New Roman" w:cs="Times New Roman" w:eastAsia="宋体"/>
          <w:b w:val="0"/>
          <w:sz w:val="24"/>
        </w:rPr>
        <w:t>为避免三类证据混用，本章明确区分：权重画像是训练后参数的观察性读数；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替换是在冻结模型上的功能干预；四格诊断是同一主模型三种子预测的样本误差分解。三者使用不同对象和对照条件，不能互相替代。</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10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图4-1 三层机制诊断协议</w:t>
      </w:r>
    </w:p>
    <w:p>
      <w:pPr>
        <w:spacing w:before="0" w:after="0" w:line="300" w:lineRule="auto"/>
        <w:ind w:firstLine="480"/>
        <w:jc w:val="both"/>
        <w:snapToGrid w:val="0"/>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keepNext/>
        <w:snapToGrid w:val="0"/>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keepNext/>
              <w:snapToGrid w:val="0"/>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t>观察＋7种冻结模型前向干预×3种子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观察到的权重画像与功能响应相互补充；所检替换均退化，不外推连续权重空间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snapToGrid w:val="0"/>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snapToGrid w:val="0"/>
      </w:pPr>
      <w:r>
        <w:rPr>
          <w:rFonts w:ascii="Times New Roman" w:hAnsi="Times New Roman" w:cs="Times New Roman" w:eastAsia="黑体"/>
          <w:b w:val="0"/>
          <w:sz w:val="28"/>
        </w:rPr>
        <w:t>4.2.1 观察操作</w:t>
      </w:r>
    </w:p>
    <w:p>
      <w:pPr>
        <w:spacing w:before="0" w:after="0" w:line="300" w:lineRule="auto"/>
        <w:ind w:firstLine="480"/>
        <w:jc w:val="both"/>
        <w:snapToGrid w:val="0"/>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1</m:t>
            </m:r>
            <m:r>
              <w:rPr>
                <w:sz w:val="21"/>
              </w:rPr>
              <m:t>)</m:t>
            </m:r>
          </m:sup>
        </m:sSup>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𝜷</m:t>
            </m:r>
          </m:e>
          <m:sup>
            <m:r>
              <w:rPr>
                <w:sz w:val="21"/>
              </w:rPr>
              <m:t>(</m:t>
            </m:r>
            <m:r>
              <w:rPr>
                <w:sz w:val="21"/>
              </w:rPr>
              <m:t>2</m:t>
            </m:r>
            <m:r>
              <w:rPr>
                <w:sz w:val="21"/>
              </w:rPr>
              <m:t>)</m:t>
            </m:r>
          </m:sup>
        </m:sSup>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snapToGrid w:val="0"/>
      </w:pPr>
      <w:r>
        <w:rPr>
          <w:rFonts w:ascii="Times New Roman" w:hAnsi="Times New Roman" w:cs="Times New Roman" w:eastAsia="黑体"/>
          <w:b w:val="0"/>
          <w:sz w:val="28"/>
        </w:rPr>
        <w:t>4.2.2 干预操作</w:t>
      </w:r>
    </w:p>
    <w:p>
      <w:pPr>
        <w:spacing w:before="0" w:after="0" w:line="300" w:lineRule="auto"/>
        <w:ind w:firstLine="480"/>
        <w:jc w:val="both"/>
        <w:snapToGrid w:val="0"/>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snapToGrid w:val="0"/>
      </w:pPr>
      <w:r>
        <w:rPr>
          <w:rFonts w:ascii="Times New Roman" w:hAnsi="Times New Roman" w:cs="Times New Roman" w:eastAsia="黑体"/>
          <w:b w:val="0"/>
          <w:sz w:val="28"/>
        </w:rPr>
        <w:t>4.2.3 观察证据</w:t>
      </w:r>
    </w:p>
    <w:p>
      <w:pPr>
        <w:spacing w:before="0" w:after="0" w:line="300" w:lineRule="auto"/>
        <w:ind w:firstLine="480"/>
        <w:jc w:val="both"/>
        <w:snapToGrid w:val="0"/>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keepNext/>
        <w:snapToGrid w:val="0"/>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0.0207</w:t>
            </w:r>
          </w:p>
        </w:tc>
      </w:tr>
    </w:tbl>
    <w:p>
      <w:pPr>
        <w:spacing w:before="0" w:after="0" w:line="300" w:lineRule="auto"/>
        <w:ind w:firstLine="480"/>
        <w:jc w:val="both"/>
        <w:snapToGrid w:val="0"/>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snapToGrid w:val="0"/>
      </w:pPr>
      <w:r>
        <w:rPr>
          <w:rFonts w:ascii="Times New Roman" w:hAnsi="Times New Roman" w:cs="Times New Roman" w:eastAsia="黑体"/>
          <w:b w:val="0"/>
          <w:sz w:val="28"/>
        </w:rPr>
        <w:t>4.2.4 干预证据</w:t>
      </w:r>
    </w:p>
    <w:p>
      <w:pPr>
        <w:spacing w:before="0" w:after="0" w:line="300" w:lineRule="auto"/>
        <w:ind w:firstLine="480"/>
        <w:jc w:val="both"/>
        <w:snapToGrid w:val="0"/>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snapToGrid w:val="0"/>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102"/>
                    <a:stretch>
                      <a:fillRect/>
                    </a:stretch>
                  </pic:blipFill>
                  <pic:spPr>
                    <a:xfrm>
                      <a:off x="0" y="0"/>
                      <a:ext cx="5112000" cy="26455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图4-2 两层关系级β门控权重画像</w:t>
      </w:r>
    </w:p>
    <w:p>
      <w:pPr>
        <w:spacing w:before="0" w:after="0" w:line="300" w:lineRule="auto"/>
        <w:ind w:firstLine="480"/>
        <w:jc w:val="both"/>
        <w:snapToGrid w:val="0"/>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snapToGrid w:val="0"/>
      </w:pPr>
      <w:r>
        <w:drawing>
          <wp:inline xmlns:a="http://schemas.openxmlformats.org/drawingml/2006/main" xmlns:pic="http://schemas.openxmlformats.org/drawingml/2006/picture">
            <wp:extent cx="5112000" cy="313065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103"/>
                    <a:stretch>
                      <a:fillRect/>
                    </a:stretch>
                  </pic:blipFill>
                  <pic:spPr>
                    <a:xfrm>
                      <a:off x="0" y="0"/>
                      <a:ext cx="5112000" cy="313065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图4-3 关系级门控参数干预结果</w:t>
      </w:r>
    </w:p>
    <w:p>
      <w:pPr>
        <w:spacing w:before="0" w:after="0" w:line="300" w:lineRule="auto"/>
        <w:ind w:firstLine="480"/>
        <w:jc w:val="both"/>
        <w:snapToGrid w:val="0"/>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snapToGrid w:val="0"/>
      </w:pPr>
      <w:r>
        <w:rPr>
          <w:rFonts w:ascii="Times New Roman" w:hAnsi="Times New Roman" w:cs="Times New Roman" w:eastAsia="黑体"/>
          <w:b w:val="0"/>
          <w:sz w:val="28"/>
        </w:rPr>
        <w:t>4.2.5 L1判定结论</w:t>
      </w:r>
    </w:p>
    <w:p>
      <w:pPr>
        <w:spacing w:before="0" w:after="0" w:line="300" w:lineRule="auto"/>
        <w:ind w:firstLine="480"/>
        <w:jc w:val="both"/>
        <w:snapToGrid w:val="0"/>
      </w:pPr>
      <w:r>
        <w:rPr>
          <w:rFonts w:ascii="Times New Roman" w:hAnsi="Times New Roman" w:cs="Times New Roman" w:eastAsia="宋体"/>
          <w:b w:val="0"/>
          <w:sz w:val="24"/>
        </w:rPr>
        <w:t>L1说明，在关系变换及其他参数固定时，所检7种β替换破坏了已训练联合配置，不能无代价地替代原值。这不是β本身不可替代的证明。每层消息由β与各关系变换共同决定，可写为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r>
          <w:rPr>
            <w:sz w:val="21"/>
          </w:rPr>
          <m:t>=</m:t>
        </m:r>
        <m:sSub>
          <m:sSubPr/>
          <m:e>
            <m:r>
              <w:rPr>
                <w:sz w:val="21"/>
              </w:rPr>
              <m:t>∑</m:t>
            </m:r>
          </m:e>
          <m:sub>
            <m:r>
              <w:rPr>
                <w:sz w:val="21"/>
              </w:rPr>
              <m:t>r</m:t>
            </m:r>
          </m:sub>
        </m:sSub>
        <m:sSub>
          <m:sSubPr/>
          <m:e>
            <m:r>
              <w:rPr>
                <w:sz w:val="21"/>
              </w:rPr>
              <m:t>β</m:t>
            </m:r>
          </m:e>
          <m:sub>
            <m:r>
              <w:rPr>
                <w:sz w:val="21"/>
              </w:rPr>
              <m:t>r</m:t>
            </m:r>
          </m:sub>
        </m:sSub>
        <m:sSub>
          <m:sSubPr/>
          <m:e>
            <m:r>
              <w:rPr>
                <w:sz w:val="21"/>
              </w:rPr>
              <m:t>W</m:t>
            </m:r>
          </m:e>
          <m:sub>
            <m:r>
              <w:rPr>
                <w:sz w:val="21"/>
              </w:rPr>
              <m:t>r</m:t>
            </m:r>
          </m:sub>
        </m:sSub>
        <m:r>
          <w:rPr>
            <w:sz w:val="21"/>
          </w:rPr>
          <m:t>(</m:t>
        </m:r>
        <m:sSub>
          <m:sSubPr/>
          <m:e>
            <m:acc>
              <m:accPr>
                <m:chr m:val="̂"/>
              </m:accPr>
              <m:e>
                <m:r>
                  <w:rPr>
                    <w:sz w:val="21"/>
                  </w:rPr>
                  <m:t>A</m:t>
                </m:r>
              </m:e>
            </m:acc>
          </m:e>
          <m:sub>
            <m:r>
              <w:rPr>
                <w:sz w:val="21"/>
              </w:rPr>
              <m:t>r</m:t>
            </m:r>
          </m:sub>
        </m:sSub>
        <m:r>
          <w:rPr>
            <w:sz w:val="21"/>
          </w:rPr>
          <m:t>H</m:t>
        </m:r>
        <m:r>
          <w:rPr>
            <w:sz w:val="21"/>
          </w:rPr>
          <m:t>)</m:t>
        </m:r>
      </m:oMath>
      <w:r>
        <w:rPr>
          <w:rFonts w:ascii="Times New Roman" w:hAnsi="Times New Roman" w:cs="Times New Roman" w:eastAsia="宋体"/>
          <w:b w:val="0"/>
          <w:sz w:val="24"/>
        </w:rPr>
        <w:t>。本实现为每类关系配置独立无偏置线性变换，且主配置关系随机失活为0；令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β</m:t>
            </m:r>
          </m:e>
          <m:sub>
            <m:r>
              <w:rPr>
                <w:sz w:val="21"/>
              </w:rPr>
              <m:t>r</m:t>
            </m:r>
          </m:sub>
          <m:sup>
            <m:r>
              <w:rPr>
                <w:sz w:val="21"/>
              </w:rPr>
              <m:t>′</m:t>
            </m:r>
          </m:sup>
        </m:sSubSup>
        <m:r>
          <w:rPr>
            <w:sz w:val="21"/>
          </w:rPr>
          <m:t>=</m:t>
        </m:r>
        <m:r>
          <w:rPr>
            <w:sz w:val="21"/>
          </w:rPr>
          <m:t>1</m:t>
        </m:r>
        <m:r>
          <w:rPr>
            <w:sz w:val="21"/>
          </w:rPr>
          <m:t>/</m:t>
        </m:r>
        <m:r>
          <w:rPr>
            <w:sz w:val="21"/>
          </w:rPr>
          <m:t>3</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w:rPr>
                <w:sz w:val="21"/>
              </w:rPr>
              <m:t>W</m:t>
            </m:r>
          </m:e>
          <m:sub>
            <m:r>
              <w:rPr>
                <w:sz w:val="21"/>
              </w:rPr>
              <m:t>r</m:t>
            </m:r>
          </m:sub>
          <m:sup>
            <m:r>
              <w:rPr>
                <w:sz w:val="21"/>
              </w:rPr>
              <m:t>′</m:t>
            </m:r>
          </m:sup>
        </m:sSubSup>
        <m:r>
          <w:rPr>
            <w:sz w:val="21"/>
          </w:rPr>
          <m:t>=</m:t>
        </m:r>
        <m:r>
          <w:rPr>
            <w:sz w:val="21"/>
          </w:rPr>
          <m:t>3</m:t>
        </m:r>
        <m:sSub>
          <m:sSubPr/>
          <m:e>
            <m:r>
              <w:rPr>
                <w:sz w:val="21"/>
              </w:rPr>
              <m:t>β</m:t>
            </m:r>
          </m:e>
          <m:sub>
            <m:r>
              <w:rPr>
                <w:sz w:val="21"/>
              </w:rPr>
              <m:t>r</m:t>
            </m:r>
          </m:sub>
        </m:sSub>
        <m:sSub>
          <m:sSubPr/>
          <m:e>
            <m:r>
              <w:rPr>
                <w:sz w:val="21"/>
              </w:rPr>
              <m:t>W</m:t>
            </m:r>
          </m:e>
          <m:sub>
            <m:r>
              <w:rPr>
                <w:sz w:val="21"/>
              </w:rPr>
              <m:t>r</m:t>
            </m:r>
          </m:sub>
        </m:sSub>
      </m:oMath>
      <w:r>
        <w:rPr>
          <w:rFonts w:ascii="Times New Roman" w:hAnsi="Times New Roman" w:cs="Times New Roman" w:eastAsia="宋体"/>
          <w:b w:val="0"/>
          <w:sz w:val="24"/>
        </w:rPr>
        <w:t>，即可保持每类加权消息及其总和不变。因此，β大小不能脱离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的尺度单独解释为关系重要性，等权参数化也不必缩小该消息函数的表达范围。</w:t>
      </w:r>
    </w:p>
    <w:p>
      <w:pPr>
        <w:spacing w:before="0" w:after="0" w:line="300" w:lineRule="auto"/>
        <w:ind w:firstLine="480"/>
        <w:jc w:val="both"/>
        <w:snapToGrid w:val="0"/>
      </w:pPr>
      <w:r>
        <w:rPr>
          <w:rFonts w:ascii="Times New Roman" w:hAnsi="Times New Roman" w:cs="Times New Roman" w:eastAsia="宋体"/>
          <w:b w:val="0"/>
          <w:sz w:val="24"/>
        </w:rPr>
        <w:t>上述重参数化不等于两个训练过程相同：权重衰减、梯度尺度和初始化会改变优化轨迹。旧干预固定</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、只替换β，回答既有配置的功能依赖；新协议等权变体从头训练，允许</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W</m:t>
            </m:r>
          </m:e>
          <m:sub>
            <m:r>
              <w:rPr>
                <w:sz w:val="21"/>
              </w:rPr>
              <m:t>r</m:t>
            </m:r>
          </m:sub>
        </m:sSub>
      </m:oMath>
      <w:r>
        <w:rPr>
          <w:rFonts w:ascii="Times New Roman" w:hAnsi="Times New Roman" w:cs="Times New Roman" w:eastAsia="宋体"/>
          <w:b w:val="0"/>
          <w:sz w:val="24"/>
        </w:rPr>
        <w:t>重新适应，回答另一参数化能否达到接近的误差。结合3.7.5节等权重训及历史时间块分析，本文不主张β具有独立的正向精度净增益，也不把观察权重转换为关系因果贡献。</w:t>
      </w:r>
    </w:p>
    <w:p>
      <w:pPr>
        <w:spacing w:before="360" w:after="240" w:line="360" w:lineRule="auto"/>
        <w:ind w:firstLine="0"/>
        <w:jc w:val="both"/>
        <w:outlineLvl w:val="1"/>
        <w:snapToGrid w:val="0"/>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snapToGrid w:val="0"/>
      </w:pPr>
      <w:r>
        <w:rPr>
          <w:rFonts w:ascii="Times New Roman" w:hAnsi="Times New Roman" w:cs="Times New Roman" w:eastAsia="黑体"/>
          <w:b w:val="0"/>
          <w:sz w:val="28"/>
        </w:rPr>
        <w:t>4.3.1 协议操作</w:t>
      </w:r>
    </w:p>
    <w:p>
      <w:pPr>
        <w:spacing w:before="0" w:after="0" w:line="300" w:lineRule="auto"/>
        <w:ind w:firstLine="480"/>
        <w:jc w:val="both"/>
        <w:snapToGrid w:val="0"/>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ℒ</m:t>
            </m:r>
          </m:e>
          <m:sub>
            <m:r>
              <w:rPr>
                <w:sz w:val="21"/>
              </w:rPr>
              <m:t>KD</m:t>
            </m:r>
          </m:sub>
        </m:sSub>
        <m:r>
          <w:rPr>
            <w:sz w:val="21"/>
          </w:rPr>
          <m:t>=</m:t>
        </m:r>
        <m:sSub>
          <m:sSubPr/>
          <m:e>
            <m:r>
              <w:rPr>
                <w:sz w:val="21"/>
              </w:rPr>
              <m:t>ℒ</m:t>
            </m:r>
          </m:e>
          <m:sub>
            <m:r>
              <w:rPr>
                <w:sz w:val="21"/>
              </w:rPr>
              <m:t>1</m:t>
            </m:r>
          </m:sub>
        </m:sSub>
        <m:r>
          <w:rPr>
            <w:sz w:val="21"/>
          </w:rPr>
          <m:t>(</m:t>
        </m:r>
        <m:sSub>
          <m:sSubPr/>
          <m:e>
            <m:acc>
              <m:accPr>
                <m:chr m:val="̂"/>
              </m:accPr>
              <m:e>
                <m:r>
                  <w:rPr>
                    <w:sz w:val="21"/>
                  </w:rPr>
                  <m:t>y</m:t>
                </m:r>
              </m:e>
            </m:acc>
          </m:e>
          <m:sub>
            <m:r>
              <w:rPr>
                <w:sz w:val="21"/>
              </w:rPr>
              <m:t>s</m:t>
            </m:r>
          </m:sub>
        </m:sSub>
        <m:r>
          <w:rPr>
            <w:sz w:val="21"/>
          </w:rPr>
          <m:t>,</m:t>
        </m:r>
        <m:r>
          <w:rPr>
            <w:sz w:val="21"/>
          </w:rPr>
          <m:t>y</m:t>
        </m:r>
        <m:r>
          <w:rPr>
            <w:sz w:val="21"/>
          </w:rPr>
          <m:t>)</m:t>
        </m:r>
        <m:r>
          <w:rPr>
            <w:sz w:val="21"/>
          </w:rPr>
          <m:t>+</m:t>
        </m:r>
        <m:r>
          <w:rPr>
            <w:sz w:val="21"/>
          </w:rPr>
          <m:t>α</m:t>
        </m:r>
        <m:r>
          <w:rPr>
            <w:sz w:val="21"/>
          </w:rPr>
          <m:t>MSE</m:t>
        </m:r>
        <m:r>
          <w:rPr>
            <w:sz w:val="21"/>
          </w:rPr>
          <m:t>⁡</m:t>
        </m:r>
        <m:r>
          <w:rPr>
            <w:sz w:val="21"/>
          </w:rPr>
          <m:t>(</m:t>
        </m:r>
        <m:sSub>
          <m:sSubPr/>
          <m:e>
            <m:acc>
              <m:accPr>
                <m:chr m:val="̂"/>
              </m:accPr>
              <m:e>
                <m:r>
                  <w:rPr>
                    <w:sz w:val="21"/>
                  </w:rPr>
                  <m:t>y</m:t>
                </m:r>
              </m:e>
            </m:acc>
          </m:e>
          <m:sub>
            <m:r>
              <w:rPr>
                <w:sz w:val="21"/>
              </w:rPr>
              <m:t>s</m:t>
            </m:r>
          </m:sub>
        </m:sSub>
        <m:r>
          <w:rPr>
            <w:sz w:val="21"/>
          </w:rPr>
          <m:t>,</m:t>
        </m:r>
        <m:sSub>
          <m:sSubPr/>
          <m:e>
            <m:acc>
              <m:accPr>
                <m:chr m:val="̂"/>
              </m:accPr>
              <m:e>
                <m:r>
                  <w:rPr>
                    <w:sz w:val="21"/>
                  </w:rPr>
                  <m:t>y</m:t>
                </m:r>
              </m:e>
            </m:acc>
          </m:e>
          <m:sub>
            <m:r>
              <w:rPr>
                <w:sz w:val="21"/>
              </w:rPr>
              <m:t>t</m:t>
            </m:r>
          </m:sub>
        </m:sSub>
        <m:r>
          <w:rPr>
            <w:sz w:val="21"/>
          </w:rP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y</m:t>
                </m:r>
              </m:e>
            </m:acc>
          </m:e>
          <m:sub>
            <m:r>
              <w:rPr>
                <w:sz w:val="21"/>
              </w:rP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m:t>
        </m:r>
        <m:r>
          <w:rPr>
            <w:sz w:val="21"/>
          </w:rPr>
          <m:t>0.1,0.5,1.0,2.0</m:t>
        </m:r>
        <m:r>
          <w:rPr>
            <w:sz w:val="21"/>
          </w:rP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snapToGrid w:val="0"/>
      </w:pPr>
      <w:r>
        <w:rPr>
          <w:rFonts w:ascii="Times New Roman" w:hAnsi="Times New Roman" w:cs="Times New Roman" w:eastAsia="黑体"/>
          <w:b w:val="0"/>
          <w:sz w:val="28"/>
        </w:rPr>
        <w:t>4.3.2 诊断实验</w:t>
      </w:r>
    </w:p>
    <w:p>
      <w:pPr>
        <w:spacing w:before="0" w:after="0" w:line="300" w:lineRule="auto"/>
        <w:ind w:firstLine="480"/>
        <w:jc w:val="both"/>
        <w:snapToGrid w:val="0"/>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2</m:t>
        </m:r>
      </m:oMath>
      <w:r>
        <w:rPr>
          <w:rFonts w:ascii="Times New Roman" w:hAnsi="Times New Roman" w:cs="Times New Roman" w:eastAsia="宋体"/>
          <w:b w:val="0"/>
          <w:sz w:val="24"/>
        </w:rPr>
        <w:t>仍约为教师MAE的2.1倍。</w:t>
      </w:r>
    </w:p>
    <w:p>
      <w:pPr>
        <w:spacing w:before="60" w:after="60" w:line="240" w:lineRule="auto"/>
        <w:ind w:firstLine="0"/>
        <w:jc w:val="center"/>
        <w:keepNext/>
        <w:snapToGrid w:val="0"/>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br/>
              <w:t>±0.00013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0.02931</w:t>
              <w:br/>
              <w:t>±0.00021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0.02941</w:t>
              <w:br/>
              <w:t>±0.00014</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0.02921</w:t>
              <w:br/>
              <w:t>±0.00006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2.12×</w:t>
            </w:r>
          </w:p>
        </w:tc>
      </w:tr>
    </w:tbl>
    <w:p>
      <w:pPr>
        <w:spacing w:before="0" w:after="0" w:line="300" w:lineRule="auto"/>
        <w:ind w:firstLine="480"/>
        <w:jc w:val="both"/>
        <w:snapToGrid w:val="0"/>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范围。</w:t>
      </w:r>
    </w:p>
    <w:p>
      <w:pPr>
        <w:spacing w:before="240" w:after="180" w:line="300" w:lineRule="auto"/>
        <w:ind w:firstLine="0"/>
        <w:jc w:val="both"/>
        <w:outlineLvl w:val="2"/>
        <w:snapToGrid w:val="0"/>
      </w:pPr>
      <w:r>
        <w:rPr>
          <w:rFonts w:ascii="Times New Roman" w:hAnsi="Times New Roman" w:cs="Times New Roman" w:eastAsia="黑体"/>
          <w:b w:val="0"/>
          <w:sz w:val="28"/>
        </w:rPr>
        <w:t>4.3.3 L2判定结论</w:t>
      </w:r>
    </w:p>
    <w:p>
      <w:pPr>
        <w:spacing w:before="0" w:after="0" w:line="300" w:lineRule="auto"/>
        <w:ind w:firstLine="480"/>
        <w:jc w:val="both"/>
        <w:snapToGrid w:val="0"/>
      </w:pPr>
      <w:r>
        <w:rPr>
          <w:rFonts w:ascii="Times New Roman" w:hAnsi="Times New Roman" w:cs="Times New Roman" w:eastAsia="宋体"/>
          <w:b w:val="0"/>
          <w:sz w:val="24"/>
        </w:rPr>
        <w:t>在本实验的TCN学生、预测值蒸馏目标和四个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oMath>
      <w:r>
        <w:rPr>
          <w:rFonts w:ascii="Times New Roman" w:hAnsi="Times New Roman" w:cs="Times New Roman" w:eastAsia="宋体"/>
          <w:b w:val="0"/>
          <w:sz w:val="24"/>
        </w:rPr>
        <w:t>取值下，蒸馏未弥合师生差距，但至少有三种尚未排除的解释。首先，学生缺少教师的邻居传播路径，软标签不能自动增加其输入信息；其次，教师与学生分别有32,714和16,996个可训练参数，当前实验没有容量匹配；再次，硬标签L1与软标签MSE对大残差的惩罚不同，有限权重范围和训练预算不保证找到更合适的折中。结果不能区分这些因素各自的贡献。</w:t>
      </w:r>
    </w:p>
    <w:p>
      <w:pPr>
        <w:spacing w:before="0" w:after="0" w:line="300" w:lineRule="auto"/>
        <w:ind w:firstLine="480"/>
        <w:jc w:val="both"/>
        <w:snapToGrid w:val="0"/>
      </w:pPr>
      <w:r>
        <w:rPr>
          <w:rFonts w:ascii="Times New Roman" w:hAnsi="Times New Roman" w:cs="Times New Roman" w:eastAsia="宋体"/>
          <w:b w:val="0"/>
          <w:sz w:val="24"/>
        </w:rPr>
        <w:t>因此，L2只说明当前学生设置未吸收教师收益，不推出图知识不可蒸馏。后续若要检验结构可替代性，应分别控制学生容量、可用输入与蒸馏目标，再采用相同验证预算比较；不能只增大蒸馏权重便将剩余差距归因于图结构。</w:t>
      </w:r>
    </w:p>
    <w:p>
      <w:pPr>
        <w:spacing w:before="360" w:after="240" w:line="360" w:lineRule="auto"/>
        <w:ind w:firstLine="0"/>
        <w:jc w:val="both"/>
        <w:outlineLvl w:val="1"/>
        <w:snapToGrid w:val="0"/>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snapToGrid w:val="0"/>
      </w:pPr>
      <w:r>
        <w:rPr>
          <w:rFonts w:ascii="Times New Roman" w:hAnsi="Times New Roman" w:cs="Times New Roman" w:eastAsia="黑体"/>
          <w:b w:val="0"/>
          <w:sz w:val="28"/>
        </w:rPr>
        <w:t>4.4.1 协议操作</w:t>
      </w:r>
    </w:p>
    <w:p>
      <w:pPr>
        <w:spacing w:before="0" w:after="0" w:line="300" w:lineRule="auto"/>
        <w:ind w:firstLine="480"/>
        <w:jc w:val="both"/>
        <w:snapToGrid w:val="0"/>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旧定义下的事后评价标签，后者是包含代理负荷差分的回溯规则信号；二者并非分类器的预测与真值，因而不采用混淆矩阵或分类错误术语。</w:t>
      </w:r>
    </w:p>
    <w:p>
      <w:pPr>
        <w:spacing w:before="240" w:after="180" w:line="300" w:lineRule="auto"/>
        <w:ind w:firstLine="0"/>
        <w:jc w:val="both"/>
        <w:outlineLvl w:val="2"/>
        <w:snapToGrid w:val="0"/>
      </w:pPr>
      <w:r>
        <w:rPr>
          <w:rFonts w:ascii="Times New Roman" w:hAnsi="Times New Roman" w:cs="Times New Roman" w:eastAsia="黑体"/>
          <w:b w:val="0"/>
          <w:sz w:val="28"/>
        </w:rPr>
        <w:t>4.4.2 诊断实验</w:t>
      </w:r>
    </w:p>
    <w:p>
      <w:pPr>
        <w:spacing w:before="0" w:after="0" w:line="300" w:lineRule="auto"/>
        <w:ind w:firstLine="480"/>
        <w:jc w:val="both"/>
        <w:snapToGrid w:val="0"/>
      </w:pPr>
      <w:r>
        <w:rPr>
          <w:rFonts w:ascii="Times New Roman" w:hAnsi="Times New Roman" w:cs="Times New Roman" w:eastAsia="宋体"/>
          <w:b w:val="0"/>
          <w:sz w:val="24"/>
        </w:rPr>
        <w:t>为使L3与主结果保持同一证据口径，三种子均使用原正式StaticGraph逐键预测重建四格，不再使用AdaptiveGraph单种子示例。三种子在四个格中的样本量完全一致：标签事件/规则触发235个，标签事件/规则未触发9,925个，非标签事件/规则触发2,825个，非标签事件/规则未触发699,375个。三种子均值见表4-4，格内标准差只描述种子波动。</w:t>
      </w:r>
    </w:p>
    <w:p>
      <w:pPr>
        <w:spacing w:before="60" w:after="60" w:line="240" w:lineRule="auto"/>
        <w:ind w:firstLine="0"/>
        <w:jc w:val="center"/>
        <w:keepNext/>
        <w:snapToGrid w:val="0"/>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0.21723</w:t>
              <w:br/>
              <w:t>±0.00598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0.27747</w:t>
              <w:br/>
              <w:t>±0.00098</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0.07254</w:t>
              <w:br/>
              <w:t>±0.00591</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0.00971</w:t>
              <w:br/>
              <w:t>±0.00019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0.01376</w:t>
              <w:br/>
              <w:t>±0.00023</w:t>
            </w:r>
          </w:p>
        </w:tc>
      </w:tr>
    </w:tbl>
    <w:p>
      <w:pPr>
        <w:spacing w:before="0" w:after="0" w:line="300" w:lineRule="auto"/>
        <w:ind w:firstLine="480"/>
        <w:jc w:val="both"/>
        <w:snapToGrid w:val="0"/>
      </w:pPr>
      <w:r>
        <w:rPr>
          <w:rFonts w:ascii="Times New Roman" w:hAnsi="Times New Roman" w:cs="Times New Roman" w:eastAsia="宋体"/>
          <w:b w:val="0"/>
          <w:sz w:val="24"/>
        </w:rPr>
        <w:t>注：四格MAE为三种子均值±样本标准差；原四格RMSE和WAPE未在本次三种子锁定汇总中重建，故不填入未经核验的数值。</w:t>
      </w:r>
    </w:p>
    <w:p>
      <w:pPr>
        <w:spacing w:before="0" w:after="0" w:line="300" w:lineRule="auto"/>
        <w:ind w:firstLine="480"/>
        <w:jc w:val="both"/>
        <w:snapToGrid w:val="0"/>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snapToGrid w:val="0"/>
      </w:pPr>
      <w:r>
        <w:drawing>
          <wp:inline xmlns:a="http://schemas.openxmlformats.org/drawingml/2006/main" xmlns:pic="http://schemas.openxmlformats.org/drawingml/2006/picture">
            <wp:extent cx="5112000" cy="2198472"/>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104"/>
                    <a:stretch>
                      <a:fillRect/>
                    </a:stretch>
                  </pic:blipFill>
                  <pic:spPr>
                    <a:xfrm>
                      <a:off x="0" y="0"/>
                      <a:ext cx="5112000" cy="2198472"/>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图4-4 事件标签与规则触发的四格诊断</w:t>
      </w:r>
    </w:p>
    <w:p>
      <w:pPr>
        <w:spacing w:before="0" w:after="0" w:line="300" w:lineRule="auto"/>
        <w:ind w:firstLine="480"/>
        <w:jc w:val="both"/>
        <w:snapToGrid w:val="0"/>
      </w:pPr>
      <w:r>
        <w:rPr>
          <w:rFonts w:ascii="Times New Roman" w:hAnsi="Times New Roman" w:cs="Times New Roman" w:eastAsia="宋体"/>
          <w:b w:val="0"/>
          <w:sz w:val="18"/>
        </w:rPr>
        <w:t>注：A为原正式MRG-GCN三种子四格MAE热图及数值标注，B展示各格样本占比，C展示绝对误差贡献。贡献先逐种子按各格</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占总绝对误差的比例计算，再汇总均值及离散度；四格计数来自共同预测键，标签与规则均沿用旧协议定义。</w:t>
      </w:r>
    </w:p>
    <w:p>
      <w:pPr>
        <w:spacing w:before="60" w:after="60" w:line="240" w:lineRule="auto"/>
        <w:ind w:firstLine="0"/>
        <w:jc w:val="center"/>
        <w:snapToGrid w:val="0"/>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105"/>
                    <a:stretch>
                      <a:fillRect/>
                    </a:stretch>
                  </pic:blipFill>
                  <pic:spPr>
                    <a:xfrm>
                      <a:off x="0" y="0"/>
                      <a:ext cx="5112000" cy="2179406"/>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图4-5 不同模型的残差分布</w:t>
      </w:r>
    </w:p>
    <w:p>
      <w:pPr>
        <w:spacing w:before="0" w:after="0" w:line="300" w:lineRule="auto"/>
        <w:ind w:firstLine="480"/>
        <w:jc w:val="both"/>
        <w:snapToGrid w:val="0"/>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248784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106"/>
                    <a:stretch>
                      <a:fillRect/>
                    </a:stretch>
                  </pic:blipFill>
                  <pic:spPr>
                    <a:xfrm>
                      <a:off x="0" y="0"/>
                      <a:ext cx="5112000" cy="248784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图4-6 误差与回溯事件分数的关系</w:t>
      </w:r>
    </w:p>
    <w:p>
      <w:pPr>
        <w:spacing w:before="0" w:after="0" w:line="300" w:lineRule="auto"/>
        <w:ind w:firstLine="480"/>
        <w:jc w:val="both"/>
        <w:snapToGrid w:val="0"/>
      </w:pPr>
      <w:r>
        <w:rPr>
          <w:rFonts w:ascii="Times New Roman" w:hAnsi="Times New Roman" w:cs="Times New Roman" w:eastAsia="宋体"/>
          <w:b w:val="0"/>
          <w:sz w:val="18"/>
        </w:rPr>
        <w:t>注：使用AdaptiveGraph的seed-2024测试预测键，按预测起点的旧代理事件分数分为零分数和三个非零组；非零分界为测试期非零分数的50%和95%分位数，仅用于描述，不用于规则拟合。A展示组内MAE；B以对数坐标对照样本占比与绝对误差贡献，后者按各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n</m:t>
        </m:r>
        <m:r>
          <w:rPr>
            <w:sz w:val="21"/>
          </w:rPr>
          <m:t>×</m:t>
        </m:r>
        <m:r>
          <w:rPr>
            <w:sz w:val="21"/>
          </w:rPr>
          <m:t>MAE</m:t>
        </m:r>
      </m:oMath>
      <w:r>
        <w:rPr>
          <w:rFonts w:ascii="Times New Roman" w:hAnsi="Times New Roman" w:cs="Times New Roman" w:eastAsia="宋体"/>
          <w:b w:val="0"/>
          <w:sz w:val="18"/>
        </w:rPr>
        <w:t>占总绝对误差的比例计算，行标注为预测键数。两面板按相同分箱顺序排列，不含跨种子误差棒。零分数不等于目标侧非事件，最高分数组不等于冻结触发组；该图不证明实时可见性或因果作用。</w:t>
      </w:r>
    </w:p>
    <w:p>
      <w:pPr>
        <w:spacing w:before="240" w:after="180" w:line="300" w:lineRule="auto"/>
        <w:ind w:firstLine="0"/>
        <w:jc w:val="both"/>
        <w:outlineLvl w:val="2"/>
        <w:snapToGrid w:val="0"/>
      </w:pPr>
      <w:r>
        <w:rPr>
          <w:rFonts w:ascii="Times New Roman" w:hAnsi="Times New Roman" w:cs="Times New Roman" w:eastAsia="黑体"/>
          <w:b w:val="0"/>
          <w:sz w:val="28"/>
        </w:rPr>
        <w:t>4.4.3 还原校验</w:t>
      </w:r>
    </w:p>
    <w:p>
      <w:pPr>
        <w:spacing w:before="0" w:after="0" w:line="300" w:lineRule="auto"/>
        <w:ind w:firstLine="480"/>
        <w:jc w:val="both"/>
        <w:snapToGrid w:val="0"/>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MAE</m:t>
            </m:r>
          </m:e>
          <m:sub>
            <m:r>
              <w:rPr>
                <w:sz w:val="21"/>
              </w:rPr>
              <m:t>global</m:t>
            </m:r>
          </m:sub>
        </m:sSub>
        <m:r>
          <w:rPr>
            <w:sz w:val="21"/>
          </w:rPr>
          <m:t>⁡</m:t>
        </m:r>
        <m:r>
          <w:rPr>
            <w:sz w:val="21"/>
          </w:rPr>
          <m:t>=</m:t>
        </m:r>
        <m:f>
          <m:num>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sSub>
              <m:sSubPr/>
              <m:e>
                <m:r>
                  <w:rPr>
                    <w:sz w:val="21"/>
                  </w:rPr>
                  <m:t>MAE</m:t>
                </m:r>
              </m:e>
              <m:sub>
                <m:r>
                  <w:rPr>
                    <w:sz w:val="21"/>
                  </w:rPr>
                  <m:t>a</m:t>
                </m:r>
                <m:r>
                  <w:rPr>
                    <w:sz w:val="21"/>
                  </w:rPr>
                  <m:t>b</m:t>
                </m:r>
              </m:sub>
            </m:sSub>
            <m:r>
              <w:rPr>
                <w:sz w:val="21"/>
              </w:rPr>
              <m:t>⁡</m:t>
            </m:r>
          </m:num>
          <m:den>
            <m:sSubSup>
              <m:sSubSupPr/>
              <m:e>
                <m:r>
                  <w:rPr>
                    <w:sz w:val="21"/>
                  </w:rPr>
                  <m:t>∑</m:t>
                </m:r>
              </m:e>
              <m:sub>
                <m:r>
                  <w:rPr>
                    <w:sz w:val="21"/>
                  </w:rPr>
                  <m:t>a</m:t>
                </m:r>
                <m:r>
                  <w:rPr>
                    <w:sz w:val="21"/>
                  </w:rPr>
                  <m:t>=</m:t>
                </m:r>
                <m:r>
                  <w:rPr>
                    <w:sz w:val="21"/>
                  </w:rPr>
                  <m:t>0</m:t>
                </m:r>
              </m:sub>
              <m:sup>
                <m:r>
                  <w:rPr>
                    <w:sz w:val="21"/>
                  </w:rPr>
                  <m:t>1</m:t>
                </m:r>
              </m:sup>
            </m:sSubSup>
            <m:sSubSup>
              <m:sSubSupPr/>
              <m:e>
                <m:r>
                  <w:rPr>
                    <w:sz w:val="21"/>
                  </w:rPr>
                  <m:t>∑</m:t>
                </m:r>
              </m:e>
              <m:sub>
                <m:r>
                  <w:rPr>
                    <w:sz w:val="21"/>
                  </w:rPr>
                  <m:t>b</m:t>
                </m:r>
                <m:r>
                  <w:rPr>
                    <w:sz w:val="21"/>
                  </w:rPr>
                  <m:t>=</m:t>
                </m:r>
                <m:r>
                  <w:rPr>
                    <w:sz w:val="21"/>
                  </w:rPr>
                  <m:t>0</m:t>
                </m:r>
              </m:sub>
              <m:sup>
                <m:r>
                  <w:rPr>
                    <w:sz w:val="21"/>
                  </w:rPr>
                  <m:t>1</m:t>
                </m:r>
              </m:sup>
            </m:sSubSup>
            <m:sSub>
              <m:sSubPr/>
              <m:e>
                <m:r>
                  <w:rPr>
                    <w:sz w:val="21"/>
                  </w:rPr>
                  <m:t>n</m:t>
                </m:r>
              </m:e>
              <m:sub>
                <m:r>
                  <w:rPr>
                    <w:sz w:val="21"/>
                  </w:rPr>
                  <m:t>a</m:t>
                </m:r>
                <m:r>
                  <w:rPr>
                    <w:sz w:val="21"/>
                  </w:rPr>
                  <m:t>b</m:t>
                </m:r>
              </m:sub>
            </m:sSub>
          </m:den>
        </m:f>
        <m:r>
          <w:rPr>
            <w:sz w:val="21"/>
          </w:rPr>
          <m:t>.</m:t>
        </m:r>
      </m:oMath>
      <w:r>
        <w:tab/>
      </w:r>
      <w:r>
        <w:rPr>
          <w:rFonts w:ascii="Times New Roman" w:hAnsi="Times New Roman" w:cs="Times New Roman" w:eastAsia="宋体"/>
          <w:sz w:val="21"/>
        </w:rPr>
        <w:t>（4-1）</w:t>
      </w:r>
    </w:p>
    <w:p>
      <w:pPr>
        <w:spacing w:before="0" w:after="0" w:line="300" w:lineRule="auto"/>
        <w:ind w:firstLine="480"/>
        <w:jc w:val="both"/>
        <w:snapToGrid w:val="0"/>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a</m:t>
            </m:r>
            <m:r>
              <w:rPr>
                <w:sz w:val="21"/>
              </w:rPr>
              <m:t>b</m:t>
            </m:r>
          </m:sub>
        </m:sSub>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w:rPr>
                <w:sz w:val="21"/>
              </w:rPr>
              <m:t>10</m:t>
            </m:r>
          </m:e>
          <m:sup>
            <m:r>
              <w:rPr>
                <w:sz w:val="21"/>
              </w:rPr>
              <m:t>−</m:t>
            </m:r>
            <m:r>
              <w:rPr>
                <w:sz w:val="21"/>
              </w:rPr>
              <m:t>9</m:t>
            </m:r>
          </m:sup>
        </m:sSup>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snapToGrid w:val="0"/>
      </w:pPr>
      <w:r>
        <w:rPr>
          <w:rFonts w:ascii="Times New Roman" w:hAnsi="Times New Roman" w:cs="Times New Roman" w:eastAsia="黑体"/>
          <w:b w:val="0"/>
          <w:sz w:val="28"/>
        </w:rPr>
        <w:t>4.4.4 L3判定结论</w:t>
      </w:r>
    </w:p>
    <w:p>
      <w:pPr>
        <w:spacing w:before="0" w:after="0" w:line="300" w:lineRule="auto"/>
        <w:ind w:firstLine="480"/>
        <w:jc w:val="both"/>
        <w:snapToGrid w:val="0"/>
      </w:pPr>
      <w:r>
        <w:rPr>
          <w:rFonts w:ascii="Times New Roman" w:hAnsi="Times New Roman" w:cs="Times New Roman" w:eastAsia="宋体"/>
          <w:b w:val="0"/>
          <w:sz w:val="24"/>
        </w:rPr>
        <w:t>以每格绝对误差之和占总绝对误差的比例定义贡献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C</m:t>
            </m:r>
          </m:e>
          <m:sub>
            <m:r>
              <w:rPr>
                <w:sz w:val="21"/>
              </w:rPr>
              <m:t>g</m:t>
            </m:r>
          </m:sub>
        </m:sSub>
      </m:oMath>
      <w:r>
        <w:rPr>
          <w:rFonts w:ascii="Times New Roman" w:hAnsi="Times New Roman" w:cs="Times New Roman" w:eastAsia="宋体"/>
          <w:b w:val="0"/>
          <w:sz w:val="24"/>
        </w:rPr>
        <w:t>，三种子均在逐种子归一化后汇总。标签事件/规则未触发格仅占1.3933%的预测键，却贡献28.0995%±0.3654%的绝对误差，是稀有困难样本的集中来源；非标签事件/规则未触发格占98.1772%，贡献69.2907%±0.2234%，较低单键误差因样本众多仍构成主要总量。其余两格分别贡献0.5208%±0.0059%和2.0891%±0.1362%。因此，改善稀有事件有价值，但不能据此断言它能够解决全部误差。</w:t>
      </w:r>
    </w:p>
    <w:p>
      <w:pPr>
        <w:spacing w:before="0" w:after="0" w:line="300" w:lineRule="auto"/>
        <w:ind w:firstLine="480"/>
        <w:jc w:val="both"/>
        <w:snapToGrid w:val="0"/>
      </w:pPr>
      <w:r>
        <w:rPr>
          <w:rFonts w:ascii="Times New Roman" w:hAnsi="Times New Roman" w:cs="Times New Roman" w:eastAsia="宋体"/>
          <w:b w:val="0"/>
          <w:sz w:val="24"/>
        </w:rPr>
        <w:t>四格恒等还原只验证键分组和算术闭合，不验证因果机制。规则与标签的错位提示当前回溯分层不能等价替代目标事件，第5章据此进一步检验哪些组接受了不合适的区间半宽，而不是把规则触发率解释为在线识别性能。</w:t>
      </w:r>
    </w:p>
    <w:p>
      <w:pPr>
        <w:spacing w:before="360" w:after="240" w:line="360" w:lineRule="auto"/>
        <w:ind w:firstLine="0"/>
        <w:jc w:val="both"/>
        <w:outlineLvl w:val="1"/>
        <w:snapToGrid w:val="0"/>
      </w:pPr>
      <w:r>
        <w:rPr>
          <w:rFonts w:ascii="Times New Roman" w:hAnsi="Times New Roman" w:cs="Times New Roman" w:eastAsia="黑体"/>
          <w:b/>
          <w:sz w:val="30"/>
        </w:rPr>
        <w:t>4.5 协议总结：MDP机制画像与可复用性</w:t>
      </w:r>
    </w:p>
    <w:p>
      <w:pPr>
        <w:spacing w:before="0" w:after="0" w:line="300" w:lineRule="auto"/>
        <w:ind w:firstLine="480"/>
        <w:jc w:val="both"/>
        <w:snapToGrid w:val="0"/>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依次回答“模型内部依赖什么”“所检学生能否吸收何种收益”“总体误差由何类样本构成”；L1、L2和L3分别使用主模型权重、冻结模型前向和原正式MRG-GCN三种子逐键预测，图4-5和图4-6仅作seed-2024描述性补充。</w:t>
      </w:r>
    </w:p>
    <w:p>
      <w:pPr>
        <w:spacing w:before="0" w:after="0" w:line="300" w:lineRule="auto"/>
        <w:ind w:firstLine="480"/>
        <w:jc w:val="both"/>
        <w:snapToGrid w:val="0"/>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snapToGrid w:val="0"/>
      </w:pPr>
      <w:r>
        <w:rPr>
          <w:rFonts w:ascii="Times New Roman" w:hAnsi="Times New Roman" w:cs="Times New Roman" w:eastAsia="黑体"/>
          <w:b/>
          <w:sz w:val="30"/>
        </w:rPr>
        <w:t>4.6 适用范围与外部验证要求</w:t>
      </w:r>
    </w:p>
    <w:p>
      <w:pPr>
        <w:spacing w:before="0" w:after="0" w:line="300" w:lineRule="auto"/>
        <w:ind w:firstLine="480"/>
        <w:jc w:val="both"/>
        <w:snapToGrid w:val="0"/>
      </w:pPr>
      <w:r>
        <w:rPr>
          <w:rFonts w:ascii="Times New Roman" w:hAnsi="Times New Roman" w:cs="Times New Roman" w:eastAsia="宋体"/>
          <w:b w:val="0"/>
          <w:sz w:val="24"/>
        </w:rPr>
        <w:t>本章证据限于单站10个主分析节点、既定时间切分和会话重构代理负荷：它支持同一数据口径下的模型比较与机制诊断，不足以确定物理拓扑、关系漂移或其他场站的误差水平。</w:t>
      </w:r>
    </w:p>
    <w:p>
      <w:pPr>
        <w:spacing w:before="0" w:after="0" w:line="300" w:lineRule="auto"/>
        <w:ind w:firstLine="480"/>
        <w:jc w:val="both"/>
        <w:snapToGrid w:val="0"/>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7"/>
          <w:headerReference w:type="even" r:id="rId98"/>
          <w:footerReference w:type="default" r:id="rId99"/>
          <w:footerReference w:type="even" r:id="rId10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snapToGrid w:val="0"/>
      </w:pPr>
      <w:r>
        <w:rPr>
          <w:rFonts w:ascii="Times New Roman" w:hAnsi="Times New Roman" w:cs="Times New Roman" w:eastAsia="黑体"/>
          <w:b/>
          <w:sz w:val="30"/>
        </w:rPr>
        <w:t>5.1 引言</w:t>
      </w:r>
    </w:p>
    <w:p>
      <w:pPr>
        <w:spacing w:before="0" w:after="0" w:line="300" w:lineRule="auto"/>
        <w:ind w:firstLine="480"/>
        <w:jc w:val="both"/>
        <w:snapToGrid w:val="0"/>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snapToGrid w:val="0"/>
      </w:pPr>
      <w:r>
        <w:rPr>
          <w:rFonts w:ascii="Times New Roman" w:hAnsi="Times New Roman" w:cs="Times New Roman" w:eastAsia="宋体"/>
          <w:b w:val="0"/>
          <w:sz w:val="24"/>
        </w:rPr>
        <w:t>事件窗口MAE约为稳定窗口的28倍，而冻结规则与标签事件存在明显错位。因此，本章将三项结果统一定位为探索性边界证据：TE—PCMCI+给出条件滞后依赖候选，共形给出冻结模型下的经验覆盖，参数替换给出模型内部敏感度。它们不改变主模型训练或第3章排名；其中oracle只作事后参照，不能代表预测时能力。</w:t>
      </w:r>
    </w:p>
    <w:p>
      <w:pPr>
        <w:spacing w:before="0" w:after="0" w:line="300" w:lineRule="auto"/>
        <w:ind w:firstLine="480"/>
        <w:jc w:val="both"/>
        <w:snapToGrid w:val="0"/>
      </w:pPr>
      <w:r>
        <w:rPr>
          <w:rFonts w:ascii="Times New Roman" w:hAnsi="Times New Roman" w:cs="Times New Roman" w:eastAsia="宋体"/>
          <w:b w:val="0"/>
          <w:sz w:val="24"/>
        </w:rPr>
        <w:t>此外，本章以事件时刻输入协议下的一条固定发布时刻预测轨迹，演示节点预测如何进入站内负荷余量核查与柔性充电协调。算例说明预测信息的运行接口，并用历史失配交代其可靠性边界；不据此评价调度收益或模型排名。</w:t>
      </w:r>
    </w:p>
    <w:p>
      <w:pPr>
        <w:spacing w:before="360" w:after="240" w:line="360" w:lineRule="auto"/>
        <w:ind w:firstLine="0"/>
        <w:jc w:val="both"/>
        <w:outlineLvl w:val="1"/>
        <w:snapToGrid w:val="0"/>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snapToGrid w:val="0"/>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11"/>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图5-1 TE候选生成与PCMCI+条件独立核验流程</w:t>
      </w:r>
    </w:p>
    <w:p>
      <w:pPr>
        <w:spacing w:before="0" w:after="0" w:line="300" w:lineRule="auto"/>
        <w:ind w:firstLine="480"/>
        <w:jc w:val="both"/>
        <w:snapToGrid w:val="0"/>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5.2.1 问题与动机</w:t>
      </w:r>
    </w:p>
    <w:p>
      <w:pPr>
        <w:spacing w:before="0" w:after="0" w:line="300" w:lineRule="auto"/>
        <w:ind w:firstLine="480"/>
        <w:jc w:val="both"/>
        <w:snapToGrid w:val="0"/>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这里的方向只表示信息先后关系。</w:t>
      </w:r>
    </w:p>
    <w:p>
      <w:pPr>
        <w:spacing w:before="240" w:after="180" w:line="300" w:lineRule="auto"/>
        <w:ind w:firstLine="0"/>
        <w:jc w:val="both"/>
        <w:outlineLvl w:val="2"/>
        <w:snapToGrid w:val="0"/>
      </w:pPr>
      <w:r>
        <w:rPr>
          <w:rFonts w:ascii="Times New Roman" w:hAnsi="Times New Roman" w:cs="Times New Roman" w:eastAsia="黑体"/>
          <w:b w:val="0"/>
          <w:sz w:val="28"/>
        </w:rPr>
        <w:t>5.2.2 传递熵方向性检验</w:t>
      </w:r>
    </w:p>
    <w:p>
      <w:pPr>
        <w:spacing w:before="0" w:after="0" w:line="300" w:lineRule="auto"/>
        <w:ind w:firstLine="480"/>
        <w:jc w:val="both"/>
        <w:snapToGrid w:val="0"/>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TE</m:t>
        </m:r>
        <m:r>
          <w:rPr>
            <w:sz w:val="21"/>
          </w:rPr>
          <m:t>⁡</m:t>
        </m:r>
        <m:r>
          <w:rPr>
            <w:sz w:val="21"/>
          </w:rPr>
          <m:t>(</m:t>
        </m:r>
        <m:r>
          <w:rPr>
            <w:sz w:val="21"/>
          </w:rPr>
          <m:t>X</m:t>
        </m:r>
        <m:r>
          <w:rPr>
            <w:sz w:val="21"/>
          </w:rPr>
          <m:t>→</m:t>
        </m:r>
        <m:r>
          <w:rPr>
            <w:sz w:val="21"/>
          </w:rPr>
          <m:t>Y</m:t>
        </m:r>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r>
          <w:rPr>
            <w:sz w:val="21"/>
          </w:rPr>
          <m:t>−</m:t>
        </m:r>
        <m:r>
          <w:rPr>
            <w:sz w:val="21"/>
          </w:rPr>
          <m:t>H</m:t>
        </m:r>
        <m:r>
          <w:rPr>
            <w:sz w:val="21"/>
          </w:rPr>
          <m:t>(</m:t>
        </m:r>
        <m:sSub>
          <m:sSubPr/>
          <m:e>
            <m:r>
              <w:rPr>
                <w:sz w:val="21"/>
              </w:rPr>
              <m:t>Y</m:t>
            </m:r>
          </m:e>
          <m:sub>
            <m:r>
              <w:rPr>
                <w:sz w:val="21"/>
              </w:rPr>
              <m:t>t</m:t>
            </m:r>
            <m:r>
              <w:rPr>
                <w:sz w:val="21"/>
              </w:rPr>
              <m:t>+</m:t>
            </m:r>
            <m:r>
              <w:rPr>
                <w:sz w:val="21"/>
              </w:rPr>
              <m:t>1</m:t>
            </m:r>
          </m:sub>
        </m:sSub>
        <m:r>
          <w:rPr>
            <w:sz w:val="21"/>
          </w:rPr>
          <m:t>|</m:t>
        </m:r>
        <m:sSub>
          <m:sSubPr/>
          <m:e>
            <m:r>
              <w:rPr>
                <w:sz w:val="21"/>
              </w:rPr>
              <m:t>Y</m:t>
            </m:r>
          </m:e>
          <m:sub>
            <m:r>
              <w:rPr>
                <w:sz w:val="21"/>
              </w:rPr>
              <m:t>t</m:t>
            </m:r>
          </m:sub>
        </m:sSub>
        <m:r>
          <w:rPr>
            <w:sz w:val="21"/>
          </w:rPr>
          <m:t>,</m:t>
        </m:r>
        <m:sSub>
          <m:sSubPr/>
          <m:e>
            <m:r>
              <w:rPr>
                <w:sz w:val="21"/>
              </w:rPr>
              <m:t>X</m:t>
            </m:r>
          </m:e>
          <m:sub>
            <m:r>
              <w:rPr>
                <w:sz w:val="21"/>
              </w:rPr>
              <m:t>t</m:t>
            </m:r>
          </m:sub>
        </m:sSub>
        <m:r>
          <w:rPr>
            <w:sz w:val="21"/>
          </w:rPr>
          <m:t>)</m:t>
        </m:r>
        <m:r>
          <w:rPr>
            <w:sz w:val="21"/>
          </w:rPr>
          <m:t>.</m:t>
        </m:r>
      </m:oMath>
      <w:r>
        <w:tab/>
      </w:r>
      <w:r>
        <w:rPr>
          <w:rFonts w:ascii="Times New Roman" w:hAnsi="Times New Roman" w:cs="Times New Roman" w:eastAsia="宋体"/>
          <w:sz w:val="21"/>
        </w:rPr>
        <w:t>（5-1）</w:t>
      </w:r>
    </w:p>
    <w:p>
      <w:pPr>
        <w:spacing w:before="0" w:after="0" w:line="300" w:lineRule="auto"/>
        <w:ind w:firstLine="480"/>
        <w:jc w:val="both"/>
        <w:snapToGrid w:val="0"/>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p</m:t>
        </m:r>
        <m:r>
          <w:rPr>
            <w:sz w:val="21"/>
          </w:rPr>
          <m:t>&lt;</m:t>
        </m:r>
        <m:r>
          <w:rPr>
            <w:sz w:val="21"/>
          </w:rP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snapToGrid w:val="0"/>
      </w:pPr>
      <w:r>
        <w:rPr>
          <w:rFonts w:ascii="Times New Roman" w:hAnsi="Times New Roman" w:cs="Times New Roman" w:eastAsia="黑体"/>
          <w:b w:val="0"/>
          <w:sz w:val="28"/>
        </w:rPr>
        <w:t>5.2.3 传递熵存在性与方向不对称证据</w:t>
      </w:r>
    </w:p>
    <w:p>
      <w:pPr>
        <w:spacing w:before="0" w:after="0" w:line="300" w:lineRule="auto"/>
        <w:ind w:firstLine="480"/>
        <w:jc w:val="both"/>
        <w:snapToGrid w:val="0"/>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ASYM</m:t>
            </m:r>
          </m:e>
          <m:sub>
            <m:r>
              <w:rPr>
                <w:sz w:val="21"/>
              </w:rPr>
              <m:t>i</m:t>
            </m:r>
            <m:r>
              <w:rPr>
                <w:sz w:val="21"/>
              </w:rPr>
              <m:t>j</m:t>
            </m:r>
          </m:sub>
        </m:sSub>
        <m:r>
          <w:rPr>
            <w:sz w:val="21"/>
          </w:rPr>
          <m:t>⁡</m:t>
        </m:r>
        <m:r>
          <w:rPr>
            <w:sz w:val="21"/>
          </w:rPr>
          <m:t>=</m:t>
        </m:r>
        <m:f>
          <m:num>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num>
          <m:den>
            <m:r>
              <w:rPr>
                <w:sz w:val="21"/>
              </w:rPr>
              <m:t>max</m:t>
            </m:r>
            <m:r>
              <w:rPr>
                <w:sz w:val="21"/>
              </w:rPr>
              <m:t>⁡</m:t>
            </m:r>
            <m:r>
              <w:rPr>
                <w:sz w:val="21"/>
              </w:rPr>
              <m:t>(</m:t>
            </m:r>
            <m:sSub>
              <m:sSubPr/>
              <m:e>
                <m:r>
                  <w:rPr>
                    <w:sz w:val="21"/>
                  </w:rPr>
                  <m:t>TE</m:t>
                </m:r>
              </m:e>
              <m:sub>
                <m:r>
                  <w:rPr>
                    <w:sz w:val="21"/>
                  </w:rPr>
                  <m:t>i</m:t>
                </m:r>
                <m:r>
                  <w:rPr>
                    <w:sz w:val="21"/>
                  </w:rPr>
                  <m:t>→</m:t>
                </m:r>
                <m:r>
                  <w:rPr>
                    <w:sz w:val="21"/>
                  </w:rPr>
                  <m:t>j</m:t>
                </m:r>
              </m:sub>
            </m:sSub>
            <m:r>
              <w:rPr>
                <w:sz w:val="21"/>
              </w:rPr>
              <m:t>⁡</m:t>
            </m:r>
            <m:r>
              <w:rPr>
                <w:sz w:val="21"/>
              </w:rPr>
              <m:t>,</m:t>
            </m:r>
            <m:sSub>
              <m:sSubPr/>
              <m:e>
                <m:r>
                  <w:rPr>
                    <w:sz w:val="21"/>
                  </w:rPr>
                  <m:t>TE</m:t>
                </m:r>
              </m:e>
              <m:sub>
                <m:r>
                  <w:rPr>
                    <w:sz w:val="21"/>
                  </w:rPr>
                  <m:t>j</m:t>
                </m:r>
                <m:r>
                  <w:rPr>
                    <w:sz w:val="21"/>
                  </w:rPr>
                  <m:t>→</m:t>
                </m:r>
                <m:r>
                  <w:rPr>
                    <w:sz w:val="21"/>
                  </w:rPr>
                  <m:t>i</m:t>
                </m:r>
              </m:sub>
            </m:sSub>
            <m:r>
              <w:rPr>
                <w:sz w:val="21"/>
              </w:rPr>
              <m:t>⁡</m:t>
            </m:r>
            <m:r>
              <w:rPr>
                <w:sz w:val="21"/>
              </w:rPr>
              <m:t>)</m:t>
            </m:r>
          </m:den>
        </m:f>
        <m:r>
          <w:rPr>
            <w:sz w:val="21"/>
          </w:rPr>
          <m:t>,</m:t>
        </m:r>
      </m:oMath>
      <w:r>
        <w:tab/>
      </w:r>
      <w:r>
        <w:rPr>
          <w:rFonts w:ascii="Times New Roman" w:hAnsi="Times New Roman" w:cs="Times New Roman" w:eastAsia="宋体"/>
          <w:sz w:val="21"/>
        </w:rPr>
        <w:t>（5-2）</w:t>
      </w:r>
    </w:p>
    <w:p>
      <w:pPr>
        <w:spacing w:before="0" w:after="0" w:line="300" w:lineRule="auto"/>
        <w:ind w:firstLine="480"/>
        <w:jc w:val="both"/>
        <w:snapToGrid w:val="0"/>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&gt;</m:t>
        </m:r>
        <m:r>
          <w:rPr>
            <w:sz w:val="21"/>
          </w:rP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snapToGrid w:val="0"/>
      </w:pPr>
      <w:r>
        <w:drawing>
          <wp:inline xmlns:a="http://schemas.openxmlformats.org/drawingml/2006/main" xmlns:pic="http://schemas.openxmlformats.org/drawingml/2006/picture">
            <wp:extent cx="5112000" cy="3154311"/>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12"/>
                    <a:stretch>
                      <a:fillRect/>
                    </a:stretch>
                  </pic:blipFill>
                  <pic:spPr>
                    <a:xfrm>
                      <a:off x="0" y="0"/>
                      <a:ext cx="5112000" cy="3154311"/>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图5-2 传递熵方向性候选结构</w:t>
      </w:r>
    </w:p>
    <w:p>
      <w:pPr>
        <w:spacing w:before="0" w:after="0" w:line="300" w:lineRule="auto"/>
        <w:ind w:firstLine="480"/>
        <w:jc w:val="both"/>
        <w:snapToGrid w:val="0"/>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snapToGrid w:val="0"/>
      </w:pPr>
      <w:r>
        <w:drawing>
          <wp:inline xmlns:a="http://schemas.openxmlformats.org/drawingml/2006/main" xmlns:pic="http://schemas.openxmlformats.org/drawingml/2006/picture">
            <wp:extent cx="5112000" cy="5230884"/>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13"/>
                    <a:stretch>
                      <a:fillRect/>
                    </a:stretch>
                  </pic:blipFill>
                  <pic:spPr>
                    <a:xfrm>
                      <a:off x="0" y="0"/>
                      <a:ext cx="5112000" cy="5230884"/>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图5-3 双向传递熵与方向不对称性</w:t>
      </w:r>
    </w:p>
    <w:p>
      <w:pPr>
        <w:spacing w:before="0" w:after="0" w:line="300" w:lineRule="auto"/>
        <w:ind w:firstLine="480"/>
        <w:jc w:val="both"/>
        <w:snapToGrid w:val="0"/>
      </w:pPr>
      <w:r>
        <w:rPr>
          <w:rFonts w:ascii="Times New Roman" w:hAnsi="Times New Roman" w:cs="Times New Roman" w:eastAsia="宋体"/>
          <w:b w:val="0"/>
          <w:sz w:val="18"/>
        </w:rPr>
        <w:t>注：45个点分别对应10节点的无向节点对，横纵轴为该对两个方向的TE读数，等比例坐标中的45°虚线表示双向相等。颜色区分主导方向，灰色表示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ASYM</m:t>
        </m:r>
        <m:r>
          <w:rPr>
            <w:sz w:val="21"/>
          </w:rPr>
          <m:t>≤</m:t>
        </m:r>
        <m:r>
          <w:rPr>
            <w:sz w:val="21"/>
          </w:rPr>
          <m:t>0.3</m:t>
        </m:r>
      </m:oMath>
      <w:r>
        <w:rPr>
          <w:rFonts w:ascii="Times New Roman" w:hAnsi="Times New Roman" w:cs="Times New Roman" w:eastAsia="宋体"/>
          <w:b w:val="0"/>
          <w:sz w:val="18"/>
        </w:rPr>
        <w:t>的近似对称带；图中45个无向节点对均至少有一个方向达到名义阈值，因此未另行设置“两方向均未达到阈值”的符号类别。标注给出不对称度最高的三个节点对。该图为训练期探索性统计，未作多重比较校正。</w:t>
      </w:r>
    </w:p>
    <w:p>
      <w:pPr>
        <w:spacing w:before="240" w:after="180" w:line="300" w:lineRule="auto"/>
        <w:ind w:firstLine="0"/>
        <w:jc w:val="both"/>
        <w:outlineLvl w:val="2"/>
        <w:snapToGrid w:val="0"/>
      </w:pPr>
      <w:r>
        <w:rPr>
          <w:rFonts w:ascii="Times New Roman" w:hAnsi="Times New Roman" w:cs="Times New Roman" w:eastAsia="黑体"/>
          <w:b w:val="0"/>
          <w:sz w:val="28"/>
        </w:rPr>
        <w:t>5.2.4 有向候选边与统计关系图的互补性</w:t>
      </w:r>
    </w:p>
    <w:p>
      <w:pPr>
        <w:spacing w:before="0" w:after="0" w:line="300" w:lineRule="auto"/>
        <w:ind w:firstLine="480"/>
        <w:jc w:val="both"/>
        <w:snapToGrid w:val="0"/>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keepNext/>
        <w:snapToGrid w:val="0"/>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探索性比较</w:t>
            </w:r>
          </w:p>
        </w:tc>
      </w:tr>
    </w:tbl>
    <w:p>
      <w:pPr>
        <w:spacing w:before="60" w:after="60" w:line="240" w:lineRule="auto"/>
        <w:ind w:firstLine="0"/>
        <w:jc w:val="center"/>
        <w:snapToGrid w:val="0"/>
      </w:pPr>
      <w:r>
        <w:drawing>
          <wp:inline xmlns:a="http://schemas.openxmlformats.org/drawingml/2006/main" xmlns:pic="http://schemas.openxmlformats.org/drawingml/2006/picture">
            <wp:extent cx="5112000" cy="2978137"/>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14"/>
                    <a:stretch>
                      <a:fillRect/>
                    </a:stretch>
                  </pic:blipFill>
                  <pic:spPr>
                    <a:xfrm>
                      <a:off x="0" y="0"/>
                      <a:ext cx="5112000" cy="2978137"/>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图5-4 TE与统计关系权重的对应</w:t>
      </w:r>
    </w:p>
    <w:p>
      <w:pPr>
        <w:spacing w:before="0" w:after="0" w:line="300" w:lineRule="auto"/>
        <w:ind w:firstLine="480"/>
        <w:jc w:val="both"/>
        <w:snapToGrid w:val="0"/>
      </w:pPr>
      <w:r>
        <w:rPr>
          <w:rFonts w:ascii="Times New Roman" w:hAnsi="Times New Roman" w:cs="Times New Roman" w:eastAsia="宋体"/>
          <w:b w:val="0"/>
          <w:sz w:val="18"/>
        </w:rPr>
        <w:t>注：90条有向节点对分别与三类固定统计关系权重比较，Spearman系数标注于图内。灰色叉号表示TE为零的边；该图为单种子、未校正的探索性比较。</w:t>
      </w:r>
    </w:p>
    <w:p>
      <w:pPr>
        <w:spacing w:before="240" w:after="180" w:line="300" w:lineRule="auto"/>
        <w:ind w:firstLine="0"/>
        <w:jc w:val="both"/>
        <w:outlineLvl w:val="2"/>
        <w:snapToGrid w:val="0"/>
      </w:pPr>
      <w:r>
        <w:rPr>
          <w:rFonts w:ascii="Times New Roman" w:hAnsi="Times New Roman" w:cs="Times New Roman" w:eastAsia="黑体"/>
          <w:b w:val="0"/>
          <w:sz w:val="28"/>
        </w:rPr>
        <w:t>5.2.5 PCMCI+条件独立核验与结构发现定位</w:t>
      </w:r>
    </w:p>
    <w:p>
      <w:pPr>
        <w:spacing w:before="0" w:after="0" w:line="300" w:lineRule="auto"/>
        <w:ind w:firstLine="480"/>
        <w:jc w:val="both"/>
        <w:snapToGrid w:val="0"/>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snapToGrid w:val="0"/>
      </w:pPr>
      <w:r>
        <w:drawing>
          <wp:inline xmlns:a="http://schemas.openxmlformats.org/drawingml/2006/main" xmlns:pic="http://schemas.openxmlformats.org/drawingml/2006/picture">
            <wp:extent cx="5112000" cy="3135360"/>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15"/>
                    <a:stretch>
                      <a:fillRect/>
                    </a:stretch>
                  </pic:blipFill>
                  <pic:spPr>
                    <a:xfrm>
                      <a:off x="0" y="0"/>
                      <a:ext cx="5112000" cy="3135360"/>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图5-5 PCMCI+条件独立核验结果</w:t>
      </w:r>
    </w:p>
    <w:p>
      <w:pPr>
        <w:spacing w:before="0" w:after="0" w:line="300" w:lineRule="auto"/>
        <w:ind w:firstLine="480"/>
        <w:jc w:val="both"/>
        <w:snapToGrid w:val="0"/>
      </w:pPr>
      <w:r>
        <w:rPr>
          <w:rFonts w:ascii="Times New Roman" w:hAnsi="Times New Roman" w:cs="Times New Roman" w:eastAsia="宋体"/>
          <w:b w:val="0"/>
          <w:sz w:val="18"/>
        </w:rPr>
        <w:t>注：A以行为源节点、列为目标节点，颜色与符号区分双检验达到名义阈值的44对、仅TE达到阈值的32对和仅PCMCI+达到阈值的6对，空白格表示两者均未达到阈值。B按相同节点顺序汇总82个节点间候选有向对的出边与入边构成，各行上条为出边、下条为入边。C汇总全部90个节点间有向对，其中8对在两种检验中均未达到阈值。10个自回归对均排除，对角线短横线表示不纳入本图比较。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0.05</m:t>
        </m:r>
      </m:oMath>
      <w:r>
        <w:rPr>
          <w:rFonts w:ascii="Times New Roman" w:hAnsi="Times New Roman" w:cs="Times New Roman" w:eastAsia="宋体"/>
          <w:b w:val="0"/>
          <w:sz w:val="18"/>
        </w:rPr>
        <w:t>，未进行多重比较校正。</w:t>
      </w:r>
    </w:p>
    <w:p>
      <w:pPr>
        <w:spacing w:before="0" w:after="0" w:line="300" w:lineRule="auto"/>
        <w:ind w:firstLine="480"/>
        <w:jc w:val="both"/>
        <w:snapToGrid w:val="0"/>
      </w:pPr>
      <w:r>
        <w:rPr>
          <w:rFonts w:ascii="Times New Roman" w:hAnsi="Times New Roman" w:cs="Times New Roman" w:eastAsia="宋体"/>
          <w:b w:val="0"/>
          <w:sz w:val="24"/>
        </w:rPr>
        <w:t>本节停留在条件滞后依赖结构发现：TE提供候选，PCMCI+提供条件独立意义下的交叉核验，结果尚未回灌MRG-GCN。将方向性候选作为新关系输入并重新评估预测增益，属于后续工作。</w:t>
      </w:r>
    </w:p>
    <w:p>
      <w:pPr>
        <w:spacing w:before="240" w:after="180" w:line="300" w:lineRule="auto"/>
        <w:ind w:firstLine="0"/>
        <w:jc w:val="both"/>
        <w:outlineLvl w:val="2"/>
        <w:snapToGrid w:val="0"/>
      </w:pPr>
      <w:r>
        <w:rPr>
          <w:rFonts w:ascii="Times New Roman" w:hAnsi="Times New Roman" w:cs="Times New Roman" w:eastAsia="黑体"/>
          <w:b w:val="0"/>
          <w:sz w:val="28"/>
        </w:rPr>
        <w:t>5.2.6 方向性证据的解释边界与复核路径</w:t>
      </w:r>
    </w:p>
    <w:p>
      <w:pPr>
        <w:spacing w:before="0" w:after="0" w:line="300" w:lineRule="auto"/>
        <w:ind w:firstLine="480"/>
        <w:jc w:val="both"/>
        <w:snapToGrid w:val="0"/>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snapToGrid w:val="0"/>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snapToGrid w:val="0"/>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snapToGrid w:val="0"/>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snapToGrid w:val="0"/>
      </w:pPr>
      <w:r>
        <w:rPr>
          <w:rFonts w:ascii="Times New Roman" w:hAnsi="Times New Roman" w:cs="Times New Roman" w:eastAsia="黑体"/>
          <w:b w:val="0"/>
          <w:sz w:val="28"/>
        </w:rPr>
        <w:t>5.3.1 问题与动机</w:t>
      </w:r>
    </w:p>
    <w:p>
      <w:pPr>
        <w:spacing w:before="0" w:after="0" w:line="300" w:lineRule="auto"/>
        <w:ind w:firstLine="480"/>
        <w:jc w:val="both"/>
        <w:snapToGrid w:val="0"/>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[88-90]</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snapToGrid w:val="0"/>
      </w:pPr>
      <w:r>
        <w:rPr>
          <w:rFonts w:ascii="Times New Roman" w:hAnsi="Times New Roman" w:cs="Times New Roman" w:eastAsia="黑体"/>
          <w:b w:val="0"/>
          <w:sz w:val="28"/>
        </w:rPr>
        <w:t>5.3.2 分层共形方法</w:t>
      </w:r>
    </w:p>
    <w:p>
      <w:pPr>
        <w:spacing w:before="0" w:after="0" w:line="300" w:lineRule="auto"/>
        <w:ind w:firstLine="480"/>
        <w:jc w:val="both"/>
        <w:snapToGrid w:val="0"/>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r</m:t>
        </m:r>
        <m:r>
          <w:rPr>
            <w:sz w:val="21"/>
          </w:rPr>
          <m:t>=</m:t>
        </m:r>
        <m:r>
          <w:rPr>
            <w:sz w:val="21"/>
          </w:rPr>
          <m:t>|</m:t>
        </m:r>
        <m:r>
          <w:rPr>
            <w:sz w:val="21"/>
          </w:rPr>
          <m:t>y</m:t>
        </m:r>
        <m:r>
          <w:rPr>
            <w:sz w:val="21"/>
          </w:rPr>
          <m:t>−</m:t>
        </m:r>
        <m:acc>
          <m:accPr>
            <m:chr m:val="̂"/>
          </m:accPr>
          <m:e>
            <m:r>
              <w:rPr>
                <w:sz w:val="21"/>
              </w:rPr>
              <m:t>y</m:t>
            </m:r>
          </m:e>
        </m:acc>
        <m:r>
          <w:rPr>
            <w:sz w:val="21"/>
          </w:rP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q</m:t>
            </m:r>
          </m:e>
          <m:sub>
            <m:r>
              <w:rPr>
                <w:sz w:val="21"/>
              </w:rPr>
              <m:t>stable</m:t>
            </m:r>
            <m:r>
              <w:rPr>
                <w:sz w:val="21"/>
              </w:rPr>
              <m:t>,</m:t>
            </m:r>
            <m:r>
              <w:rPr>
                <w:sz w:val="21"/>
              </w:rPr>
              <m:t>n</m:t>
            </m:r>
          </m:sub>
        </m:sSub>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t>
        </m:r>
        <m:acc>
          <m:accPr>
            <m:chr m:val="̂"/>
          </m:accPr>
          <m:e>
            <m:r>
              <w:rPr>
                <w:sz w:val="21"/>
              </w:rPr>
              <m:t>y</m:t>
            </m:r>
          </m:e>
        </m:acc>
        <m:r>
          <w:rPr>
            <w:sz w:val="21"/>
          </w:rPr>
          <m:t>−</m:t>
        </m:r>
        <m:r>
          <w:rPr>
            <w:sz w:val="21"/>
          </w:rPr>
          <m:t>q</m:t>
        </m:r>
        <m:r>
          <w:rPr>
            <w:sz w:val="21"/>
          </w:rPr>
          <m:t>,</m:t>
        </m:r>
        <m:acc>
          <m:accPr>
            <m:chr m:val="̂"/>
          </m:accPr>
          <m:e>
            <m:r>
              <w:rPr>
                <w:sz w:val="21"/>
              </w:rPr>
              <m:t>y</m:t>
            </m:r>
          </m:e>
        </m:acc>
        <m:r>
          <w:rPr>
            <w:sz w:val="21"/>
          </w:rPr>
          <m:t>+</m:t>
        </m:r>
        <m:r>
          <w:rPr>
            <w:sz w:val="21"/>
          </w:rPr>
          <m:t>q</m:t>
        </m:r>
        <m:r>
          <w:rPr>
            <w:sz w:val="21"/>
          </w:rPr>
          <m:t>]</m:t>
        </m:r>
        <m:r>
          <w:rPr>
            <w:sz w:val="21"/>
          </w:rPr>
          <m:t>,</m:t>
        </m:r>
        <m:r>
          <w:rPr>
            <w:sz w:val="21"/>
          </w:rPr>
          <m:t>q</m:t>
        </m:r>
        <m:r>
          <w:rPr>
            <w:sz w:val="21"/>
          </w:rPr>
          <m:t>=</m:t>
        </m:r>
        <m:r>
          <w:rPr>
            <w:sz w:val="21"/>
          </w:rPr>
          <m:t>{</m:t>
        </m:r>
        <m:m>
          <m:mr>
            <m:e>
              <m:sSub>
                <m:sSubPr/>
                <m:e>
                  <m:r>
                    <w:rPr>
                      <w:sz w:val="21"/>
                    </w:rPr>
                    <m:t>q</m:t>
                  </m:r>
                </m:e>
                <m:sub>
                  <m:r>
                    <w:rPr>
                      <w:sz w:val="21"/>
                    </w:rPr>
                    <m:t>trig</m:t>
                  </m:r>
                </m:sub>
              </m:sSub>
              <m:r>
                <w:rPr>
                  <w:sz w:val="21"/>
                </w:rPr>
                <m:t>,</m:t>
              </m:r>
            </m:e>
            <m:e>
              <m:r>
                <w:rPr>
                  <w:sz w:val="21"/>
                </w:rPr>
                <m:t>rule_trigger</m:t>
              </m:r>
              <m:r>
                <w:rPr>
                  <w:sz w:val="21"/>
                </w:rPr>
                <m:t>=</m:t>
              </m:r>
              <m:r>
                <w:rPr>
                  <w:sz w:val="21"/>
                </w:rPr>
                <m:t>1</m:t>
              </m:r>
              <m:r>
                <w:rPr>
                  <w:sz w:val="21"/>
                </w:rPr>
                <m:t>,</m:t>
              </m:r>
            </m:e>
          </m:mr>
          <m:mr>
            <m:e>
              <m:sSub>
                <m:sSubPr/>
                <m:e>
                  <m:r>
                    <w:rPr>
                      <w:sz w:val="21"/>
                    </w:rPr>
                    <m:t>q</m:t>
                  </m:r>
                </m:e>
                <m:sub>
                  <m:r>
                    <w:rPr>
                      <w:sz w:val="21"/>
                    </w:rPr>
                    <m:t>stable</m:t>
                  </m:r>
                  <m:r>
                    <w:rPr>
                      <w:sz w:val="21"/>
                    </w:rPr>
                    <m:t>,</m:t>
                  </m:r>
                  <m:r>
                    <w:rPr>
                      <w:sz w:val="21"/>
                    </w:rPr>
                    <m:t>n</m:t>
                  </m:r>
                </m:sub>
              </m:sSub>
              <m:r>
                <w:rPr>
                  <w:sz w:val="21"/>
                </w:rPr>
                <m:t>,</m:t>
              </m:r>
            </m:e>
            <m:e>
              <m:r>
                <w:rPr>
                  <w:sz w:val="21"/>
                </w:rPr>
                <m:t>rule_trigger</m:t>
              </m:r>
              <m:r>
                <w:rPr>
                  <w:sz w:val="21"/>
                </w:rPr>
                <m:t>=</m:t>
              </m:r>
              <m:r>
                <w:rPr>
                  <w:sz w:val="21"/>
                </w:rPr>
                <m:t>0</m:t>
              </m:r>
            </m:e>
          </m:mr>
        </m:m>
      </m:oMath>
      <w:r>
        <w:tab/>
      </w:r>
      <w:r>
        <w:rPr>
          <w:rFonts w:ascii="Times New Roman" w:hAnsi="Times New Roman" w:cs="Times New Roman" w:eastAsia="宋体"/>
          <w:sz w:val="21"/>
        </w:rPr>
        <w:t>（5-3）</w:t>
      </w:r>
    </w:p>
    <w:p>
      <w:pPr>
        <w:spacing w:before="0" w:after="0" w:line="300" w:lineRule="auto"/>
        <w:ind w:firstLine="480"/>
        <w:jc w:val="both"/>
        <w:snapToGrid w:val="0"/>
      </w:pPr>
      <w:r>
        <w:rPr>
          <w:rFonts w:ascii="Times New Roman" w:hAnsi="Times New Roman" w:cs="Times New Roman" w:eastAsia="宋体"/>
          <w:b w:val="0"/>
          <w:sz w:val="24"/>
        </w:rPr>
        <w:t>标准校准和规则路由均不直接使用未来目标事件标签，但本节使用旧模型输入和含事后代理负荷差分的旧规则，故两者均为回溯区间分析，不据此证明在线可执行性。按目标侧标签分层并路由的结果仅为事后参照（oracle），该标签不能作为部署输入。原验证集还用于早停选择和规则拟合，不是独立校准段；本实现采用经验分位数且未实施有限样本秩修正，不声称90%的覆盖保证。分层校准和测试路由过程见图5-6。</w:t>
      </w:r>
    </w:p>
    <w:p>
      <w:pPr>
        <w:spacing w:before="60" w:after="60" w:line="240" w:lineRule="auto"/>
        <w:ind w:firstLine="0"/>
        <w:jc w:val="center"/>
        <w:snapToGrid w:val="0"/>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16"/>
                    <a:stretch>
                      <a:fillRect/>
                    </a:stretch>
                  </pic:blipFill>
                  <pic:spPr>
                    <a:xfrm>
                      <a:off x="0" y="0"/>
                      <a:ext cx="5112000" cy="287702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图5-6 冻结规则路由的分层共形方法</w:t>
      </w:r>
    </w:p>
    <w:p>
      <w:pPr>
        <w:spacing w:before="0" w:after="0" w:line="300" w:lineRule="auto"/>
        <w:ind w:firstLine="480"/>
        <w:jc w:val="both"/>
        <w:snapToGrid w:val="0"/>
      </w:pPr>
      <w:r>
        <w:rPr>
          <w:rFonts w:ascii="Times New Roman" w:hAnsi="Times New Roman" w:cs="Times New Roman" w:eastAsia="宋体"/>
          <w:b w:val="0"/>
          <w:sz w:val="18"/>
        </w:rPr>
        <w:t>注：左侧为验证期校准：冻结主模型生成绝对残差，触发层合并节点估计90%经验分位数，未触发层逐节点校准。右侧为测试期回溯路由：冻结旧规则选择半宽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q</m:t>
        </m:r>
      </m:oMath>
      <w:r>
        <w:rPr>
          <w:rFonts w:ascii="Times New Roman" w:hAnsi="Times New Roman" w:cs="Times New Roman" w:eastAsia="宋体"/>
          <w:b w:val="0"/>
          <w:sz w:val="18"/>
        </w:rPr>
        <w:t>，与点预测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accPr>
          <m:e>
            <m:r>
              <w:rPr>
                <w:sz w:val="21"/>
              </w:rPr>
              <m:t>y</m:t>
            </m:r>
          </m:e>
        </m:acc>
      </m:oMath>
      <w:r>
        <w:rPr>
          <w:rFonts w:ascii="Times New Roman" w:hAnsi="Times New Roman" w:cs="Times New Roman" w:eastAsia="宋体"/>
          <w:b w:val="0"/>
          <w:sz w:val="18"/>
        </w:rPr>
        <w:t>共同形成区间。目标侧标签事件不参与规则路由；旧规则含事后代理负荷差分，不表述为在线可见，90%经验分位数不等同于测试覆盖保证。</w:t>
      </w:r>
    </w:p>
    <w:p>
      <w:pPr>
        <w:spacing w:before="240" w:after="180" w:line="300" w:lineRule="auto"/>
        <w:ind w:firstLine="0"/>
        <w:jc w:val="both"/>
        <w:outlineLvl w:val="2"/>
        <w:snapToGrid w:val="0"/>
      </w:pPr>
      <w:r>
        <w:rPr>
          <w:rFonts w:ascii="Times New Roman" w:hAnsi="Times New Roman" w:cs="Times New Roman" w:eastAsia="黑体"/>
          <w:b w:val="0"/>
          <w:sz w:val="28"/>
        </w:rPr>
        <w:t>5.3.3 覆盖率与区间宽度结果</w:t>
      </w:r>
    </w:p>
    <w:p>
      <w:pPr>
        <w:spacing w:before="0" w:after="0" w:line="300" w:lineRule="auto"/>
        <w:ind w:firstLine="480"/>
        <w:jc w:val="both"/>
        <w:snapToGrid w:val="0"/>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keepNext/>
        <w:snapToGrid w:val="0"/>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旧冻结规则回溯路由，覆盖未达标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标签路由，预测时不可用</w:t>
            </w:r>
          </w:p>
        </w:tc>
      </w:tr>
    </w:tbl>
    <w:p>
      <w:pPr>
        <w:spacing w:before="0" w:after="0" w:line="300" w:lineRule="auto"/>
        <w:ind w:firstLine="480"/>
        <w:jc w:val="both"/>
        <w:snapToGrid w:val="0"/>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snapToGrid w:val="0"/>
      </w:pPr>
      <w:r>
        <w:rPr>
          <w:rFonts w:ascii="Times New Roman" w:hAnsi="Times New Roman" w:cs="Times New Roman" w:eastAsia="宋体"/>
          <w:b w:val="0"/>
          <w:sz w:val="24"/>
        </w:rPr>
        <w:t>覆盖不足与旧回溯规则和标签事件的错位相一致。测试预测键中，规则触发占0.43%，标签事件占1.43%；三种子共同的3,060个触发键中只有235个为标签事件。多数标签事件进入未触发层，接受较窄区间。该交叉关系不能单独排除残差分布变化和有限样本实现的共同影响。</w:t>
      </w:r>
    </w:p>
    <w:p>
      <w:pPr>
        <w:spacing w:before="0" w:after="0" w:line="300" w:lineRule="auto"/>
        <w:ind w:firstLine="480"/>
        <w:jc w:val="both"/>
        <w:snapToGrid w:val="0"/>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snapToGrid w:val="0"/>
      </w:pPr>
      <w:r>
        <w:drawing>
          <wp:inline xmlns:a="http://schemas.openxmlformats.org/drawingml/2006/main" xmlns:pic="http://schemas.openxmlformats.org/drawingml/2006/picture">
            <wp:extent cx="5112000" cy="5669839"/>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17"/>
                    <a:stretch>
                      <a:fillRect/>
                    </a:stretch>
                  </pic:blipFill>
                  <pic:spPr>
                    <a:xfrm>
                      <a:off x="0" y="0"/>
                      <a:ext cx="5112000" cy="5669839"/>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图5-7 共形覆盖率比较</w:t>
      </w:r>
    </w:p>
    <w:p>
      <w:pPr>
        <w:spacing w:before="0" w:after="0" w:line="300" w:lineRule="auto"/>
        <w:ind w:firstLine="480"/>
        <w:jc w:val="both"/>
        <w:snapToGrid w:val="0"/>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w:t>
      </w:r>
    </w:p>
    <w:p>
      <w:pPr>
        <w:spacing w:before="60" w:after="60" w:line="240" w:lineRule="auto"/>
        <w:ind w:firstLine="0"/>
        <w:jc w:val="center"/>
        <w:snapToGrid w:val="0"/>
      </w:pPr>
      <w:r>
        <w:drawing>
          <wp:inline xmlns:a="http://schemas.openxmlformats.org/drawingml/2006/main" xmlns:pic="http://schemas.openxmlformats.org/drawingml/2006/picture">
            <wp:extent cx="5112000" cy="3835138"/>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8"/>
                    <a:stretch>
                      <a:fillRect/>
                    </a:stretch>
                  </pic:blipFill>
                  <pic:spPr>
                    <a:xfrm>
                      <a:off x="0" y="0"/>
                      <a:ext cx="5112000" cy="3835138"/>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图5-8 分层残差分位数与区间膨胀</w:t>
      </w:r>
    </w:p>
    <w:p>
      <w:pPr>
        <w:spacing w:before="0" w:after="0" w:line="300" w:lineRule="auto"/>
        <w:ind w:firstLine="480"/>
        <w:jc w:val="both"/>
        <w:snapToGrid w:val="0"/>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snapToGrid w:val="0"/>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keepNext/>
        <w:snapToGrid w:val="0"/>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节点</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区间宽度/(kWh/15 min)</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CA-303</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0.0105±0.0005</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0.0091±0.0001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CA-489</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0.0071±0.0001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CA-321</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0.0069±0.0002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0.0064±0.0006</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CA-315</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0.0051±0.0001</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CA-304</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0.0040±0.0002</w:t>
            </w:r>
          </w:p>
        </w:tc>
      </w:tr>
      <w:tr>
        <w:trPr>
          <w:cantSplit/>
        </w:trPr>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CA-307</w:t>
            </w:r>
          </w:p>
        </w:tc>
        <w:tc>
          <w:tcPr>
            <w:tcW w:type="dxa" w:w="4156"/>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0.0028±0.0006</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CA-317</w:t>
            </w:r>
          </w:p>
        </w:tc>
        <w:tc>
          <w:tcPr>
            <w:tcW w:type="dxa" w:w="4156"/>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0.0025±0.0002</w:t>
            </w:r>
          </w:p>
        </w:tc>
      </w:tr>
    </w:tbl>
    <w:p>
      <w:pPr>
        <w:spacing w:before="0" w:after="0" w:line="300" w:lineRule="auto"/>
        <w:ind w:firstLine="480"/>
        <w:jc w:val="both"/>
        <w:snapToGrid w:val="0"/>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snapToGrid w:val="0"/>
      </w:pPr>
      <w:r>
        <w:rPr>
          <w:rFonts w:ascii="Times New Roman" w:hAnsi="Times New Roman" w:cs="Times New Roman" w:eastAsia="黑体"/>
          <w:b w:val="0"/>
          <w:sz w:val="28"/>
        </w:rPr>
        <w:t>5.3.4 分布漂移与覆盖保证边界</w:t>
      </w:r>
    </w:p>
    <w:p>
      <w:pPr>
        <w:spacing w:before="0" w:after="0" w:line="300" w:lineRule="auto"/>
        <w:ind w:firstLine="480"/>
        <w:jc w:val="both"/>
        <w:snapToGrid w:val="0"/>
      </w:pPr>
      <w:r>
        <w:rPr>
          <w:rFonts w:ascii="Times New Roman" w:hAnsi="Times New Roman" w:cs="Times New Roman" w:eastAsia="宋体"/>
          <w:b w:val="0"/>
          <w:sz w:val="24"/>
        </w:rPr>
        <w:t>为区分路由错位与校准失配，保持原模型、冻结规则和验证期分位数不变，重新前向验证集并核对归档测试预测。三种子的原校准半宽均在浮点容差内复现，各覆盖指标与旧汇总的最大差异为0.0064个百分点，不改变表5-2的显示值。新增统计只作事后失效诊断，不利用测试分位数重新校准或选择阈值。</w:t>
      </w:r>
    </w:p>
    <w:p>
      <w:pPr>
        <w:spacing w:before="60" w:after="60" w:line="240" w:lineRule="auto"/>
        <w:ind w:firstLine="0"/>
        <w:jc w:val="center"/>
        <w:keepNext/>
        <w:snapToGrid w:val="0"/>
      </w:pPr>
      <w:r>
        <w:rPr>
          <w:rFonts w:ascii="Times New Roman" w:hAnsi="Times New Roman" w:cs="Times New Roman" w:eastAsia="黑体"/>
          <w:b w:val="0"/>
          <w:sz w:val="21"/>
        </w:rPr>
        <w:t>表5-4 冻结区间的覆盖失效诊断</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诊断量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验证期或标准路径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测试期或规则路径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解释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全体绝对残差p50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0.000178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0.000220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测试/验证为1.24倍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0.000716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0.002507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测试/验证为3.50倍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全体绝对残差p95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0.000912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0.008759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测试/验证为9.60倍</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标签事件/触发（235键）覆盖率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0.85%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86.52%</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触发半宽增宽，但该组很少</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标签事件/未触发（9,925键）覆盖率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大多数标签事件仍接受窄区间</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非标签事件/触发（2,825键）覆盖率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5.83%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96.07%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增宽也覆盖非标签事件键</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非标签事件/未触发（699,375键）覆盖率</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70.80%</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70.63%</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大样本稳定组同样未达目标</w:t>
            </w:r>
          </w:p>
        </w:tc>
      </w:tr>
    </w:tbl>
    <w:p>
      <w:pPr>
        <w:spacing w:before="0" w:after="0" w:line="300" w:lineRule="auto"/>
        <w:ind w:firstLine="480"/>
        <w:jc w:val="both"/>
        <w:snapToGrid w:val="0"/>
      </w:pPr>
      <w:r>
        <w:rPr>
          <w:rFonts w:ascii="Times New Roman" w:hAnsi="Times New Roman" w:cs="Times New Roman" w:eastAsia="宋体"/>
          <w:b w:val="0"/>
          <w:sz w:val="24"/>
        </w:rPr>
        <w:t>注：前三行为每种子先跨预测键计算分位数，再取三种子均值，单位kWh/15 min；不是逐节点校准半宽的均值。后四行为相同四格内标准与规则路径的测试经验覆盖率，先逐种子计算再取均值。预测窗口重叠，不作独立样本显著性推断。</w:t>
      </w:r>
    </w:p>
    <w:p>
      <w:pPr>
        <w:spacing w:before="0" w:after="0" w:line="300" w:lineRule="auto"/>
        <w:ind w:firstLine="480"/>
        <w:jc w:val="both"/>
        <w:snapToGrid w:val="0"/>
      </w:pPr>
      <w:r>
        <w:rPr>
          <w:rFonts w:ascii="Times New Roman" w:hAnsi="Times New Roman" w:cs="Times New Roman" w:eastAsia="宋体"/>
          <w:b w:val="0"/>
          <w:sz w:val="24"/>
        </w:rPr>
        <w:t>第一条证据链是路由错位。235个标签事件/触发键的规则覆盖达到86.52%，但9,925个标签事件/未触发键仅为1.95%；扩大触发层区间没有惠及大多数标签事件。另一方面，2,825个非标签事件/触发键覆盖达到96.07%，说明增宽作用与目标标签分层并不一致。这是回溯样本组成及区间选择的诊断，不直接等同于分类漏报或误报。</w:t>
      </w:r>
    </w:p>
    <w:p>
      <w:pPr>
        <w:spacing w:before="0" w:after="0" w:line="300" w:lineRule="auto"/>
        <w:ind w:firstLine="480"/>
        <w:jc w:val="both"/>
        <w:snapToGrid w:val="0"/>
      </w:pPr>
      <w:r>
        <w:rPr>
          <w:rFonts w:ascii="Times New Roman" w:hAnsi="Times New Roman" w:cs="Times New Roman" w:eastAsia="宋体"/>
          <w:b w:val="0"/>
          <w:sz w:val="24"/>
        </w:rPr>
        <w:t>第二条证据链是校准失配。测试残差p90和p95分别为验证期的3.50倍和9.60倍；按3种子、10节点和4步长分别计算的120组p90，测试期均高于验证期。规则整体覆盖率的月度三种子均值从2021年3月79.34%降至9月59.13%，目标标签事件占比从0.83%升至2.28%；首末月仅覆盖部分日期，不能据此建立单调趋势定律。上述结果支持残差尾部变化与冻结半宽失配并存，但未识别具体生成原因，也不构成预登记漂移检验。旧验证集复用、分层样本稀疏与节点/步长汇聚仍是未排除因素，旧协议独立校准及未见时期验证尚未完成；新协议独立校准的补充结果见5.3.6节。</w:t>
      </w:r>
    </w:p>
    <w:p>
      <w:pPr>
        <w:spacing w:before="240" w:after="180" w:line="300" w:lineRule="auto"/>
        <w:ind w:firstLine="0"/>
        <w:jc w:val="both"/>
        <w:outlineLvl w:val="2"/>
        <w:snapToGrid w:val="0"/>
      </w:pPr>
      <w:r>
        <w:rPr>
          <w:rFonts w:ascii="Times New Roman" w:hAnsi="Times New Roman" w:cs="Times New Roman" w:eastAsia="黑体"/>
          <w:b w:val="0"/>
          <w:sz w:val="28"/>
        </w:rPr>
        <w:t>5.3.5 覆盖失败的复核与工程含义</w:t>
      </w:r>
    </w:p>
    <w:p>
      <w:pPr>
        <w:spacing w:before="0" w:after="0" w:line="300" w:lineRule="auto"/>
        <w:ind w:firstLine="480"/>
        <w:jc w:val="both"/>
        <w:snapToGrid w:val="0"/>
      </w:pPr>
      <w:r>
        <w:rPr>
          <w:rFonts w:ascii="Times New Roman" w:hAnsi="Times New Roman" w:cs="Times New Roman" w:eastAsia="宋体"/>
          <w:b w:val="0"/>
          <w:sz w:val="24"/>
        </w:rPr>
        <w:t>触发层合并节点可缓解样本稀疏，未触发层逐节点校准可保留节点差异，但增宽以牺牲区间尖锐度为代价，本文尚无业务可接受宽度。本节结果用于确定核查顺序：先在独立校准时段检查节点与步长残差，再分时期核对触发率、标签占比、覆盖与宽度；随后检验实际可获取的行为路由能否覆盖困难窗口。不能使用本次测试分位数回调阈值后仍把该测试作为确认集。旧规则路径与oracle分别是回溯规则参照和目标标签参照，均不能替代真实可见字段上的运行验证。</w:t>
      </w:r>
    </w:p>
    <w:p>
      <w:pPr>
        <w:spacing w:before="240" w:after="180" w:line="300" w:lineRule="auto"/>
        <w:ind w:firstLine="0"/>
        <w:jc w:val="both"/>
        <w:outlineLvl w:val="2"/>
        <w:snapToGrid w:val="0"/>
      </w:pPr>
      <w:r>
        <w:rPr>
          <w:rFonts w:ascii="Times New Roman" w:hAnsi="Times New Roman" w:cs="Times New Roman" w:eastAsia="黑体"/>
          <w:b w:val="0"/>
          <w:sz w:val="28"/>
        </w:rPr>
        <w:t>5.3.6 事件时刻输入协议下的独立校准补充</w:t>
      </w:r>
    </w:p>
    <w:p>
      <w:pPr>
        <w:spacing w:before="0" w:after="0" w:line="300" w:lineRule="auto"/>
        <w:ind w:firstLine="480"/>
        <w:jc w:val="both"/>
        <w:snapToGrid w:val="0"/>
      </w:pPr>
      <w:r>
        <w:rPr>
          <w:rFonts w:ascii="Times New Roman" w:hAnsi="Times New Roman" w:cs="Times New Roman" w:eastAsia="宋体"/>
          <w:b w:val="0"/>
          <w:sz w:val="24"/>
        </w:rPr>
        <w:t>为补充校准时段与模型选择时段分离的验证，复用新协议中已经冻结的MRG-GCN三种子预测。模型由调参段选定，8,805个校准原点与17,714个测试原点的完整窗口分别留在各自时间段内，目标时间片集合互不重叠。标准路径逐节点汇聚四个步长的校准残差；分层路径只按新协议冻结的接入、离站和活跃差分规则划分，触发组跨节点汇聚，未触发组逐节点估计。目标事件标签仅用于评价，不用于选择区间。</w:t>
      </w:r>
    </w:p>
    <w:p>
      <w:pPr>
        <w:spacing w:before="0" w:after="0" w:line="300" w:lineRule="auto"/>
        <w:ind w:firstLine="480"/>
        <w:jc w:val="both"/>
        <w:snapToGrid w:val="0"/>
      </w:pPr>
      <w:r>
        <w:rPr>
          <w:rFonts w:ascii="Times New Roman" w:hAnsi="Times New Roman" w:cs="Times New Roman" w:eastAsia="宋体"/>
          <w:b w:val="0"/>
          <w:sz w:val="24"/>
        </w:rPr>
        <w:t>每组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n</m:t>
            </m:r>
          </m:e>
          <m:sub>
            <m:r>
              <w:rPr>
                <w:sz w:val="21"/>
              </w:rPr>
              <m:t>g</m:t>
            </m:r>
          </m:sub>
        </m:sSub>
      </m:oMath>
      <w:r>
        <w:rPr>
          <w:rFonts w:ascii="Times New Roman" w:hAnsi="Times New Roman" w:cs="Times New Roman" w:eastAsia="宋体"/>
          <w:b w:val="0"/>
          <w:sz w:val="24"/>
        </w:rPr>
        <w:t>个校准分数按升序排列，取秩</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m:t>
        </m:r>
        <m:r>
          <w:rPr>
            <w:sz w:val="21"/>
          </w:rPr>
          <m:t>⌈</m:t>
        </m:r>
        <m:r>
          <w:rPr>
            <w:sz w:val="21"/>
          </w:rPr>
          <m:t>(</m:t>
        </m:r>
        <m:sSub>
          <m:sSubPr/>
          <m:e>
            <m:r>
              <w:rPr>
                <w:sz w:val="21"/>
              </w:rPr>
              <m:t>n</m:t>
            </m:r>
          </m:e>
          <m:sub>
            <m:r>
              <w:rPr>
                <w:sz w:val="21"/>
              </w:rPr>
              <m:t>g</m:t>
            </m:r>
          </m:sub>
        </m:sSub>
        <m:r>
          <w:rPr>
            <w:sz w:val="21"/>
          </w:rPr>
          <m:t>+</m:t>
        </m:r>
        <m:r>
          <w:rPr>
            <w:sz w:val="21"/>
          </w:rPr>
          <m:t>1</m:t>
        </m:r>
        <m:r>
          <w:rPr>
            <w:sz w:val="21"/>
          </w:rPr>
          <m:t>)</m:t>
        </m:r>
        <m:r>
          <w:rPr>
            <w:sz w:val="21"/>
          </w:rPr>
          <m:t>(</m:t>
        </m:r>
        <m:r>
          <w:rPr>
            <w:sz w:val="21"/>
          </w:rPr>
          <m:t>1</m:t>
        </m:r>
        <m:r>
          <w:rPr>
            <w:sz w:val="21"/>
          </w:rPr>
          <m:t>−</m:t>
        </m:r>
        <m:r>
          <w:rPr>
            <w:sz w:val="21"/>
          </w:rPr>
          <m:t>α</m:t>
        </m:r>
        <m:r>
          <w:rPr>
            <w:sz w:val="21"/>
          </w:rPr>
          <m:t>)</m:t>
        </m:r>
        <m:r>
          <w:rPr>
            <w:sz w:val="21"/>
          </w:rPr>
          <m:t>⌉</m:t>
        </m:r>
      </m:oMath>
      <w:r>
        <w:rPr>
          <w:rFonts w:ascii="Times New Roman" w:hAnsi="Times New Roman" w:cs="Times New Roman" w:eastAsia="宋体"/>
          <w:b w:val="0"/>
          <w:sz w:val="24"/>
        </w:rPr>
        <w:t>对应的残差为半宽，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α</m:t>
        </m:r>
        <m:r>
          <w:rPr>
            <w:sz w:val="21"/>
          </w:rPr>
          <m:t>=</m:t>
        </m:r>
        <m:r>
          <w:rPr>
            <w:sz w:val="21"/>
          </w:rPr>
          <m:t>0.1</m:t>
        </m:r>
      </m:oMath>
      <w:r>
        <w:rPr>
          <w:rFonts w:ascii="Times New Roman" w:hAnsi="Times New Roman" w:cs="Times New Roman" w:eastAsia="宋体"/>
          <w:b w:val="0"/>
          <w:sz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k</m:t>
            </m:r>
          </m:e>
          <m:sub>
            <m:r>
              <w:rPr>
                <w:sz w:val="21"/>
              </w:rPr>
              <m:t>g</m:t>
            </m:r>
          </m:sub>
        </m:sSub>
        <m:r>
          <w:rPr>
            <w:sz w:val="21"/>
          </w:rPr>
          <m:t>&gt;</m:t>
        </m:r>
        <m:sSub>
          <m:sSubPr/>
          <m:e>
            <m:r>
              <w:rPr>
                <w:sz w:val="21"/>
              </w:rPr>
              <m:t>n</m:t>
            </m:r>
          </m:e>
          <m:sub>
            <m:r>
              <w:rPr>
                <w:sz w:val="21"/>
              </w:rPr>
              <m:t>g</m:t>
            </m:r>
          </m:sub>
        </m:sSub>
      </m:oMath>
      <w:r>
        <w:rPr>
          <w:rFonts w:ascii="Times New Roman" w:hAnsi="Times New Roman" w:cs="Times New Roman" w:eastAsia="宋体"/>
          <w:b w:val="0"/>
          <w:sz w:val="24"/>
        </w:rPr>
        <w:t>时半宽应为无穷大，本数据未出现该情形</w:t>
      </w:r>
      <w:r>
        <w:rPr>
          <w:rFonts w:ascii="Times New Roman" w:hAnsi="Times New Roman" w:cs="Times New Roman" w:eastAsia="宋体"/>
          <w:b w:val="0"/>
          <w:sz w:val="24"/>
          <w:vertAlign w:val="superscript"/>
        </w:rPr>
        <w:t>[89]</w:t>
      </w:r>
      <w:r>
        <w:rPr>
          <w:rFonts w:ascii="Times New Roman" w:hAnsi="Times New Roman" w:cs="Times New Roman" w:eastAsia="宋体"/>
          <w:b w:val="0"/>
          <w:sz w:val="24"/>
        </w:rPr>
        <w:t>。各节点标准路径均有35,220个校准键，触发汇聚组有2,964个。该秩修正避免经验分位数插值的有限样本问题，但重叠窗口具有时间依赖，校准与测试也可能分布不同，不能仅凭划出独立校准段便获得90%的测试覆盖保证</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w:t>
      </w:r>
    </w:p>
    <w:p>
      <w:pPr>
        <w:spacing w:before="60" w:after="60" w:line="240" w:lineRule="auto"/>
        <w:ind w:firstLine="0"/>
        <w:jc w:val="center"/>
        <w:keepNext/>
        <w:snapToGrid w:val="0"/>
      </w:pPr>
      <w:r>
        <w:rPr>
          <w:rFonts w:ascii="Times New Roman" w:hAnsi="Times New Roman" w:cs="Times New Roman" w:eastAsia="黑体"/>
          <w:b w:val="0"/>
          <w:sz w:val="21"/>
        </w:rPr>
        <w:t>表5-5 新协议独立校准的覆盖与区间质量</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路径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整体覆盖率/%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事件覆盖率/%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稳定覆盖率/%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平均宽度</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区间分数</w:t>
            </w:r>
          </w:p>
        </w:tc>
      </w:tr>
      <w:tr>
        <w:trPr>
          <w:cantSplit/>
        </w:trPr>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标准逐节点</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79.55</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3.87</w:t>
              <w:br/>
              <w:t>±0.09</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80.66</w:t>
              <w:br/>
              <w:t>±0.23</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0.02757</w:t>
              <w:br/>
              <w:t>±0.00040</w:t>
            </w:r>
          </w:p>
        </w:tc>
        <w:tc>
          <w:tcPr>
            <w:tcW w:type="dxa" w:w="1385"/>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0.74551</w:t>
              <w:br/>
              <w:t>±0.00563</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行为规则分层</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80.04</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5.92</w:t>
              <w:br/>
              <w:t>±0.15</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81.13</w:t>
              <w:br/>
              <w:t>±0.26</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0.03951</w:t>
              <w:br/>
              <w:t>±0.00037</w:t>
            </w:r>
          </w:p>
        </w:tc>
        <w:tc>
          <w:tcPr>
            <w:tcW w:type="dxa" w:w="1385"/>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0.73214</w:t>
              <w:br/>
              <w:t>±0.00548</w:t>
            </w:r>
          </w:p>
        </w:tc>
      </w:tr>
    </w:tbl>
    <w:p>
      <w:pPr>
        <w:spacing w:before="0" w:after="0" w:line="300" w:lineRule="auto"/>
        <w:ind w:firstLine="480"/>
        <w:jc w:val="both"/>
        <w:snapToGrid w:val="0"/>
      </w:pPr>
      <w:r>
        <w:rPr>
          <w:rFonts w:ascii="Times New Roman" w:hAnsi="Times New Roman" w:cs="Times New Roman" w:eastAsia="宋体"/>
          <w:b w:val="0"/>
          <w:sz w:val="24"/>
        </w:rPr>
        <w:t>注：三种子均值±样本标准差；测试共708,560键，其中标签事件10,204键。宽度与区间分数单位为kWh/15 min。区间分数为区间宽度加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2</m:t>
        </m:r>
        <m:r>
          <w:rPr>
            <w:sz w:val="21"/>
          </w:rPr>
          <m:t>/</m:t>
        </m:r>
        <m:r>
          <w:rPr>
            <w:sz w:val="21"/>
          </w:rPr>
          <m:t>α</m:t>
        </m:r>
      </m:oMath>
      <w:r>
        <w:rPr>
          <w:rFonts w:ascii="Times New Roman" w:hAnsi="Times New Roman" w:cs="Times New Roman" w:eastAsia="宋体"/>
          <w:b w:val="0"/>
          <w:sz w:val="24"/>
        </w:rPr>
        <w:t>倍越出区间的距离，越小越好；保留原预测及未截零的对称区间端点。本文未按测试覆盖调整半宽。该表属于新协议，不能与表5-2相减来估计独立校准的因果收益。</w:t>
      </w:r>
    </w:p>
    <w:p>
      <w:pPr>
        <w:spacing w:before="0" w:after="0" w:line="300" w:lineRule="auto"/>
        <w:ind w:firstLine="480"/>
        <w:jc w:val="both"/>
        <w:snapToGrid w:val="0"/>
      </w:pPr>
      <w:r>
        <w:rPr>
          <w:rFonts w:ascii="Times New Roman" w:hAnsi="Times New Roman" w:cs="Times New Roman" w:eastAsia="宋体"/>
          <w:b w:val="0"/>
          <w:sz w:val="24"/>
        </w:rPr>
        <w:t>两条路径仍未达到90%目标。行为分层相对标准路径的整体覆盖增加0.49个百分点，事件覆盖增加2.05个百分点，但平均宽度增加43.3%；区间分数略低，也不足以支持已获得可靠的事件区间。按与3.7.5节相同的27个七日时间块复算，标准与行为分层整体覆盖的描述性95%区间分别为[77.49%, 81.36%]和[78.08%, 81.79%]，不能把三种子标准差较小理解为跨时期覆盖稳定。</w:t>
      </w:r>
    </w:p>
    <w:p>
      <w:pPr>
        <w:spacing w:before="0" w:after="0" w:line="300" w:lineRule="auto"/>
        <w:ind w:firstLine="480"/>
        <w:jc w:val="both"/>
        <w:snapToGrid w:val="0"/>
      </w:pPr>
      <w:r>
        <w:rPr>
          <w:rFonts w:ascii="Times New Roman" w:hAnsi="Times New Roman" w:cs="Times New Roman" w:eastAsia="宋体"/>
          <w:b w:val="0"/>
          <w:sz w:val="24"/>
        </w:rPr>
        <w:t>新协议的校准与测试零目标比例分别为94.51%和87.25%，标签事件比例分别为0.64%和1.44%；三种子跨键残差p90均值从0.00462升至0.08713 kWh/15 min，二者均值之比约18.85。测试中10,204个标签事件键只有505个进入行为触发组。规则分层在标签事件/触发组覆盖49.64%，在标签事件/未触发组仅3.64%，说明大多数困难事件仍接受未触发层半宽。独立校准补充排除了本组校准段参与模型早停这一处理问题，但没有排除分布失配、路由错位或代理目标误差，更未验证实际事件上报时延。旧协议独立校准和真正未见时期验证仍未完成。</w:t>
      </w:r>
    </w:p>
    <w:p>
      <w:pPr>
        <w:spacing w:before="360" w:after="240" w:line="360" w:lineRule="auto"/>
        <w:ind w:firstLine="0"/>
        <w:jc w:val="both"/>
        <w:outlineLvl w:val="1"/>
        <w:snapToGrid w:val="0"/>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snapToGrid w:val="0"/>
      </w:pPr>
      <w:r>
        <w:rPr>
          <w:rFonts w:ascii="Times New Roman" w:hAnsi="Times New Roman" w:cs="Times New Roman" w:eastAsia="黑体"/>
          <w:b w:val="0"/>
          <w:sz w:val="28"/>
        </w:rPr>
        <w:t>5.4.1 问题与动机</w:t>
      </w:r>
    </w:p>
    <w:p>
      <w:pPr>
        <w:spacing w:before="0" w:after="0" w:line="300" w:lineRule="auto"/>
        <w:ind w:firstLine="480"/>
        <w:jc w:val="both"/>
        <w:snapToGrid w:val="0"/>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snapToGrid w:val="0"/>
      </w:pPr>
      <w:r>
        <w:rPr>
          <w:rFonts w:ascii="Times New Roman" w:hAnsi="Times New Roman" w:cs="Times New Roman" w:eastAsia="黑体"/>
          <w:b w:val="0"/>
          <w:sz w:val="28"/>
        </w:rPr>
        <w:t>5.4.2 分层参数干预方法</w:t>
      </w:r>
    </w:p>
    <w:p>
      <w:pPr>
        <w:spacing w:before="0" w:after="0" w:line="300" w:lineRule="auto"/>
        <w:ind w:firstLine="480"/>
        <w:jc w:val="both"/>
        <w:snapToGrid w:val="0"/>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sSup>
          <m:sSupPr/>
          <m:e>
            <m:r>
              <w:rPr>
                <w:sz w:val="21"/>
              </w:rPr>
              <m:t>MAE</m:t>
            </m:r>
          </m:e>
          <m:sup>
            <m:r>
              <w:rPr>
                <w:sz w:val="21"/>
              </w:rPr>
              <m:t>(</m:t>
            </m:r>
            <m:r>
              <w:rPr>
                <w:sz w:val="21"/>
              </w:rPr>
              <m:t>c</m:t>
            </m:r>
            <m:r>
              <w:rPr>
                <w:sz w:val="21"/>
              </w:rPr>
              <m:t>)</m:t>
            </m:r>
          </m:sup>
        </m:sSup>
        <m:r>
          <w:rPr>
            <w:sz w:val="21"/>
          </w:rPr>
          <m:t>⁡</m:t>
        </m:r>
        <m:r>
          <w:rPr>
            <w:sz w:val="21"/>
          </w:rPr>
          <m:t>=</m:t>
        </m:r>
        <m:f>
          <m:num>
            <m:sSubSup>
              <m:sSubSupPr/>
              <m:e>
                <m:r>
                  <w:rPr>
                    <w:sz w:val="21"/>
                  </w:rPr>
                  <m:t>MAE</m:t>
                </m:r>
              </m:e>
              <m:sub>
                <m:r>
                  <w:rPr>
                    <w:sz w:val="21"/>
                  </w:rPr>
                  <m:t>intervention</m:t>
                </m:r>
              </m:sub>
              <m:sup>
                <m:r>
                  <w:rPr>
                    <w:sz w:val="21"/>
                  </w:rPr>
                  <m:t>(</m:t>
                </m:r>
                <m:r>
                  <w:rPr>
                    <w:sz w:val="21"/>
                  </w:rPr>
                  <m:t>c</m:t>
                </m:r>
                <m:r>
                  <w:rPr>
                    <w:sz w:val="21"/>
                  </w:rPr>
                  <m:t>)</m:t>
                </m:r>
              </m:sup>
            </m:sSubSup>
            <m:r>
              <w:rPr>
                <w:sz w:val="21"/>
              </w:rPr>
              <m:t>⁡</m:t>
            </m:r>
            <m:r>
              <w:rPr>
                <w:sz w:val="21"/>
              </w:rPr>
              <m:t>−</m:t>
            </m:r>
            <m:sSubSup>
              <m:sSubSupPr/>
              <m:e>
                <m:r>
                  <w:rPr>
                    <w:sz w:val="21"/>
                  </w:rPr>
                  <m:t>MAE</m:t>
                </m:r>
              </m:e>
              <m:sub>
                <m:r>
                  <w:rPr>
                    <w:sz w:val="21"/>
                  </w:rPr>
                  <m:t>learned</m:t>
                </m:r>
              </m:sub>
              <m:sup>
                <m:r>
                  <w:rPr>
                    <w:sz w:val="21"/>
                  </w:rPr>
                  <m:t>(</m:t>
                </m:r>
                <m:r>
                  <w:rPr>
                    <w:sz w:val="21"/>
                  </w:rPr>
                  <m:t>c</m:t>
                </m:r>
                <m:r>
                  <w:rPr>
                    <w:sz w:val="21"/>
                  </w:rPr>
                  <m:t>)</m:t>
                </m:r>
              </m:sup>
            </m:sSubSup>
            <m:r>
              <w:rPr>
                <w:sz w:val="21"/>
              </w:rPr>
              <m:t>⁡</m:t>
            </m:r>
          </m:num>
          <m:den>
            <m:sSubSup>
              <m:sSubSupPr/>
              <m:e>
                <m:r>
                  <w:rPr>
                    <w:sz w:val="21"/>
                  </w:rPr>
                  <m:t>MAE</m:t>
                </m:r>
              </m:e>
              <m:sub>
                <m:r>
                  <w:rPr>
                    <w:sz w:val="21"/>
                  </w:rPr>
                  <m:t>learned</m:t>
                </m:r>
              </m:sub>
              <m:sup>
                <m:r>
                  <w:rPr>
                    <w:sz w:val="21"/>
                  </w:rPr>
                  <m:t>(</m:t>
                </m:r>
                <m:r>
                  <w:rPr>
                    <w:sz w:val="21"/>
                  </w:rPr>
                  <m:t>c</m:t>
                </m:r>
                <m:r>
                  <w:rPr>
                    <w:sz w:val="21"/>
                  </w:rPr>
                  <m:t>)</m:t>
                </m:r>
              </m:sup>
            </m:sSubSup>
            <m:r>
              <w:rPr>
                <w:sz w:val="21"/>
              </w:rPr>
              <m:t>⁡</m:t>
            </m:r>
          </m:den>
        </m:f>
        <m:r>
          <w:rPr>
            <w:sz w:val="21"/>
          </w:rPr>
          <m:t>.</m:t>
        </m:r>
      </m:oMath>
      <w:r>
        <w:tab/>
      </w:r>
      <w:r>
        <w:rPr>
          <w:rFonts w:ascii="Times New Roman" w:hAnsi="Times New Roman" w:cs="Times New Roman" w:eastAsia="宋体"/>
          <w:sz w:val="21"/>
        </w:rPr>
        <w:t>（5-4）</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c</m:t>
        </m:r>
      </m:oMath>
      <w:r>
        <w:rPr>
          <w:rFonts w:ascii="Times New Roman" w:hAnsi="Times New Roman" w:cs="Times New Roman" w:eastAsia="宋体"/>
          <w:b w:val="0"/>
          <w:sz w:val="24"/>
        </w:rPr>
        <w:t>可取全局、标签事件窗口、稳定窗口或节点；该量只描述冻结模型对参数替换的功能敏感度，与4.2的观察性权重画像及4.4的样本误差分解分开解释。</w:t>
      </w:r>
    </w:p>
    <w:p>
      <w:pPr>
        <w:spacing w:before="240" w:after="180" w:line="300" w:lineRule="auto"/>
        <w:ind w:firstLine="0"/>
        <w:jc w:val="both"/>
        <w:outlineLvl w:val="2"/>
        <w:snapToGrid w:val="0"/>
      </w:pPr>
      <w:r>
        <w:rPr>
          <w:rFonts w:ascii="Times New Roman" w:hAnsi="Times New Roman" w:cs="Times New Roman" w:eastAsia="黑体"/>
          <w:b w:val="0"/>
          <w:sz w:val="28"/>
        </w:rPr>
        <w:t>5.4.3 分层敏感度结果</w:t>
      </w:r>
    </w:p>
    <w:p>
      <w:pPr>
        <w:spacing w:before="0" w:after="0" w:line="300" w:lineRule="auto"/>
        <w:ind w:firstLine="480"/>
        <w:jc w:val="both"/>
        <w:snapToGrid w:val="0"/>
      </w:pPr>
      <w:r>
        <w:rPr>
          <w:rFonts w:ascii="Times New Roman" w:hAnsi="Times New Roman" w:cs="Times New Roman" w:eastAsia="宋体"/>
          <w:b w:val="0"/>
          <w:sz w:val="24"/>
        </w:rPr>
        <w:t>三种子汇总结果见表5-6。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keepNext/>
        <w:snapToGrid w:val="0"/>
      </w:pPr>
      <w:r>
        <w:rPr>
          <w:rFonts w:ascii="Times New Roman" w:hAnsi="Times New Roman" w:cs="Times New Roman" w:eastAsia="黑体"/>
          <w:b w:val="0"/>
          <w:sz w:val="21"/>
        </w:rPr>
        <w:t>表5-6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+316.6%</w:t>
            </w:r>
          </w:p>
        </w:tc>
      </w:tr>
    </w:tbl>
    <w:p>
      <w:pPr>
        <w:spacing w:before="0" w:after="0" w:line="300" w:lineRule="auto"/>
        <w:ind w:firstLine="480"/>
        <w:jc w:val="both"/>
        <w:snapToGrid w:val="0"/>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snapToGrid w:val="0"/>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snapToGrid w:val="0"/>
      </w:pPr>
      <w:r>
        <w:drawing>
          <wp:inline xmlns:a="http://schemas.openxmlformats.org/drawingml/2006/main" xmlns:pic="http://schemas.openxmlformats.org/drawingml/2006/picture">
            <wp:extent cx="5112000" cy="5651503"/>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9"/>
                    <a:stretch>
                      <a:fillRect/>
                    </a:stretch>
                  </pic:blipFill>
                  <pic:spPr>
                    <a:xfrm>
                      <a:off x="0" y="0"/>
                      <a:ext cx="5112000" cy="5651503"/>
                    </a:xfrm>
                    <a:prstGeom prst="rect"/>
                  </pic:spPr>
                </pic:pic>
              </a:graphicData>
            </a:graphic>
          </wp:inline>
        </w:drawing>
      </w:r>
    </w:p>
    <w:p>
      <w:pPr>
        <w:spacing w:before="60" w:after="60" w:line="240" w:lineRule="auto"/>
        <w:ind w:firstLine="0"/>
        <w:jc w:val="center"/>
        <w:snapToGrid w:val="0"/>
      </w:pPr>
      <w:r>
        <w:rPr>
          <w:rFonts w:ascii="Times New Roman" w:hAnsi="Times New Roman" w:cs="Times New Roman" w:eastAsia="黑体"/>
          <w:b w:val="0"/>
          <w:sz w:val="21"/>
        </w:rPr>
        <w:t>图5-9 分层参数干预敏感度</w:t>
      </w:r>
    </w:p>
    <w:p>
      <w:pPr>
        <w:spacing w:before="0" w:after="0" w:line="300" w:lineRule="auto"/>
        <w:ind w:firstLine="480"/>
        <w:jc w:val="both"/>
        <w:snapToGrid w:val="0"/>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snapToGrid w:val="0"/>
      </w:pPr>
      <w:r>
        <w:rPr>
          <w:rFonts w:ascii="Times New Roman" w:hAnsi="Times New Roman" w:cs="Times New Roman" w:eastAsia="黑体"/>
          <w:b w:val="0"/>
          <w:sz w:val="28"/>
        </w:rPr>
        <w:t>5.4.4 分层参数干预结论</w:t>
      </w:r>
    </w:p>
    <w:p>
      <w:pPr>
        <w:spacing w:before="0" w:after="0" w:line="300" w:lineRule="auto"/>
        <w:ind w:firstLine="480"/>
        <w:jc w:val="both"/>
        <w:snapToGrid w:val="0"/>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分配均优于替换配置；分层结果进一步显示，稳定窗口的相对变化更大，节点间最大退化幅度不同。它们是模型压力测试中的功能响应，不是关系贡献或节点优先级的直接估计。</w:t>
      </w:r>
    </w:p>
    <w:p>
      <w:pPr>
        <w:spacing w:before="240" w:after="180" w:line="300" w:lineRule="auto"/>
        <w:ind w:firstLine="0"/>
        <w:jc w:val="both"/>
        <w:outlineLvl w:val="2"/>
        <w:snapToGrid w:val="0"/>
      </w:pPr>
      <w:r>
        <w:rPr>
          <w:rFonts w:ascii="Times New Roman" w:hAnsi="Times New Roman" w:cs="Times New Roman" w:eastAsia="黑体"/>
          <w:b w:val="0"/>
          <w:sz w:val="28"/>
        </w:rPr>
        <w:t>5.4.5 参数敏感度到工程含义的谨慎映射</w:t>
      </w:r>
    </w:p>
    <w:p>
      <w:pPr>
        <w:spacing w:before="0" w:after="0" w:line="300" w:lineRule="auto"/>
        <w:ind w:firstLine="480"/>
        <w:jc w:val="both"/>
        <w:snapToGrid w:val="0"/>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-6断言稳定样本更重要。</w:t>
      </w:r>
    </w:p>
    <w:p>
      <w:pPr>
        <w:spacing w:before="0" w:after="0" w:line="300" w:lineRule="auto"/>
        <w:ind w:firstLine="480"/>
        <w:jc w:val="both"/>
        <w:snapToGrid w:val="0"/>
      </w:pPr>
      <w:r>
        <w:rPr>
          <w:rFonts w:ascii="Times New Roman" w:hAnsi="Times New Roman" w:cs="Times New Roman" w:eastAsia="宋体"/>
          <w:b w:val="0"/>
          <w:sz w:val="24"/>
        </w:rPr>
        <w:t>逐节点最大退化不能直接形成“关键节点”清单，因为节点负荷尺度、事件比例和连接结构不同。本节沿用第4章L1的三种子预测与干预结果，不重新训练或改变正式排名；若更换输入协议或关系图，应作为独立实验系列报告。工程上，该结果可作为压力测试信号：局部误差异常时，优先回查构图、节点门控和数据分布，而不是直接删除某类关系。</w:t>
      </w:r>
    </w:p>
    <w:p>
      <w:pPr>
        <w:spacing w:before="0" w:after="0" w:line="300" w:lineRule="auto"/>
        <w:ind w:firstLine="480"/>
        <w:jc w:val="both"/>
        <w:snapToGrid w:val="0"/>
      </w:pPr>
      <w:r>
        <w:rPr>
          <w:rFonts w:ascii="Times New Roman" w:hAnsi="Times New Roman" w:cs="Times New Roman" w:eastAsia="宋体"/>
          <w:b w:val="0"/>
          <w:sz w:val="24"/>
        </w:rPr>
        <w:t>后续需补充节点门控独立消融，保存逐种子、逐节点和时间块干预结果，并在外部时段或站点重复协议。方向性检验、共形覆盖和参数敏感度应继续分别复核。</w:t>
      </w:r>
    </w:p>
    <w:p>
      <w:pPr>
        <w:spacing w:before="240" w:after="180" w:line="300" w:lineRule="auto"/>
        <w:ind w:firstLine="0"/>
        <w:jc w:val="both"/>
        <w:outlineLvl w:val="2"/>
        <w:snapToGrid w:val="0"/>
      </w:pPr>
      <w:r>
        <w:rPr>
          <w:rFonts w:ascii="Times New Roman" w:hAnsi="Times New Roman" w:cs="Times New Roman" w:eastAsia="黑体"/>
          <w:b w:val="0"/>
          <w:sz w:val="28"/>
        </w:rPr>
        <w:t>5.4.6 证据层级与复现优先级</w:t>
      </w:r>
    </w:p>
    <w:p>
      <w:pPr>
        <w:spacing w:before="0" w:after="0" w:line="300" w:lineRule="auto"/>
        <w:ind w:firstLine="480"/>
        <w:jc w:val="both"/>
        <w:snapToGrid w:val="0"/>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snapToGrid w:val="0"/>
      </w:pPr>
      <w:r>
        <w:rPr>
          <w:rFonts w:ascii="Times New Roman" w:hAnsi="Times New Roman" w:cs="Times New Roman" w:eastAsia="宋体"/>
          <w:b w:val="0"/>
          <w:sz w:val="24"/>
        </w:rPr>
        <w:t>后续实验宜一次只增加一个预先定义的变量或对照：方向性关系先做外部时段验证，再考虑回灌模型；区间预测在5.3.6节已完成新协议独立校准补充，下一步应验证未见时期和路由失配；门控机制则需补足同协议、容量接近的节点自适应与共享可学习门控对照，以细化其独立作用。</w:t>
      </w:r>
    </w:p>
    <w:p>
      <w:pPr>
        <w:spacing w:before="0" w:after="0" w:line="300" w:lineRule="auto"/>
        <w:ind w:firstLine="480"/>
        <w:jc w:val="both"/>
        <w:snapToGrid w:val="0"/>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snapToGrid w:val="0"/>
      </w:pPr>
      <w:r>
        <w:rPr>
          <w:rFonts w:ascii="Times New Roman" w:hAnsi="Times New Roman" w:cs="Times New Roman" w:eastAsia="黑体"/>
          <w:b/>
          <w:sz w:val="30"/>
        </w:rPr>
        <w:t>5.5 节点负荷预测的运行应用与决策接口</w:t>
      </w:r>
    </w:p>
    <w:p>
      <w:pPr>
        <w:spacing w:before="240" w:after="180" w:line="300" w:lineRule="auto"/>
        <w:ind w:firstLine="0"/>
        <w:jc w:val="both"/>
        <w:outlineLvl w:val="2"/>
        <w:snapToGrid w:val="0"/>
      </w:pPr>
      <w:r>
        <w:rPr>
          <w:rFonts w:ascii="Times New Roman" w:hAnsi="Times New Roman" w:cs="Times New Roman" w:eastAsia="黑体"/>
          <w:b w:val="0"/>
          <w:sz w:val="28"/>
        </w:rPr>
        <w:t>5.5.1 预测量与运行量的对应</w:t>
      </w:r>
    </w:p>
    <w:p>
      <w:pPr>
        <w:spacing w:before="0" w:after="0" w:line="300" w:lineRule="auto"/>
        <w:ind w:firstLine="480"/>
        <w:jc w:val="both"/>
        <w:snapToGrid w:val="0"/>
      </w:pPr>
      <w:r>
        <w:rPr>
          <w:rFonts w:ascii="Times New Roman" w:hAnsi="Times New Roman" w:cs="Times New Roman" w:eastAsia="宋体"/>
          <w:b w:val="0"/>
          <w:sz w:val="24"/>
        </w:rPr>
        <w:t>节点负荷预测的运行价值在于提前描述需求水平及其节点分布，为容量核查、充电协调和滚动计划提供信息。本节围绕预测量的转换、决策所需输入及固定原点算例，说明预测结果进入运行流程的条件。设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t</m:t>
        </m:r>
      </m:oMath>
      <w:r>
        <w:rPr>
          <w:rFonts w:ascii="Times New Roman" w:hAnsi="Times New Roman" w:cs="Times New Roman" w:eastAsia="宋体"/>
          <w:b w:val="0"/>
          <w:sz w:val="24"/>
        </w:rPr>
        <w:t>为预测发布时刻，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τ</m:t>
            </m:r>
          </m:e>
          <m:sub>
            <m:r>
              <w:rPr>
                <w:sz w:val="21"/>
              </w:rPr>
              <m:t>t</m:t>
            </m:r>
            <m:r>
              <w:rPr>
                <w:sz w:val="21"/>
              </w:rPr>
              <m:t>,</m:t>
            </m:r>
            <m:r>
              <w:rPr>
                <w:sz w:val="21"/>
              </w:rPr>
              <m:t>h</m:t>
            </m:r>
          </m:sub>
        </m:sSub>
      </m:oMath>
      <w:r>
        <w:rPr>
          <w:rFonts w:ascii="Times New Roman" w:hAnsi="Times New Roman" w:cs="Times New Roman" w:eastAsia="宋体"/>
          <w:b w:val="0"/>
          <w:sz w:val="24"/>
        </w:rPr>
        <w:t>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h</m:t>
        </m:r>
      </m:oMath>
      <w:r>
        <w:rPr>
          <w:rFonts w:ascii="Times New Roman" w:hAnsi="Times New Roman" w:cs="Times New Roman" w:eastAsia="宋体"/>
          <w:b w:val="0"/>
          <w:sz w:val="24"/>
        </w:rPr>
        <w:t>个目标时间片的起点，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𝒩</m:t>
        </m:r>
      </m:oMath>
      <w:r>
        <w:rPr>
          <w:rFonts w:ascii="Times New Roman" w:hAnsi="Times New Roman" w:cs="Times New Roman" w:eastAsia="宋体"/>
          <w:b w:val="0"/>
          <w:sz w:val="24"/>
        </w:rPr>
        <w:t>为固定的10个研究节点，则研究节点集合的代理需求及其预测值为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r>
          <w:rPr>
            <w:sz w:val="21"/>
          </w:rPr>
          <m:t>=</m:t>
        </m:r>
        <m:sSub>
          <m:sSubPr/>
          <m:e>
            <m:r>
              <w:rPr>
                <w:sz w:val="21"/>
              </w:rPr>
              <m:t>∑</m:t>
            </m:r>
          </m:e>
          <m:sub>
            <m:r>
              <w:rPr>
                <w:sz w:val="21"/>
              </w:rPr>
              <m:t>n</m:t>
            </m:r>
            <m:r>
              <w:rPr>
                <w:sz w:val="21"/>
              </w:rPr>
              <m:t>∈</m:t>
            </m:r>
            <m:r>
              <w:rPr>
                <w:sz w:val="21"/>
              </w:rPr>
              <m:t>𝒩</m:t>
            </m:r>
          </m:sub>
        </m:sSub>
        <m:sSub>
          <m:sSubPr/>
          <m:e>
            <m:r>
              <w:rPr>
                <w:sz w:val="21"/>
              </w:rPr>
              <m:t>y</m:t>
            </m:r>
          </m:e>
          <m:sub>
            <m:r>
              <w:rPr>
                <w:sz w:val="21"/>
              </w:rPr>
              <m:t>τ</m:t>
            </m:r>
            <m:r>
              <w:rPr>
                <w:sz w:val="21"/>
              </w:rPr>
              <m:t>,</m:t>
            </m:r>
            <m:r>
              <w:rPr>
                <w:sz w:val="21"/>
              </w:rPr>
              <m:t>n</m:t>
            </m:r>
          </m:sub>
        </m:sSub>
        <m:r>
          <w:rPr>
            <w:sz w:val="21"/>
          </w:rPr>
          <m:t>,</m:t>
        </m:r>
        <m:sSubSup>
          <m:sSubSupPr/>
          <m:e>
            <m:acc>
              <m:accPr>
                <m:chr m:val="̂"/>
              </m:accPr>
              <m:e>
                <m:r>
                  <w:rPr>
                    <w:sz w:val="21"/>
                  </w:rPr>
                  <m:t>D</m:t>
                </m:r>
              </m:e>
            </m:acc>
          </m:e>
          <m:sub>
            <m:r>
              <w:rPr>
                <w:sz w:val="21"/>
              </w:rPr>
              <m:t>t</m:t>
            </m:r>
            <m:r>
              <w:rPr>
                <w:sz w:val="21"/>
              </w:rPr>
              <m:t>,</m:t>
            </m:r>
            <m:r>
              <w:rPr>
                <w:sz w:val="21"/>
              </w:rPr>
              <m:t>h</m:t>
            </m:r>
          </m:sub>
          <m:sup>
            <m:r>
              <w:rPr>
                <w:sz w:val="21"/>
              </w:rPr>
              <m:t>(</m:t>
            </m:r>
            <m:r>
              <w:rPr>
                <w:sz w:val="21"/>
              </w:rPr>
              <m:t>m</m:t>
            </m:r>
            <m:r>
              <w:rPr>
                <w:sz w:val="21"/>
              </w:rPr>
              <m:t>,</m:t>
            </m:r>
            <m:r>
              <w:rPr>
                <w:sz w:val="21"/>
              </w:rPr>
              <m:t>s</m:t>
            </m:r>
            <m:r>
              <w:rPr>
                <w:sz w:val="21"/>
              </w:rPr>
              <m:t>)</m:t>
            </m:r>
          </m:sup>
        </m:sSubSup>
        <m:r>
          <w:rPr>
            <w:sz w:val="21"/>
          </w:rPr>
          <m:t>=</m:t>
        </m:r>
        <m:sSub>
          <m:sSubPr/>
          <m:e>
            <m:r>
              <w:rPr>
                <w:sz w:val="21"/>
              </w:rPr>
              <m:t>∑</m:t>
            </m:r>
          </m:e>
          <m:sub>
            <m:r>
              <w:rPr>
                <w:sz w:val="21"/>
              </w:rPr>
              <m:t>n</m:t>
            </m:r>
            <m:r>
              <w:rPr>
                <w:sz w:val="21"/>
              </w:rPr>
              <m:t>∈</m:t>
            </m:r>
            <m:r>
              <w:rPr>
                <w:sz w:val="21"/>
              </w:rPr>
              <m:t>𝒩</m:t>
            </m:r>
          </m:sub>
        </m:sSub>
        <m:sSubSup>
          <m:sSubSupPr/>
          <m:e>
            <m:acc>
              <m:accPr>
                <m:chr m:val="̂"/>
              </m:accPr>
              <m:e>
                <m:r>
                  <w:rPr>
                    <w:sz w:val="21"/>
                  </w:rPr>
                  <m:t>y</m:t>
                </m:r>
              </m:e>
            </m:acc>
          </m:e>
          <m:sub>
            <m:r>
              <w:rPr>
                <w:sz w:val="21"/>
              </w:rPr>
              <m:t>t</m:t>
            </m:r>
            <m:r>
              <w:rPr>
                <w:sz w:val="21"/>
              </w:rPr>
              <m:t>,</m:t>
            </m:r>
            <m:r>
              <w:rPr>
                <w:sz w:val="21"/>
              </w:rPr>
              <m:t>h</m:t>
            </m:r>
            <m:r>
              <w:rPr>
                <w:sz w:val="21"/>
              </w:rPr>
              <m:t>,</m:t>
            </m:r>
            <m:r>
              <w:rPr>
                <w:sz w:val="21"/>
              </w:rPr>
              <m:t>n</m:t>
            </m:r>
          </m:sub>
          <m:sup>
            <m:r>
              <w:rPr>
                <w:sz w:val="21"/>
              </w:rPr>
              <m:t>(</m:t>
            </m:r>
            <m:r>
              <w:rPr>
                <w:sz w:val="21"/>
              </w:rPr>
              <m:t>m</m:t>
            </m:r>
            <m:r>
              <w:rPr>
                <w:sz w:val="21"/>
              </w:rPr>
              <m:t>,</m:t>
            </m:r>
            <m:r>
              <w:rPr>
                <w:sz w:val="21"/>
              </w:rPr>
              <m:t>s</m:t>
            </m:r>
            <m:r>
              <w:rPr>
                <w:sz w:val="21"/>
              </w:rPr>
              <m:t>)</m:t>
            </m:r>
          </m:sup>
        </m:sSubSup>
        <m:r>
          <w:rPr>
            <w:sz w:val="21"/>
          </w:rPr>
          <m:t>.</m:t>
        </m:r>
      </m:oMath>
      <w:r>
        <w:tab/>
      </w:r>
      <w:r>
        <w:rPr>
          <w:rFonts w:ascii="Times New Roman" w:hAnsi="Times New Roman" w:cs="Times New Roman" w:eastAsia="宋体"/>
          <w:sz w:val="21"/>
        </w:rPr>
        <w:t>（5-5）</w:t>
      </w:r>
    </w:p>
    <w:p>
      <w:pPr>
        <w:spacing w:before="0" w:after="0" w:line="300" w:lineRule="auto"/>
        <w:ind w:firstLine="480"/>
        <w:jc w:val="both"/>
        <w:snapToGrid w:val="0"/>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m</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s</m:t>
        </m:r>
      </m:oMath>
      <w:r>
        <w:rPr>
          <w:rFonts w:ascii="Times New Roman" w:hAnsi="Times New Roman" w:cs="Times New Roman" w:eastAsia="宋体"/>
          <w:b w:val="0"/>
          <w:sz w:val="24"/>
        </w:rPr>
        <w:t>分别表示模型配置与随机种子。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D</m:t>
            </m:r>
          </m:e>
          <m:sub>
            <m:r>
              <w:rPr>
                <w:sz w:val="21"/>
              </w:rPr>
              <m:t>τ</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acc>
              <m:accPr>
                <m:chr m:val="̂"/>
              </m:accPr>
              <m:e>
                <m:r>
                  <w:rPr>
                    <w:sz w:val="21"/>
                  </w:rPr>
                  <m:t>D</m:t>
                </m:r>
              </m:e>
            </m:acc>
          </m:e>
          <m:sub>
            <m:r>
              <w:rPr>
                <w:sz w:val="21"/>
              </w:rPr>
              <m:t>t</m:t>
            </m:r>
            <m:r>
              <w:rPr>
                <w:sz w:val="21"/>
              </w:rPr>
              <m:t>,</m:t>
            </m:r>
            <m:r>
              <w:rPr>
                <w:sz w:val="21"/>
              </w:rPr>
              <m:t>h</m:t>
            </m:r>
          </m:sub>
        </m:sSub>
      </m:oMath>
      <w:r>
        <w:rPr>
          <w:rFonts w:ascii="Times New Roman" w:hAnsi="Times New Roman" w:cs="Times New Roman" w:eastAsia="宋体"/>
          <w:b w:val="0"/>
          <w:sz w:val="24"/>
        </w:rPr>
        <w:t>的单位为kWh/15 min，表示会话最终交付电量按接入至断开期间均匀分配后得到的区间能量代理；后文省略模型和种子上标。对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Δ</m:t>
        </m:r>
        <m:r>
          <w:rPr>
            <w:sz w:val="21"/>
          </w:rPr>
          <m:t>t</m:t>
        </m:r>
        <m:r>
          <w:rPr>
            <w:sz w:val="21"/>
          </w:rPr>
          <m:t>=</m:t>
        </m:r>
        <m:r>
          <w:rPr>
            <w:sz w:val="21"/>
          </w:rPr>
          <m:t>0.25</m:t>
        </m:r>
      </m:oMath>
      <w:r>
        <w:rPr>
          <w:rFonts w:ascii="Times New Roman" w:hAnsi="Times New Roman" w:cs="Times New Roman" w:eastAsia="宋体"/>
          <w:b w:val="0"/>
          <w:sz w:val="24"/>
        </w:rPr>
        <w:t xml:space="preserve"> h的时间片，除以时间长度可得到区间平均代理功率：</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acc>
              <m:accPr>
                <m:chr m:val="̂"/>
              </m:accPr>
              <m:e>
                <m:r>
                  <w:rPr>
                    <w:sz w:val="21"/>
                  </w:rPr>
                  <m:t>P</m:t>
                </m:r>
              </m:e>
            </m:acc>
          </m:e>
          <m:sub>
            <m:r>
              <w:rPr>
                <w:sz w:val="21"/>
              </w:rPr>
              <m:t>t</m:t>
            </m:r>
            <m:r>
              <w:rPr>
                <w:sz w:val="21"/>
              </w:rPr>
              <m:t>,</m:t>
            </m:r>
            <m:r>
              <w:rPr>
                <w:sz w:val="21"/>
              </w:rPr>
              <m:t>h</m:t>
            </m:r>
          </m:sub>
          <m:sup>
            <m:r>
              <w:rPr>
                <w:sz w:val="21"/>
              </w:rPr>
              <m:t>proxy</m:t>
            </m:r>
          </m:sup>
        </m:sSubSup>
        <m:r>
          <w:rPr>
            <w:sz w:val="21"/>
          </w:rPr>
          <m:t>=</m:t>
        </m:r>
        <m:f>
          <m:num>
            <m:sSub>
              <m:sSubPr/>
              <m:e>
                <m:acc>
                  <m:accPr>
                    <m:chr m:val="̂"/>
                  </m:accPr>
                  <m:e>
                    <m:r>
                      <w:rPr>
                        <w:sz w:val="21"/>
                      </w:rPr>
                      <m:t>D</m:t>
                    </m:r>
                  </m:e>
                </m:acc>
              </m:e>
              <m:sub>
                <m:r>
                  <w:rPr>
                    <w:sz w:val="21"/>
                  </w:rPr>
                  <m:t>t</m:t>
                </m:r>
                <m:r>
                  <w:rPr>
                    <w:sz w:val="21"/>
                  </w:rPr>
                  <m:t>,</m:t>
                </m:r>
                <m:r>
                  <w:rPr>
                    <w:sz w:val="21"/>
                  </w:rPr>
                  <m:t>h</m:t>
                </m:r>
              </m:sub>
            </m:sSub>
          </m:num>
          <m:den>
            <m:r>
              <w:rPr>
                <w:sz w:val="21"/>
              </w:rPr>
              <m:t>Δ</m:t>
            </m:r>
            <m:r>
              <w:rPr>
                <w:sz w:val="21"/>
              </w:rPr>
              <m:t>t</m:t>
            </m:r>
          </m:den>
        </m:f>
        <m:r>
          <w:rPr>
            <w:sz w:val="21"/>
          </w:rPr>
          <m:t>=</m:t>
        </m:r>
        <m:r>
          <w:rPr>
            <w:sz w:val="21"/>
          </w:rPr>
          <m:t>4</m:t>
        </m:r>
        <m:sSub>
          <m:sSubPr/>
          <m:e>
            <m:acc>
              <m:accPr>
                <m:chr m:val="̂"/>
              </m:accPr>
              <m:e>
                <m:r>
                  <w:rPr>
                    <w:sz w:val="21"/>
                  </w:rPr>
                  <m:t>D</m:t>
                </m:r>
              </m:e>
            </m:acc>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（5-6）</w:t>
      </w:r>
    </w:p>
    <w:p>
      <w:pPr>
        <w:spacing w:before="0" w:after="0" w:line="300" w:lineRule="auto"/>
        <w:ind w:firstLine="480"/>
        <w:jc w:val="both"/>
        <w:snapToGrid w:val="0"/>
      </w:pPr>
      <w:r>
        <w:rPr>
          <w:rFonts w:ascii="Times New Roman" w:hAnsi="Times New Roman" w:cs="Times New Roman" w:eastAsia="宋体"/>
          <w:b w:val="0"/>
          <w:sz w:val="24"/>
        </w:rPr>
        <w:t>这一换算只改变单位，不会把事后重构的会话能量变成电表实测功率，也不能恢复片内功率波动。模型覆盖的是10个研究节点，不是全站全部充电设备；因此，式（5-6）的数值只能描述所选节点集合的代理需求水平，不能直接与变压器或馈线额定容量比较。要进入真实站内运行核查，至少需要把节点代理序列与同时段电表读数进行时间对齐和校准，并补足未纳入节点及非充电负荷信息。</w:t>
      </w:r>
    </w:p>
    <w:p>
      <w:pPr>
        <w:spacing w:before="240" w:after="180" w:line="300" w:lineRule="auto"/>
        <w:ind w:firstLine="0"/>
        <w:jc w:val="both"/>
        <w:outlineLvl w:val="2"/>
        <w:snapToGrid w:val="0"/>
      </w:pPr>
      <w:r>
        <w:rPr>
          <w:rFonts w:ascii="Times New Roman" w:hAnsi="Times New Roman" w:cs="Times New Roman" w:eastAsia="黑体"/>
          <w:b w:val="0"/>
          <w:sz w:val="28"/>
        </w:rPr>
        <w:t>5.5.2 从预测曲线到运行核查</w:t>
      </w:r>
    </w:p>
    <w:p>
      <w:pPr>
        <w:spacing w:before="0" w:after="0" w:line="300" w:lineRule="auto"/>
        <w:ind w:firstLine="480"/>
        <w:jc w:val="both"/>
        <w:snapToGrid w:val="0"/>
      </w:pPr>
      <w:r>
        <w:rPr>
          <w:rFonts w:ascii="Times New Roman" w:hAnsi="Times New Roman" w:cs="Times New Roman" w:eastAsia="宋体"/>
          <w:b w:val="0"/>
          <w:sz w:val="24"/>
        </w:rPr>
        <w:t>在完成现场数据校准后，预测可接入“提示—人工复核—滚动更新”的辅助流程。首先检查时间戳、节点映射和输入完整性，确认历史输入均能在发布时刻获得，以及预测对应的四个目标时间片。代理量与电表读数的校准不能替代这一步可见性检查。随后将经标定的充电负荷预测与其他负荷、适用运行限额和备用裕度合并，计算各目标片的预计功率余量：</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m:t>
            </m:r>
          </m:e>
          <m:sub>
            <m:r>
              <w:rPr>
                <w:sz w:val="21"/>
              </w:rPr>
              <m:t>t</m:t>
            </m:r>
            <m:r>
              <w:rPr>
                <w:sz w:val="21"/>
              </w:rPr>
              <m:t>,</m:t>
            </m:r>
            <m:r>
              <w:rPr>
                <w:sz w:val="21"/>
              </w:rPr>
              <m:t>h</m:t>
            </m:r>
          </m:sub>
        </m:sSub>
        <m:r>
          <w:rPr>
            <w:sz w:val="21"/>
          </w:rPr>
          <m:t>=</m:t>
        </m:r>
        <m:sSub>
          <m:sSubPr/>
          <m:e>
            <m:r>
              <w:rPr>
                <w:sz w:val="21"/>
              </w:rPr>
              <m:t>P</m:t>
            </m:r>
          </m:e>
          <m:sub>
            <m:r>
              <m:rPr>
                <m:nor m:val="1"/>
              </m:rPr>
              <w:rPr>
                <w:sz w:val="21"/>
              </w:rPr>
              <m:t>lim</m:t>
            </m:r>
          </m:sub>
        </m:sSub>
        <m:r>
          <w:rPr>
            <w:sz w:val="21"/>
          </w:rPr>
          <m:t>−</m:t>
        </m:r>
        <m:sSub>
          <m:sSubPr/>
          <m:e>
            <m:r>
              <w:rPr>
                <w:sz w:val="21"/>
              </w:rPr>
              <m:t>P</m:t>
            </m:r>
          </m:e>
          <m:sub>
            <m:r>
              <w:rPr>
                <w:sz w:val="21"/>
              </w:rPr>
              <m:t>other</m:t>
            </m:r>
            <m:r>
              <w:rPr>
                <w:sz w:val="21"/>
              </w:rPr>
              <m:t>,</m:t>
            </m:r>
            <m:r>
              <w:rPr>
                <w:sz w:val="21"/>
              </w:rPr>
              <m:t>t</m:t>
            </m:r>
            <m:r>
              <w:rPr>
                <w:sz w:val="21"/>
              </w:rPr>
              <m:t>,</m:t>
            </m:r>
            <m:r>
              <w:rPr>
                <w:sz w:val="21"/>
              </w:rPr>
              <m:t>h</m:t>
            </m:r>
          </m:sub>
        </m:sSub>
        <m:r>
          <w:rPr>
            <w:sz w:val="21"/>
          </w:rPr>
          <m:t>−</m:t>
        </m:r>
        <m:sSubSup>
          <m:sSubSupPr/>
          <m:e>
            <m:acc>
              <m:accPr>
                <m:chr m:val="̂"/>
              </m:accPr>
              <m:e>
                <m:r>
                  <w:rPr>
                    <w:sz w:val="21"/>
                  </w:rPr>
                  <m:t>P</m:t>
                </m:r>
              </m:e>
            </m:acc>
          </m:e>
          <m:sub>
            <m:r>
              <w:rPr>
                <w:sz w:val="21"/>
              </w:rPr>
              <m:t>EV</m:t>
            </m:r>
            <m:r>
              <w:rPr>
                <w:sz w:val="21"/>
              </w:rPr>
              <m:t>,</m:t>
            </m:r>
            <m:r>
              <w:rPr>
                <w:sz w:val="21"/>
              </w:rPr>
              <m:t>t</m:t>
            </m:r>
            <m:r>
              <w:rPr>
                <w:sz w:val="21"/>
              </w:rPr>
              <m:t>,</m:t>
            </m:r>
            <m:r>
              <w:rPr>
                <w:sz w:val="21"/>
              </w:rPr>
              <m:t>h</m:t>
            </m:r>
          </m:sub>
          <m:sup>
            <m:r>
              <w:rPr>
                <w:sz w:val="21"/>
              </w:rPr>
              <m:t>cal</m:t>
            </m:r>
          </m:sup>
        </m:sSubSup>
        <m:r>
          <w:rPr>
            <w:sz w:val="21"/>
          </w:rPr>
          <m:t>−</m:t>
        </m:r>
        <m:sSub>
          <m:sSubPr/>
          <m:e>
            <m:r>
              <w:rPr>
                <w:sz w:val="21"/>
              </w:rPr>
              <m:t>R</m:t>
            </m:r>
          </m:e>
          <m:sub>
            <m:r>
              <w:rPr>
                <w:sz w:val="21"/>
              </w:rPr>
              <m:t>t</m:t>
            </m:r>
            <m:r>
              <w:rPr>
                <w:sz w:val="21"/>
              </w:rPr>
              <m:t>,</m:t>
            </m:r>
            <m:r>
              <w:rPr>
                <w:sz w:val="21"/>
              </w:rPr>
              <m:t>h</m:t>
            </m:r>
          </m:sub>
        </m:sSub>
        <m:r>
          <w:rPr>
            <w:sz w:val="21"/>
          </w:rPr>
          <m:t>.</m:t>
        </m:r>
      </m:oMath>
      <w:r>
        <w:tab/>
      </w:r>
      <w:r>
        <w:rPr>
          <w:rFonts w:ascii="Times New Roman" w:hAnsi="Times New Roman" w:cs="Times New Roman" w:eastAsia="宋体"/>
          <w:sz w:val="21"/>
        </w:rPr>
        <w:t>（5-7）</w:t>
      </w:r>
    </w:p>
    <w:p>
      <w:pPr>
        <w:spacing w:before="0" w:after="0" w:line="300" w:lineRule="auto"/>
        <w:ind w:firstLine="480"/>
        <w:jc w:val="both"/>
        <w:snapToGrid w:val="0"/>
      </w:pPr>
      <w:r>
        <w:rPr>
          <w:rFonts w:ascii="Times New Roman" w:hAnsi="Times New Roman" w:cs="Times New Roman" w:eastAsia="宋体"/>
          <w:b w:val="0"/>
          <w:sz w:val="24"/>
        </w:rPr>
        <w:t>式中各项单位均为kW。</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P</m:t>
            </m:r>
          </m:e>
          <m:sub>
            <m:r>
              <m:rPr>
                <m:nor m:val="1"/>
              </m:rPr>
              <w:rPr>
                <w:sz w:val="21"/>
              </w:rPr>
              <m:t>lim</m:t>
            </m:r>
          </m:sub>
        </m:sSub>
      </m:oMath>
      <w:r>
        <w:rPr>
          <w:rFonts w:ascii="Times New Roman" w:hAnsi="Times New Roman" w:cs="Times New Roman" w:eastAsia="宋体"/>
          <w:b w:val="0"/>
          <w:sz w:val="24"/>
        </w:rPr>
        <w:t>表示适用于相同时间片口径的有功功率运行限额，</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P</m:t>
            </m:r>
          </m:e>
          <m:sub>
            <m:r>
              <w:rPr>
                <w:sz w:val="21"/>
              </w:rPr>
              <m:t>other</m:t>
            </m:r>
            <m:r>
              <w:rPr>
                <w:sz w:val="21"/>
              </w:rPr>
              <m:t>,</m:t>
            </m:r>
            <m:r>
              <w:rPr>
                <w:sz w:val="21"/>
              </w:rPr>
              <m:t>t</m:t>
            </m:r>
            <m:r>
              <w:rPr>
                <w:sz w:val="21"/>
              </w:rPr>
              <m:t>,</m:t>
            </m:r>
            <m:r>
              <w:rPr>
                <w:sz w:val="21"/>
              </w:rPr>
              <m:t>h</m:t>
            </m:r>
          </m:sub>
        </m:sSub>
      </m:oMath>
      <w:r>
        <w:rPr>
          <w:rFonts w:ascii="Times New Roman" w:hAnsi="Times New Roman" w:cs="Times New Roman" w:eastAsia="宋体"/>
          <w:b w:val="0"/>
          <w:sz w:val="24"/>
        </w:rPr>
        <w:t>为根据发布时刻可用信息估计的非充电负荷，</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acc>
              <m:accPr>
                <m:chr m:val="̂"/>
              </m:accPr>
              <m:e>
                <m:r>
                  <w:rPr>
                    <w:sz w:val="21"/>
                  </w:rPr>
                  <m:t>P</m:t>
                </m:r>
              </m:e>
            </m:acc>
          </m:e>
          <m:sub>
            <m:r>
              <w:rPr>
                <w:sz w:val="21"/>
              </w:rPr>
              <m:t>EV</m:t>
            </m:r>
            <m:r>
              <w:rPr>
                <w:sz w:val="21"/>
              </w:rPr>
              <m:t>,</m:t>
            </m:r>
            <m:r>
              <w:rPr>
                <w:sz w:val="21"/>
              </w:rPr>
              <m:t>t</m:t>
            </m:r>
            <m:r>
              <w:rPr>
                <w:sz w:val="21"/>
              </w:rPr>
              <m:t>,</m:t>
            </m:r>
            <m:r>
              <w:rPr>
                <w:sz w:val="21"/>
              </w:rPr>
              <m:t>h</m:t>
            </m:r>
          </m:sub>
          <m:sup>
            <m:r>
              <w:rPr>
                <w:sz w:val="21"/>
              </w:rPr>
              <m:t>cal</m:t>
            </m:r>
          </m:sup>
        </m:sSubSup>
      </m:oMath>
      <w:r>
        <w:rPr>
          <w:rFonts w:ascii="Times New Roman" w:hAnsi="Times New Roman" w:cs="Times New Roman" w:eastAsia="宋体"/>
          <w:b w:val="0"/>
          <w:sz w:val="24"/>
        </w:rPr>
        <w:t>为经实测功率校准、并覆盖完整站内充电负荷的预测，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R</m:t>
            </m:r>
          </m:e>
          <m:sub>
            <m:r>
              <w:rPr>
                <w:sz w:val="21"/>
              </w:rPr>
              <m:t>t</m:t>
            </m:r>
            <m:r>
              <w:rPr>
                <w:sz w:val="21"/>
              </w:rPr>
              <m:t>,</m:t>
            </m:r>
            <m:r>
              <w:rPr>
                <w:sz w:val="21"/>
              </w:rPr>
              <m:t>h</m:t>
            </m:r>
          </m:sub>
        </m:sSub>
      </m:oMath>
      <w:r>
        <w:rPr>
          <w:rFonts w:ascii="Times New Roman" w:hAnsi="Times New Roman" w:cs="Times New Roman" w:eastAsia="宋体"/>
          <w:b w:val="0"/>
          <w:sz w:val="24"/>
        </w:rPr>
        <w:t>为按运行规程预留的裕度。设备铭牌上的视在功率额定值不能未经换算直接代入；15 min平均量也不能检验片内瞬时尖峰、三相不平衡或设备热约束。</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w:rPr>
                <w:sz w:val="21"/>
              </w:rPr>
              <m:t>M</m:t>
            </m:r>
          </m:e>
          <m:sub>
            <m:r>
              <w:rPr>
                <w:sz w:val="21"/>
              </w:rPr>
              <m:t>t</m:t>
            </m:r>
            <m:r>
              <w:rPr>
                <w:sz w:val="21"/>
              </w:rPr>
              <m:t>,</m:t>
            </m:r>
            <m:r>
              <w:rPr>
                <w:sz w:val="21"/>
              </w:rPr>
              <m:t>h</m:t>
            </m:r>
          </m:sub>
        </m:sSub>
      </m:oMath>
      <w:r>
        <w:rPr>
          <w:rFonts w:ascii="Times New Roman" w:hAnsi="Times New Roman" w:cs="Times New Roman" w:eastAsia="宋体"/>
          <w:b w:val="0"/>
          <w:sz w:val="24"/>
        </w:rPr>
        <w:t>大于零只表示在这些输入和裕度设定下尚有预计余量，不等于安全认证；当余量进入运营方预设的关注区间或低于零时，系统应提示复核，而不能仅凭本文模型自动削减功率。由于本文既没有上述完整输入，也没有经验证的误差缓冲设定，式（5-7）是运行接口的定义，不是本文算得的容量指标。</w:t>
      </w:r>
    </w:p>
    <w:p>
      <w:pPr>
        <w:spacing w:before="0" w:after="0" w:line="300" w:lineRule="auto"/>
        <w:ind w:firstLine="480"/>
        <w:jc w:val="both"/>
        <w:snapToGrid w:val="0"/>
      </w:pPr>
      <w:r>
        <w:rPr>
          <w:rFonts w:ascii="Times New Roman" w:hAnsi="Times New Roman" w:cs="Times New Roman" w:eastAsia="宋体"/>
          <w:b w:val="0"/>
          <w:sz w:val="24"/>
        </w:rPr>
        <w:t>运行界面应把“模型给出的需求曲线”和“现场可以采取的动作”分开呈现。前者至少包含发布时刻、预测时域、各节点及集合曲线、计量映射状态和数据更新时间；后者由运行规程决定，而非由预测模型自行生成。若余量保持在运营方规定的正常范围，可维持已有计划并继续监视；若余量进入关注区间，值班人员先定位贡献较大的节点和时间片，再检查已批准计划中是否存在可移动的启动时刻或可调整功率；若按校验后的负荷预测计算余量低于运行要求，则升级为人工复核或执行现场既有的保供/保护规程。这里的关注范围和处置权限必须来自具体场站规程，本文未用测试集分位数替代设备限值。</w:t>
      </w:r>
    </w:p>
    <w:p>
      <w:pPr>
        <w:spacing w:before="0" w:after="0" w:line="300" w:lineRule="auto"/>
        <w:ind w:firstLine="480"/>
        <w:jc w:val="both"/>
        <w:snapToGrid w:val="0"/>
      </w:pPr>
      <w:r>
        <w:rPr>
          <w:rFonts w:ascii="Times New Roman" w:hAnsi="Times New Roman" w:cs="Times New Roman" w:eastAsia="宋体"/>
          <w:b w:val="0"/>
          <w:sz w:val="24"/>
        </w:rPr>
        <w:t>候选充电调整还须逐会话核对车辆所需电量、预计离站时刻、可延后时间和充电设备功率范围，确保削减或移位后仍满足服务要求；若有储能，另需检查其可用功率、荷电状态和能量持续时间。确认调整后，将执行记录与电表实测值一起保存，下一次每15 min预测时重新核对预测偏差和预计余量。若输入缺失、节点映射异常、时间戳落后或校准关系超出适用范围，界面应标记“预测不可用”，不能把缺失值补成零负荷，也不能继续据该预测下发控制。这样形成的是预测提示、人工复核、约束检查和滚动反馈的运行接口；本文没有实现或测试自动排程、闭环控制和收益优化。</w:t>
      </w:r>
    </w:p>
    <w:p>
      <w:pPr>
        <w:spacing w:before="240" w:after="180" w:line="300" w:lineRule="auto"/>
        <w:ind w:firstLine="0"/>
        <w:jc w:val="both"/>
        <w:outlineLvl w:val="2"/>
        <w:snapToGrid w:val="0"/>
      </w:pPr>
      <w:r>
        <w:rPr>
          <w:rFonts w:ascii="Times New Roman" w:hAnsi="Times New Roman" w:cs="Times New Roman" w:eastAsia="黑体"/>
          <w:b w:val="0"/>
          <w:sz w:val="28"/>
        </w:rPr>
        <w:t>5.5.3 固定发布时刻的四步算例</w:t>
      </w:r>
    </w:p>
    <w:p>
      <w:pPr>
        <w:spacing w:before="0" w:after="0" w:line="300" w:lineRule="auto"/>
        <w:ind w:firstLine="480"/>
        <w:jc w:val="both"/>
        <w:snapToGrid w:val="0"/>
      </w:pPr>
      <w:r>
        <w:rPr>
          <w:rFonts w:ascii="Times New Roman" w:hAnsi="Times New Roman" w:cs="Times New Roman" w:eastAsia="宋体"/>
          <w:b w:val="0"/>
          <w:sz w:val="24"/>
        </w:rPr>
        <w:t>为说明预测曲线能提供何种线索，选用既有测试记录中按时间顺序确定的首个合格代理需求过程；选例不使用任何模型是否命中的信息。发布时刻为洛杉矶当地时间2021年3月16日13:00，过程起点为13:45。目标时间片起点相对发布时刻依次为0、15、30和45 min：第一个目标片从发布时刻起始，随后三片依次向后；过程起点落在第四个目标片的起点，因此可用的起点提前量为45 min，而非第四步片末的60 min。表5-7中的均值和样本标准差来自MRG-GCN三个正式种子，仅为展示该固定原点下的预测及种子间波动；均值不是部署集成预测，标准差不是预测区间。</w:t>
      </w:r>
    </w:p>
    <w:p>
      <w:pPr>
        <w:spacing w:before="60" w:after="60" w:line="240" w:lineRule="auto"/>
        <w:ind w:firstLine="0"/>
        <w:jc w:val="center"/>
        <w:keepNext/>
        <w:snapToGrid w:val="0"/>
      </w:pPr>
      <w:r>
        <w:rPr>
          <w:rFonts w:ascii="Times New Roman" w:hAnsi="Times New Roman" w:cs="Times New Roman" w:eastAsia="黑体"/>
          <w:b w:val="0"/>
          <w:sz w:val="21"/>
        </w:rPr>
        <w:t>表5-7 固定发布时刻下的节点集合四步预测示例</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目标片起点相对发布时刻/min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预测代理需求/实际代理需求（kWh/15 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预测/实际区间平均代理功率（kW）</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13:00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0.7624±0.1041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3.05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15</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0.7262±0.0894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2.90 / 3.23</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13:30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30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0.6879±0.0767 / 0.8080</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2.75 / 3.23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45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0.6548±0.0728 / 1.1505</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2.62 / 4.60</w:t>
            </w:r>
          </w:p>
        </w:tc>
      </w:tr>
    </w:tbl>
    <w:p>
      <w:pPr>
        <w:spacing w:before="0" w:after="0" w:line="300" w:lineRule="auto"/>
        <w:ind w:firstLine="480"/>
        <w:jc w:val="both"/>
        <w:snapToGrid w:val="0"/>
      </w:pPr>
      <w:r>
        <w:rPr>
          <w:rFonts w:ascii="Times New Roman" w:hAnsi="Times New Roman" w:cs="Times New Roman" w:eastAsia="宋体"/>
          <w:b w:val="0"/>
          <w:sz w:val="24"/>
        </w:rPr>
        <w:t>注：预测均值与样本标准差基于3个独立种子；功率为代理能量除以0.25 h所得的区间平均等效值，不是实测功率。目标时间片以左端时刻标记。</w:t>
      </w:r>
    </w:p>
    <w:p>
      <w:pPr>
        <w:spacing w:before="0" w:after="0" w:line="300" w:lineRule="auto"/>
        <w:ind w:firstLine="480"/>
        <w:jc w:val="both"/>
        <w:snapToGrid w:val="0"/>
      </w:pPr>
      <w:r>
        <w:rPr>
          <w:rFonts w:ascii="Times New Roman" w:hAnsi="Times New Roman" w:cs="Times New Roman" w:eastAsia="宋体"/>
          <w:b w:val="0"/>
          <w:sz w:val="24"/>
        </w:rPr>
        <w:t>从发布时刻的模型输出看，四步预测的代理需求由0.7624逐步降至0.6548 kWh/15 min，等效区间平均代理功率由3.05 kW降至2.62 kW；但事后重构的目标代理需求在13:45升至1.1505 kWh/15 min，对应4.60 kW。末步低估0.4957 kWh/15 min，等效代理功率差为1.9827 kW，约占该片事后代理需求的43.1%。该固定原点的预测给出了需求回落趋势，未反映随后出现的代理需求跃升。这说明总体MAE较低并不保证每个运行窗口都能识别需求突变；容量核查还需考虑局部低估和预测失效。若用于真实运行，应保留独立电表监视及现场既有保护，不能用该预测单独判定设备是否越限。</w:t>
      </w:r>
    </w:p>
    <w:p>
      <w:pPr>
        <w:spacing w:before="240" w:after="180" w:line="300" w:lineRule="auto"/>
        <w:ind w:firstLine="0"/>
        <w:jc w:val="both"/>
        <w:outlineLvl w:val="2"/>
        <w:snapToGrid w:val="0"/>
      </w:pPr>
      <w:r>
        <w:rPr>
          <w:rFonts w:ascii="Times New Roman" w:hAnsi="Times New Roman" w:cs="Times New Roman" w:eastAsia="黑体"/>
          <w:b w:val="0"/>
          <w:sz w:val="28"/>
        </w:rPr>
        <w:t>5.5.4 证据边界与应用验证要求</w:t>
      </w:r>
    </w:p>
    <w:p>
      <w:pPr>
        <w:spacing w:before="0" w:after="0" w:line="300" w:lineRule="auto"/>
        <w:ind w:firstLine="480"/>
        <w:jc w:val="both"/>
        <w:snapToGrid w:val="0"/>
      </w:pPr>
      <w:r>
        <w:rPr>
          <w:rFonts w:ascii="Times New Roman" w:hAnsi="Times New Roman" w:cs="Times New Roman" w:eastAsia="宋体"/>
          <w:b w:val="0"/>
          <w:sz w:val="24"/>
        </w:rPr>
        <w:t>本算例只验证了固定原点的预测时间映射、能量到区间平均代理功率的换算及其展示方式，不是站级容量核验实验。当前数据缺少可将10节点代理需求映射到完整站级实际功率的同步电表记录、非充电负荷、设备限额和备用裕度，也没有预测发布时可用的车辆请求电量、离站约束与可控充电功率。因此，本文无法判断表5-7各时段是否真的接近设备限额，不能给出可执行的充电计划，也不能据此量化削峰、成本变化或发电侧经济调度结果。对经济调度的讨论还需电价、发电单元与成本等系统级数据，超出当前单站节点预测研究范围。</w:t>
      </w:r>
    </w:p>
    <w:p>
      <w:pPr>
        <w:spacing w:before="0" w:after="0" w:line="300" w:lineRule="auto"/>
        <w:ind w:firstLine="480"/>
        <w:jc w:val="both"/>
        <w:snapToGrid w:val="0"/>
      </w:pPr>
      <w:r>
        <w:rPr>
          <w:rFonts w:ascii="Times New Roman" w:hAnsi="Times New Roman" w:cs="Times New Roman" w:eastAsia="宋体"/>
          <w:b w:val="0"/>
          <w:sz w:val="24"/>
        </w:rPr>
        <w:t>已有阈值预警回溯也提示，不宜把点预测解释成可靠的越限预警器：测试期主模型在合格代理需求过程中开始前发现率为10.30%±0.80%，校准期与测试期代理需求越限比例由4.96%变为18.96%。前者是固定测试过程定义下的回溯发现率，后者反映校准与测试时段的经验越限比例变化；二者均不是设备过载概率或现场安全率。经验分位阈值不能代替设备容量限值。这些结果用于说明需求突变与时段分布变化带来的可靠性限制，不能据此推断实际调度收益。</w:t>
      </w:r>
    </w:p>
    <w:p>
      <w:pPr>
        <w:spacing w:before="0" w:after="0" w:line="300" w:lineRule="auto"/>
        <w:ind w:firstLine="480"/>
        <w:jc w:val="both"/>
        <w:snapToGrid w:val="0"/>
      </w:pPr>
      <w:r>
        <w:rPr>
          <w:rFonts w:ascii="Times New Roman" w:hAnsi="Times New Roman" w:cs="Times New Roman" w:eastAsia="宋体"/>
          <w:b w:val="0"/>
          <w:sz w:val="24"/>
        </w:rPr>
        <w:t>从离线算例走向运行验证，后续至少需补齐三类证据：其一，以同步电表数据建立节点代理需求与真实充电功率、完整站级功率之间的映射，并检验映射随节点和时段的稳定性；其二，获取适用设备限额、非充电负荷、备用策略以及车辆服务约束，才能计算可行余量和可执行的功率调整；其三，在与模型开发相互独立的时间段开展影子运行或受控试点，并预先规定风险阈值、人工复核权限和停止条件。评估不应只看预测MAE，还应记录站级负荷越限次数与持续时间、提示提前量、漏报和误报、人工调整执行率、车辆需求满足率；若进一步研究经济性，才增加电费或削峰成本等指标，并与不使用该预测的现行运行方式作同时间段对照。上述指标目前没有相应数据，不能在本研究中报告为收益。完成这些验证前，MRG-GCN的合理定位是潜在运行核查的信息输入，而不是已验证的调度器或保护装置。</w:t>
      </w:r>
    </w:p>
    <w:p>
      <w:pPr>
        <w:spacing w:before="360" w:after="240" w:line="360" w:lineRule="auto"/>
        <w:ind w:firstLine="0"/>
        <w:jc w:val="both"/>
        <w:outlineLvl w:val="1"/>
        <w:snapToGrid w:val="0"/>
      </w:pPr>
      <w:r>
        <w:rPr>
          <w:rFonts w:ascii="Times New Roman" w:hAnsi="Times New Roman" w:cs="Times New Roman" w:eastAsia="黑体"/>
          <w:b/>
          <w:sz w:val="30"/>
        </w:rPr>
        <w:t>5.6 本章小结</w:t>
      </w:r>
    </w:p>
    <w:p>
      <w:pPr>
        <w:spacing w:before="0" w:after="0" w:line="300" w:lineRule="auto"/>
        <w:ind w:firstLine="480"/>
        <w:jc w:val="both"/>
        <w:snapToGrid w:val="0"/>
      </w:pPr>
      <w:r>
        <w:rPr>
          <w:rFonts w:ascii="Times New Roman" w:hAnsi="Times New Roman" w:cs="Times New Roman" w:eastAsia="宋体"/>
          <w:b w:val="0"/>
          <w:sz w:val="24"/>
        </w:rPr>
        <w:t>本章围绕关系方向、区间可靠性、分层参数敏感度与预测运行接口开展探索，结果见表5-8。TE—PCMCI+处理训练期条件滞后候选，共形处理冻结预测的经验覆盖，参数替换处理模型内部关系分配响应；应用算例进一步说明节点代理预测进入容量余量核查前所需的计量映射与站级运行量，并用固定原点的需求突增反例界定其可靠性边界。各项分析使用各自冻结口径，不改变主模型训练和第3章排名。</w:t>
      </w:r>
    </w:p>
    <w:p>
      <w:pPr>
        <w:spacing w:before="60" w:after="60" w:line="240" w:lineRule="auto"/>
        <w:ind w:firstLine="0"/>
        <w:jc w:val="center"/>
        <w:keepNext/>
        <w:snapToGrid w:val="0"/>
      </w:pPr>
      <w:r>
        <w:rPr>
          <w:rFonts w:ascii="Times New Roman" w:hAnsi="Times New Roman" w:cs="Times New Roman" w:eastAsia="黑体"/>
          <w:b w:val="0"/>
          <w:sz w:val="21"/>
        </w:rPr>
        <w:t>表5-8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keepNext/>
              <w:snapToGrid w:val="0"/>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标准共形、回溯规则路由与oracle对比</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旧规则不具备已验证实时可见性，覆盖未达标；oracle仅为事后参照</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分离模型选择与校准后能否达标？</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新协议冻结三种子、独立校准段与有限样本秩修正</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行为分层整体覆盖80.04%，事件5.92%；平均宽度较标准增加43.3%</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测试时期已查看；存在时间依赖与失配，不能报告90%保证或与旧覆盖直接计算收益</w:t>
            </w:r>
          </w:p>
        </w:tc>
      </w:tr>
      <w:tr>
        <w:trPr>
          <w:cantSplit/>
        </w:trPr>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关系分配的影响是否分层不同？</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7种参数替换的窗口和节点汇总</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nil"/>
              <w:left w:val="nil"/>
              <w:right w:val="nil"/>
            </w:tcBorders>
          </w:tcPr>
          <w:p>
            <w:pPr>
              <w:spacing w:before="0" w:after="0" w:line="240" w:lineRule="auto"/>
              <w:ind w:firstLine="0"/>
              <w:jc w:val="center"/>
              <w:keepNext/>
              <w:snapToGrid w:val="0"/>
            </w:pPr>
            <w:r/>
            <w:r>
              <w:rPr>
                <w:rFonts w:ascii="Times New Roman" w:hAnsi="Times New Roman" w:cs="Times New Roman" w:eastAsia="宋体"/>
                <w:b w:val="0"/>
                <w:sz w:val="21"/>
              </w:rPr>
              <w:t>参数干预敏感度，不构成因果效应；分层汇总未保存离散度</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节点预测如何进入运行决策？</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固定时刻四步代理需求预测及余量核查接口定义</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13:45需求突增时末步预测低估43.1%；容量余量公式仅定义接口，未以真实站级参数求值</w:t>
            </w:r>
          </w:p>
        </w:tc>
        <w:tc>
          <w:tcPr>
            <w:tcW w:type="dxa" w:w="2078"/>
            <w:vAlign w:val="center"/>
            <w:tcBorders>
              <w:top w:val="nil"/>
              <w:bottom w:val="single" w:sz="12" w:color="000000"/>
              <w:left w:val="nil"/>
              <w:right w:val="nil"/>
            </w:tcBorders>
          </w:tcPr>
          <w:p>
            <w:pPr>
              <w:spacing w:before="0" w:after="0" w:line="240" w:lineRule="auto"/>
              <w:ind w:firstLine="0"/>
              <w:jc w:val="center"/>
              <w:keepNext w:val="0"/>
              <w:snapToGrid w:val="0"/>
            </w:pPr>
            <w:r/>
            <w:r>
              <w:rPr>
                <w:rFonts w:ascii="Times New Roman" w:hAnsi="Times New Roman" w:cs="Times New Roman" w:eastAsia="宋体"/>
                <w:b w:val="0"/>
                <w:sz w:val="21"/>
              </w:rPr>
              <w:t>仅十节点事后代理；尚无计量映射、全站负荷与运行约束，不构成已验证预警、排程或调度收益</w:t>
            </w:r>
          </w:p>
        </w:tc>
      </w:tr>
    </w:tbl>
    <w:p>
      <w:pPr>
        <w:spacing w:before="0" w:after="0" w:line="300" w:lineRule="auto"/>
        <w:ind w:firstLine="480"/>
        <w:jc w:val="both"/>
        <w:snapToGrid w:val="0"/>
      </w:pPr>
      <w:r>
        <w:rPr>
          <w:rFonts w:ascii="Times New Roman" w:hAnsi="Times New Roman" w:cs="Times New Roman" w:eastAsia="宋体"/>
          <w:b w:val="0"/>
          <w:sz w:val="24"/>
        </w:rPr>
        <w:t>方向性分析发现了无向统计图未覆盖的候选，旧区间分析暴露了回溯规则路由的覆盖缺口，新协议独立校准补充则表明覆盖失配在分离校准后仍存在；参数替换显示关系分配的影响随样本层面而变化。后续应在跨站数据上验证方向性结构，在未见时期检查区间，并用可核验到达时点的行为信号评估路由与关系图更新；本章运行接口仍须实测功率及站级约束支撑。</w:t>
      </w:r>
    </w:p>
    <w:p>
      <w:pPr>
        <w:sectPr>
          <w:headerReference w:type="default" r:id="rId107"/>
          <w:headerReference w:type="even" r:id="rId108"/>
          <w:footerReference w:type="default" r:id="rId109"/>
          <w:footerReference w:type="even" r:id="rId110"/>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结  论</w:t>
      </w:r>
    </w:p>
    <w:p>
      <w:pPr>
        <w:spacing w:before="360" w:after="240" w:line="360" w:lineRule="auto"/>
        <w:ind w:firstLine="0"/>
        <w:jc w:val="both"/>
        <w:outlineLvl w:val="1"/>
        <w:snapToGrid w:val="0"/>
      </w:pPr>
      <w:r>
        <w:rPr>
          <w:rFonts w:ascii="Times New Roman" w:hAnsi="Times New Roman" w:cs="Times New Roman" w:eastAsia="黑体"/>
          <w:b/>
          <w:sz w:val="30"/>
        </w:rPr>
        <w:t>研究工作总结</w:t>
      </w:r>
    </w:p>
    <w:p>
      <w:pPr>
        <w:spacing w:before="0" w:after="0" w:line="300" w:lineRule="auto"/>
        <w:ind w:firstLine="480"/>
        <w:jc w:val="both"/>
        <w:snapToGrid w:val="0"/>
      </w:pPr>
      <w:r>
        <w:rPr>
          <w:rFonts w:ascii="Times New Roman" w:hAnsi="Times New Roman" w:cs="Times New Roman" w:eastAsia="宋体"/>
          <w:b w:val="0"/>
          <w:sz w:val="24"/>
        </w:rPr>
        <w:t>本文以公开充电会话记录重构的节点代理负荷为对象，面向单站10个主分析节点，按15 min展开数据，采用96步输入、未来4步输出和时间顺序划分开展节点短期负荷预测。旧主协议（SG-DATA-005-primary-tensor、SG-EXP-003）使用会话最终电量与断开时间重构的离线代理负荷，回答固定回溯序列上多关系模型能否改善预测；另行冻结的事件时刻输入新协议（SG-DATA-006-eventtime-v1、SG-EXP-019）只使用预测原点前已发生的行为和日历信息，目标仍为事后会话能量代理，回答输入权限收紧后关系结构是否保留相对价值。两套协议的测试预测键不同，旧协议为712,360个、新协议为708,560个，不能合并比较。</w:t>
      </w:r>
    </w:p>
    <w:p>
      <w:pPr>
        <w:spacing w:before="0" w:after="0" w:line="300" w:lineRule="auto"/>
        <w:ind w:firstLine="480"/>
        <w:jc w:val="both"/>
        <w:snapToGrid w:val="0"/>
      </w:pPr>
      <w:r>
        <w:rPr>
          <w:rFonts w:ascii="Times New Roman" w:hAnsi="Times New Roman" w:cs="Times New Roman" w:eastAsia="宋体"/>
          <w:b w:val="0"/>
          <w:sz w:val="24"/>
        </w:rPr>
        <w:t>基于训练期负荷耦合、行为共现和轮廓相似关系构建LRE三关系图，提出以TCN为时间骨干、含关系级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门控的MRG-GCN。围绕模型内部关系分配、图结构收益能否被纯时序模型吸收以及总体误差由哪些样本构成，建立MDP三层诊断：L1参数干预、L2知识蒸馏、L3以target_event和rule_trigger交叉的四格溯源。第5章的方向性候选、共形区间和参数敏感度属于冻结结果上的预测支持探索，不改变正式点预测结论。</w:t>
      </w:r>
    </w:p>
    <w:p>
      <w:pPr>
        <w:spacing w:before="360" w:after="240" w:line="360" w:lineRule="auto"/>
        <w:ind w:firstLine="0"/>
        <w:jc w:val="both"/>
        <w:outlineLvl w:val="1"/>
        <w:snapToGrid w:val="0"/>
      </w:pPr>
      <w:r>
        <w:rPr>
          <w:rFonts w:ascii="Times New Roman" w:hAnsi="Times New Roman" w:cs="Times New Roman" w:eastAsia="黑体"/>
          <w:b/>
          <w:sz w:val="30"/>
        </w:rPr>
        <w:t>主要研究结论</w:t>
      </w:r>
    </w:p>
    <w:p>
      <w:pPr>
        <w:spacing w:before="0" w:after="0" w:line="300" w:lineRule="auto"/>
        <w:ind w:firstLine="480"/>
        <w:jc w:val="both"/>
        <w:snapToGrid w:val="0"/>
      </w:pPr>
      <w:r>
        <w:rPr>
          <w:rFonts w:ascii="Times New Roman" w:hAnsi="Times New Roman" w:cs="Times New Roman" w:eastAsia="宋体"/>
          <w:b w:val="0"/>
          <w:sz w:val="24"/>
        </w:rPr>
        <w:t>（1）旧主协议中，正式MRG-GCN（StaticGraph）全局MAE为0.01376 kWh/15 min，WAPE为0.2860；相较TCN和ARIMA，MAE分别降低53.4%和39.1%。MRG-GCN的MAE最低，已报告WAPE中也最低；AGCRN简化变体的RMSE最低。MRG-GCN、AdaptiveGraph和EventResidual的MAE差异与跨种子波动同级，不能建立稳定头部次序；单关系与三关系接近，未证明三类关系各有独立正增量。</w:t>
      </w:r>
    </w:p>
    <w:p>
      <w:pPr>
        <w:spacing w:before="0" w:after="0" w:line="300" w:lineRule="auto"/>
        <w:ind w:firstLine="480"/>
        <w:jc w:val="both"/>
        <w:snapToGrid w:val="0"/>
      </w:pPr>
      <w:r>
        <w:rPr>
          <w:rFonts w:ascii="Times New Roman" w:hAnsi="Times New Roman" w:cs="Times New Roman" w:eastAsia="宋体"/>
          <w:b w:val="0"/>
          <w:sz w:val="24"/>
        </w:rPr>
        <w:t>（2）MDP给出三类互补证据：L1中，旧协议训练后前向替换的7种关系级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𝜷</m:t>
        </m:r>
      </m:oMath>
      <w:r>
        <w:rPr>
          <w:rFonts w:ascii="Times New Roman" w:hAnsi="Times New Roman" w:cs="Times New Roman" w:eastAsia="宋体"/>
          <w:b w:val="0"/>
          <w:sz w:val="24"/>
        </w:rPr>
        <w:t>干预均使MAE退化95.9%～233.6%；L2中，所检四个蒸馏权重下TCN学生MAE约为0.029，未弥合与StaticGraph教师0.01376的差距；L3中，target_event标签事件窗口占测试预测键1.43%，误差约为稳定窗口28倍，rule_trigger触发率为0.43%，且四格加权MAE可还原全局结果。</w:t>
      </w:r>
    </w:p>
    <w:p>
      <w:pPr>
        <w:spacing w:before="0" w:after="0" w:line="300" w:lineRule="auto"/>
        <w:ind w:firstLine="480"/>
        <w:jc w:val="both"/>
        <w:snapToGrid w:val="0"/>
      </w:pPr>
      <w:r>
        <w:rPr>
          <w:rFonts w:ascii="Times New Roman" w:hAnsi="Times New Roman" w:cs="Times New Roman" w:eastAsia="宋体"/>
          <w:b w:val="0"/>
          <w:sz w:val="24"/>
        </w:rPr>
        <w:t>（3）新协议中，mrg_full的MAE为0.03890 kWh/15 min，较参数量近似匹配的tcn_wide（0.04634 kWh/15 min）低16.1%；但完整能力基线agcrn_full为0.03743 kWh/15 min，比mrg_full低3.9%。因此，新协议下不能写成MRG-GCN优胜；它只支持“输入权限收紧后，MRG-GCN相对容量匹配TCN仍有价值”的限定判断。</w:t>
      </w:r>
    </w:p>
    <w:p>
      <w:pPr>
        <w:spacing w:before="0" w:after="0" w:line="300" w:lineRule="auto"/>
        <w:ind w:firstLine="480"/>
        <w:jc w:val="both"/>
        <w:snapToGrid w:val="0"/>
      </w:pPr>
      <w:r>
        <w:rPr>
          <w:rFonts w:ascii="Times New Roman" w:hAnsi="Times New Roman" w:cs="Times New Roman" w:eastAsia="宋体"/>
          <w:b w:val="0"/>
          <w:sz w:val="24"/>
        </w:rPr>
        <w:t>补充分层将上述新协议改善主要定位到占87.25%的零目标键；非零及标签事件组并未优于等宽TCN。独立校准下，标准与行为分层的整体覆盖分别为79.55%和80.04%，事件覆盖分别为3.87%和5.92%，均未达90%。关系路径对常态误差的改善和稀有困难窗口的可靠性是两个需要分别评价的问题。</w:t>
      </w:r>
    </w:p>
    <w:p>
      <w:pPr>
        <w:spacing w:before="0" w:after="0" w:line="300" w:lineRule="auto"/>
        <w:ind w:firstLine="480"/>
        <w:jc w:val="both"/>
        <w:snapToGrid w:val="0"/>
      </w:pPr>
      <w:r>
        <w:rPr>
          <w:rFonts w:ascii="Times New Roman" w:hAnsi="Times New Roman" w:cs="Times New Roman" w:eastAsia="宋体"/>
          <w:b w:val="0"/>
          <w:sz w:val="24"/>
        </w:rPr>
        <w:t>（4）第5章的探索结果均是边界证据：TE得到76/90条名义候选，其中44/76经PCMCI+后仍达到名义阈值，未作多重比较校正；规则路由将标签事件窗口经验覆盖率从1.9%提高到3.9%，oracle为86.1%，仍低于90%目标；参数替换的稳定窗口相对退化132.1%～316.6%，事件窗口为5.5%～35.6%。</w:t>
      </w:r>
    </w:p>
    <w:p>
      <w:pPr>
        <w:spacing w:before="360" w:after="240" w:line="360" w:lineRule="auto"/>
        <w:ind w:firstLine="0"/>
        <w:jc w:val="both"/>
        <w:outlineLvl w:val="1"/>
        <w:snapToGrid w:val="0"/>
      </w:pPr>
      <w:r>
        <w:rPr>
          <w:rFonts w:ascii="Times New Roman" w:hAnsi="Times New Roman" w:cs="Times New Roman" w:eastAsia="黑体"/>
          <w:b/>
          <w:sz w:val="30"/>
        </w:rPr>
        <w:t>工程含义与适用范围</w:t>
      </w:r>
    </w:p>
    <w:p>
      <w:pPr>
        <w:spacing w:before="0" w:after="0" w:line="300" w:lineRule="auto"/>
        <w:ind w:firstLine="480"/>
        <w:jc w:val="both"/>
        <w:snapToGrid w:val="0"/>
      </w:pPr>
      <w:r>
        <w:rPr>
          <w:rFonts w:ascii="Times New Roman" w:hAnsi="Times New Roman" w:cs="Times New Roman" w:eastAsia="宋体"/>
          <w:b w:val="0"/>
          <w:sz w:val="24"/>
        </w:rPr>
        <w:t>在旧主协议的单站、固定切分、会话重构代理负荷和统一预测键下，MRG-GCN是MAE较低的完整配置。其输出仍是离线节点代理负荷；经电表量测标定后，预测曲线才可能作为短时容量核查与有序充电协调的辅助输入。L1支持对所检学习关系分配存在功能依赖，L2表明该差距未被所检纯时序学生吸收，L3则说明全局MAE不能替代对稀有困难窗口的分层评价。新协议补充了可见信息边界：关系路径相对容量匹配的纯时序路径仍有价值，但完整AGCRN基线略低于MRG-GCN。</w:t>
      </w:r>
    </w:p>
    <w:p>
      <w:pPr>
        <w:spacing w:before="0" w:after="0" w:line="300" w:lineRule="auto"/>
        <w:ind w:firstLine="480"/>
        <w:jc w:val="both"/>
        <w:snapToGrid w:val="0"/>
      </w:pPr>
      <w:r>
        <w:rPr>
          <w:rFonts w:ascii="Times New Roman" w:hAnsi="Times New Roman" w:cs="Times New Roman" w:eastAsia="宋体"/>
          <w:b w:val="0"/>
          <w:sz w:val="24"/>
        </w:rPr>
        <w:t>旧协议的target_event为事后评价标签，rule_trigger为包含代理负荷差分的冻结回溯规则；二者不能混作分类器真值与输出，阈值冻结也不能证明实时可见。LRE表示训练期固定的无向统计关系，MDP组织内部干预、蒸馏和误差分层；β必须与关系变换共同解释，蒸馏差距仍受输入、容量和目标设置限制。四格贡献表明，1.3933%的标签事件/规则未触发键贡献28.0995%的绝对误差，但大量非事件/未触发键仍贡献69.2907%，改善困难窗口与控制稳定样本总误差应兼顾。</w:t>
      </w:r>
    </w:p>
    <w:p>
      <w:pPr>
        <w:spacing w:before="0" w:after="0" w:line="300" w:lineRule="auto"/>
        <w:ind w:firstLine="480"/>
        <w:jc w:val="both"/>
        <w:snapToGrid w:val="0"/>
      </w:pPr>
      <w:r>
        <w:rPr>
          <w:rFonts w:ascii="Times New Roman" w:hAnsi="Times New Roman" w:cs="Times New Roman" w:eastAsia="宋体"/>
          <w:b w:val="0"/>
          <w:sz w:val="24"/>
        </w:rPr>
        <w:t>运行算例给出了代理预测的时间映射与单位换算，并定义了与非充电负荷、设备限额和备用裕度共同形成余量核查所需的接口。实测功率校准是应用前仍须完成的条件，本文未执行该校准；实际处置还须满足车辆服务约束。当前只有十节点事后代理回放，余量表达未用真实站级参数求值；预警回溯的开始前过程发现率约一成，且固定算例在需求跃升时明显低估，因此不能将其解释为已验证的过载防护、可执行排程或调度收益。</w:t>
      </w:r>
    </w:p>
    <w:p>
      <w:pPr>
        <w:spacing w:before="360" w:after="240" w:line="360" w:lineRule="auto"/>
        <w:ind w:firstLine="0"/>
        <w:jc w:val="both"/>
        <w:outlineLvl w:val="1"/>
        <w:snapToGrid w:val="0"/>
      </w:pPr>
      <w:r>
        <w:rPr>
          <w:rFonts w:ascii="Times New Roman" w:hAnsi="Times New Roman" w:cs="Times New Roman" w:eastAsia="黑体"/>
          <w:b/>
          <w:sz w:val="30"/>
        </w:rPr>
        <w:t>研究局限与后续工作</w:t>
      </w:r>
    </w:p>
    <w:p>
      <w:pPr>
        <w:spacing w:before="0" w:after="0" w:line="300" w:lineRule="auto"/>
        <w:ind w:firstLine="480"/>
        <w:jc w:val="both"/>
        <w:snapToGrid w:val="0"/>
      </w:pPr>
      <w:r>
        <w:rPr>
          <w:rFonts w:ascii="Times New Roman" w:hAnsi="Times New Roman" w:cs="Times New Roman" w:eastAsia="宋体"/>
          <w:b w:val="0"/>
          <w:sz w:val="24"/>
        </w:rPr>
        <w:t>旧协议的0.01376与新协议的0.03890来自不同输入权限、切分方式和测试预测键，不能直接相减或合并成一条性能曲线；新协议的agcrn_full略低于mrg_full，也不能据此把新协议写成MRG-GCN领先。新协议仍以事后会话能量代理为目标，不是实测功率验证，且未补齐同输入、同预算和参数量控制下的全部基线。仅在新协议内部，MRG-GCN相对等宽TCN降低16.1%、相对参数量相同的自环变体降低约15.6%，因此可将关系路径的相对价值作为限定性结论，而不能写成跨协议的绝对性能提升。</w:t>
      </w:r>
    </w:p>
    <w:p>
      <w:pPr>
        <w:spacing w:before="0" w:after="0" w:line="300" w:lineRule="auto"/>
        <w:ind w:firstLine="480"/>
        <w:jc w:val="both"/>
        <w:snapToGrid w:val="0"/>
      </w:pPr>
      <w:r>
        <w:rPr>
          <w:rFonts w:ascii="Times New Roman" w:hAnsi="Times New Roman" w:cs="Times New Roman" w:eastAsia="宋体"/>
          <w:b w:val="0"/>
          <w:sz w:val="24"/>
        </w:rPr>
        <w:t>本文不能据此推断统计关系等同于物理充电桩、馈线或配电拓扑，不能把TE、PCMCI+或参数干预解释为物理因果，也不能把当前共形覆盖结果写成达到90%保证、事件预测能力或在线调度收益。三层诊断分别受7种关系替换、单一TCN学生与四个蒸馏权重、以及事件样本稀少和规则错位的限制；旧主协议未设置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sz w:val="21"/>
          </w:rPr>
          <m:t>G</m:t>
        </m:r>
      </m:oMath>
      <w:r>
        <w:rPr>
          <w:rFonts w:ascii="Times New Roman" w:hAnsi="Times New Roman" w:cs="Times New Roman" w:eastAsia="宋体"/>
          <w:b w:val="0"/>
          <w:sz w:val="24"/>
        </w:rPr>
        <w:t>门控的独立重训练消融，新协议的固定门值结果受参数量和训练预算影响，只能作为有限功能证据；方向性候选也未回灌MRG-GCN。</w:t>
      </w:r>
    </w:p>
    <w:p>
      <w:pPr>
        <w:spacing w:before="0" w:after="0" w:line="300" w:lineRule="auto"/>
        <w:ind w:firstLine="480"/>
        <w:jc w:val="both"/>
        <w:snapToGrid w:val="0"/>
      </w:pPr>
      <w:r>
        <w:rPr>
          <w:rFonts w:ascii="Times New Roman" w:hAnsi="Times New Roman" w:cs="Times New Roman" w:eastAsia="宋体"/>
          <w:b w:val="0"/>
          <w:sz w:val="24"/>
        </w:rPr>
        <w:t>因此，进入业务使用前仍需用真实量测数据核验代理负荷映射，在独立场站和未见时期重做筛选、构图、校准与基线比较，并用预测时可见信号检验事件路由及具体决策增益。当前结论止于单站节点代理负荷上的离线预测、机制诊断和边界识别。</w:t>
      </w:r>
    </w:p>
    <w:p>
      <w:pPr>
        <w:sectPr>
          <w:headerReference w:type="default" r:id="rId120"/>
          <w:headerReference w:type="even" r:id="rId121"/>
          <w:footerReference w:type="default" r:id="rId122"/>
          <w:footerReference w:type="even" r:id="rId12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snapToGrid w:val="0"/>
      </w:pPr>
      <w:r>
        <w:rPr>
          <w:rFonts w:ascii="Times New Roman" w:hAnsi="Times New Roman" w:cs="Times New Roman" w:eastAsia="黑体"/>
          <w:b/>
          <w:sz w:val="36"/>
        </w:rPr>
        <w:t>参考文献</w:t>
      </w:r>
    </w:p>
    <w:p>
      <w:pPr>
        <w:spacing w:before="0" w:after="0" w:line="300" w:lineRule="auto"/>
        <w:ind w:left="420" w:hanging="420"/>
        <w:jc w:val="left"/>
        <w:snapToGrid w:val="0"/>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snapToGrid w:val="0"/>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snapToGrid w:val="0"/>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snapToGrid w:val="0"/>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snapToGrid w:val="0"/>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snapToGrid w:val="0"/>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snapToGrid w:val="0"/>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snapToGrid w:val="0"/>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snapToGrid w:val="0"/>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snapToGrid w:val="0"/>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snapToGrid w:val="0"/>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snapToGrid w:val="0"/>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snapToGrid w:val="0"/>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snapToGrid w:val="0"/>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snapToGrid w:val="0"/>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snapToGrid w:val="0"/>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snapToGrid w:val="0"/>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snapToGrid w:val="0"/>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snapToGrid w:val="0"/>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snapToGrid w:val="0"/>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snapToGrid w:val="0"/>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snapToGrid w:val="0"/>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snapToGrid w:val="0"/>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snapToGrid w:val="0"/>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snapToGrid w:val="0"/>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snapToGrid w:val="0"/>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snapToGrid w:val="0"/>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snapToGrid w:val="0"/>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snapToGrid w:val="0"/>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snapToGrid w:val="0"/>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snapToGrid w:val="0"/>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snapToGrid w:val="0"/>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snapToGrid w:val="0"/>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snapToGrid w:val="0"/>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snapToGrid w:val="0"/>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snapToGrid w:val="0"/>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snapToGrid w:val="0"/>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snapToGrid w:val="0"/>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snapToGrid w:val="0"/>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snapToGrid w:val="0"/>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snapToGrid w:val="0"/>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snapToGrid w:val="0"/>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snapToGrid w:val="0"/>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snapToGrid w:val="0"/>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snapToGrid w:val="0"/>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snapToGrid w:val="0"/>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snapToGrid w:val="0"/>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snapToGrid w:val="0"/>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snapToGrid w:val="0"/>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snapToGrid w:val="0"/>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snapToGrid w:val="0"/>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snapToGrid w:val="0"/>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snapToGrid w:val="0"/>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snapToGrid w:val="0"/>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snapToGrid w:val="0"/>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snapToGrid w:val="0"/>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snapToGrid w:val="0"/>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snapToGrid w:val="0"/>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snapToGrid w:val="0"/>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snapToGrid w:val="0"/>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snapToGrid w:val="0"/>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snapToGrid w:val="0"/>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snapToGrid w:val="0"/>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snapToGrid w:val="0"/>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snapToGrid w:val="0"/>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snapToGrid w:val="0"/>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snapToGrid w:val="0"/>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snapToGrid w:val="0"/>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snapToGrid w:val="0"/>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snapToGrid w:val="0"/>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snapToGrid w:val="0"/>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snapToGrid w:val="0"/>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snapToGrid w:val="0"/>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snapToGrid w:val="0"/>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snapToGrid w:val="0"/>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snapToGrid w:val="0"/>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snapToGrid w:val="0"/>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snapToGrid w:val="0"/>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snapToGrid w:val="0"/>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snapToGrid w:val="0"/>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snapToGrid w:val="0"/>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snapToGrid w:val="0"/>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snapToGrid w:val="0"/>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snapToGrid w:val="0"/>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snapToGrid w:val="0"/>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snapToGrid w:val="0"/>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snapToGrid w:val="0"/>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snapToGrid w:val="0"/>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snapToGrid w:val="0"/>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snapToGrid w:val="0"/>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24"/>
      <w:headerReference w:type="even" r:id="rId125"/>
      <w:footerReference w:type="default" r:id="rId126"/>
      <w:footerReference w:type="even" r:id="rId12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snapToGrid w:val="0"/>
    </w:pPr>
    <w:r>
      <w:rPr>
        <w:sz w:val="18"/>
      </w:rPr>
    </w:r>
    <w:fldSimple w:instr="PAGE">
      <w:r>
        <w:rPr>
          <w:rFonts w:ascii="Times New Roman" w:hAnsi="Times New Roman" w:eastAsia="宋体"/>
          <w:sz w:val="18"/>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snapToGrid w:val="0"/>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spacing w:before="0" w:after="0" w:line="300" w:lineRule="auto"/>
      <w:ind w:left="958" w:leftChars="400" w:firstLine="0"/>
      <w:jc w:val="left"/>
      <w:tabs>
        <w:tab w:pos="8311" w:val="right" w:leader="dot"/>
      </w:tabs>
      <w:snapToGrid w:val="0"/>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spacing w:before="0" w:after="0" w:line="300" w:lineRule="auto"/>
      <w:ind w:left="0" w:firstLine="0"/>
      <w:jc w:val="left"/>
      <w:tabs>
        <w:tab w:pos="8311" w:val="right" w:leader="dot"/>
      </w:tabs>
      <w:snapToGrid w:val="0"/>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spacing w:before="0" w:after="0" w:line="300" w:lineRule="auto"/>
      <w:ind w:left="482" w:leftChars="200" w:firstLine="0"/>
      <w:jc w:val="left"/>
      <w:tabs>
        <w:tab w:pos="8311" w:val="right" w:leader="dot"/>
      </w:tabs>
      <w:snapToGrid w:val="0"/>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footer" Target="footer10.xml"/><Relationship Id="rId49" Type="http://schemas.openxmlformats.org/officeDocument/2006/relationships/header" Target="header24.xml"/><Relationship Id="rId50" Type="http://schemas.openxmlformats.org/officeDocument/2006/relationships/header" Target="header25.xml"/><Relationship Id="rId51" Type="http://schemas.openxmlformats.org/officeDocument/2006/relationships/footer" Target="footer11.xml"/><Relationship Id="rId52" Type="http://schemas.openxmlformats.org/officeDocument/2006/relationships/footer" Target="footer12.xml"/><Relationship Id="rId53" Type="http://schemas.openxmlformats.org/officeDocument/2006/relationships/header" Target="header26.xml"/><Relationship Id="rId54" Type="http://schemas.openxmlformats.org/officeDocument/2006/relationships/header" Target="header27.xml"/><Relationship Id="rId55" Type="http://schemas.openxmlformats.org/officeDocument/2006/relationships/footer" Target="footer13.xml"/><Relationship Id="rId56" Type="http://schemas.openxmlformats.org/officeDocument/2006/relationships/footer" Target="footer14.xml"/><Relationship Id="rId57" Type="http://schemas.openxmlformats.org/officeDocument/2006/relationships/header" Target="header28.xml"/><Relationship Id="rId58" Type="http://schemas.openxmlformats.org/officeDocument/2006/relationships/header" Target="header29.xml"/><Relationship Id="rId59" Type="http://schemas.openxmlformats.org/officeDocument/2006/relationships/footer" Target="footer15.xml"/><Relationship Id="rId60" Type="http://schemas.openxmlformats.org/officeDocument/2006/relationships/footer" Target="footer16.xml"/><Relationship Id="rId61" Type="http://schemas.openxmlformats.org/officeDocument/2006/relationships/image" Target="media/image7.png"/><Relationship Id="rId62" Type="http://schemas.openxmlformats.org/officeDocument/2006/relationships/image" Target="media/image8.png"/><Relationship Id="rId63" Type="http://schemas.openxmlformats.org/officeDocument/2006/relationships/header" Target="header30.xml"/><Relationship Id="rId64" Type="http://schemas.openxmlformats.org/officeDocument/2006/relationships/header" Target="header31.xml"/><Relationship Id="rId65" Type="http://schemas.openxmlformats.org/officeDocument/2006/relationships/footer" Target="footer17.xml"/><Relationship Id="rId66" Type="http://schemas.openxmlformats.org/officeDocument/2006/relationships/footer" Target="footer18.xml"/><Relationship Id="rId67" Type="http://schemas.openxmlformats.org/officeDocument/2006/relationships/image" Target="media/image9.png"/><Relationship Id="rId68" Type="http://schemas.openxmlformats.org/officeDocument/2006/relationships/image" Target="media/image10.png"/><Relationship Id="rId69" Type="http://schemas.openxmlformats.org/officeDocument/2006/relationships/image" Target="media/image11.png"/><Relationship Id="rId70" Type="http://schemas.openxmlformats.org/officeDocument/2006/relationships/image" Target="media/image12.png"/><Relationship Id="rId71" Type="http://schemas.openxmlformats.org/officeDocument/2006/relationships/image" Target="media/image13.png"/><Relationship Id="rId72" Type="http://schemas.openxmlformats.org/officeDocument/2006/relationships/image" Target="media/image14.png"/><Relationship Id="rId73" Type="http://schemas.openxmlformats.org/officeDocument/2006/relationships/image" Target="media/image15.png"/><Relationship Id="rId74" Type="http://schemas.openxmlformats.org/officeDocument/2006/relationships/image" Target="media/image16.png"/><Relationship Id="rId75" Type="http://schemas.openxmlformats.org/officeDocument/2006/relationships/image" Target="media/image17.png"/><Relationship Id="rId76" Type="http://schemas.openxmlformats.org/officeDocument/2006/relationships/image" Target="media/image18.png"/><Relationship Id="rId77" Type="http://schemas.openxmlformats.org/officeDocument/2006/relationships/image" Target="media/image19.png"/><Relationship Id="rId78" Type="http://schemas.openxmlformats.org/officeDocument/2006/relationships/image" Target="media/image20.png"/><Relationship Id="rId79" Type="http://schemas.openxmlformats.org/officeDocument/2006/relationships/header" Target="header32.xml"/><Relationship Id="rId80" Type="http://schemas.openxmlformats.org/officeDocument/2006/relationships/header" Target="header33.xml"/><Relationship Id="rId81" Type="http://schemas.openxmlformats.org/officeDocument/2006/relationships/footer" Target="footer19.xml"/><Relationship Id="rId82" Type="http://schemas.openxmlformats.org/officeDocument/2006/relationships/footer" Target="footer20.xml"/><Relationship Id="rId83" Type="http://schemas.openxmlformats.org/officeDocument/2006/relationships/image" Target="media/image21.png"/><Relationship Id="rId84" Type="http://schemas.openxmlformats.org/officeDocument/2006/relationships/image" Target="media/image22.png"/><Relationship Id="rId85" Type="http://schemas.openxmlformats.org/officeDocument/2006/relationships/image" Target="media/image23.png"/><Relationship Id="rId86" Type="http://schemas.openxmlformats.org/officeDocument/2006/relationships/image" Target="media/image24.png"/><Relationship Id="rId87" Type="http://schemas.openxmlformats.org/officeDocument/2006/relationships/image" Target="media/image25.png"/><Relationship Id="rId88" Type="http://schemas.openxmlformats.org/officeDocument/2006/relationships/image" Target="media/image26.png"/><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image" Target="media/image29.png"/><Relationship Id="rId92" Type="http://schemas.openxmlformats.org/officeDocument/2006/relationships/image" Target="media/image30.png"/><Relationship Id="rId93" Type="http://schemas.openxmlformats.org/officeDocument/2006/relationships/image" Target="media/image31.png"/><Relationship Id="rId94" Type="http://schemas.openxmlformats.org/officeDocument/2006/relationships/image" Target="media/image32.png"/><Relationship Id="rId95" Type="http://schemas.openxmlformats.org/officeDocument/2006/relationships/image" Target="media/image33.png"/><Relationship Id="rId96" Type="http://schemas.openxmlformats.org/officeDocument/2006/relationships/image" Target="media/image34.png"/><Relationship Id="rId97" Type="http://schemas.openxmlformats.org/officeDocument/2006/relationships/header" Target="header34.xml"/><Relationship Id="rId98" Type="http://schemas.openxmlformats.org/officeDocument/2006/relationships/header" Target="header35.xml"/><Relationship Id="rId99" Type="http://schemas.openxmlformats.org/officeDocument/2006/relationships/footer" Target="footer21.xml"/><Relationship Id="rId100" Type="http://schemas.openxmlformats.org/officeDocument/2006/relationships/footer" Target="footer22.xml"/><Relationship Id="rId101" Type="http://schemas.openxmlformats.org/officeDocument/2006/relationships/image" Target="media/image35.png"/><Relationship Id="rId102" Type="http://schemas.openxmlformats.org/officeDocument/2006/relationships/image" Target="media/image36.png"/><Relationship Id="rId103" Type="http://schemas.openxmlformats.org/officeDocument/2006/relationships/image" Target="media/image37.png"/><Relationship Id="rId104" Type="http://schemas.openxmlformats.org/officeDocument/2006/relationships/image" Target="media/image38.png"/><Relationship Id="rId105" Type="http://schemas.openxmlformats.org/officeDocument/2006/relationships/image" Target="media/image39.png"/><Relationship Id="rId106" Type="http://schemas.openxmlformats.org/officeDocument/2006/relationships/image" Target="media/image40.png"/><Relationship Id="rId107" Type="http://schemas.openxmlformats.org/officeDocument/2006/relationships/header" Target="header36.xml"/><Relationship Id="rId108" Type="http://schemas.openxmlformats.org/officeDocument/2006/relationships/header" Target="header37.xml"/><Relationship Id="rId109" Type="http://schemas.openxmlformats.org/officeDocument/2006/relationships/footer" Target="footer23.xml"/><Relationship Id="rId110" Type="http://schemas.openxmlformats.org/officeDocument/2006/relationships/footer" Target="footer24.xml"/><Relationship Id="rId111" Type="http://schemas.openxmlformats.org/officeDocument/2006/relationships/image" Target="media/image41.png"/><Relationship Id="rId112" Type="http://schemas.openxmlformats.org/officeDocument/2006/relationships/image" Target="media/image42.png"/><Relationship Id="rId113" Type="http://schemas.openxmlformats.org/officeDocument/2006/relationships/image" Target="media/image43.png"/><Relationship Id="rId114" Type="http://schemas.openxmlformats.org/officeDocument/2006/relationships/image" Target="media/image44.png"/><Relationship Id="rId115" Type="http://schemas.openxmlformats.org/officeDocument/2006/relationships/image" Target="media/image45.png"/><Relationship Id="rId116" Type="http://schemas.openxmlformats.org/officeDocument/2006/relationships/image" Target="media/image46.png"/><Relationship Id="rId117" Type="http://schemas.openxmlformats.org/officeDocument/2006/relationships/image" Target="media/image47.png"/><Relationship Id="rId118" Type="http://schemas.openxmlformats.org/officeDocument/2006/relationships/image" Target="media/image48.png"/><Relationship Id="rId119" Type="http://schemas.openxmlformats.org/officeDocument/2006/relationships/image" Target="media/image49.png"/><Relationship Id="rId120" Type="http://schemas.openxmlformats.org/officeDocument/2006/relationships/header" Target="header38.xml"/><Relationship Id="rId121" Type="http://schemas.openxmlformats.org/officeDocument/2006/relationships/header" Target="header39.xml"/><Relationship Id="rId122" Type="http://schemas.openxmlformats.org/officeDocument/2006/relationships/footer" Target="footer25.xml"/><Relationship Id="rId123" Type="http://schemas.openxmlformats.org/officeDocument/2006/relationships/footer" Target="footer26.xml"/><Relationship Id="rId124" Type="http://schemas.openxmlformats.org/officeDocument/2006/relationships/header" Target="header40.xml"/><Relationship Id="rId125" Type="http://schemas.openxmlformats.org/officeDocument/2006/relationships/header" Target="header41.xml"/><Relationship Id="rId126" Type="http://schemas.openxmlformats.org/officeDocument/2006/relationships/footer" Target="footer27.xml"/><Relationship Id="rId127" Type="http://schemas.openxmlformats.org/officeDocument/2006/relationships/footer" Target="footer2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