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jc w:val="center"/>
        <w:rPr>
          <w:b/>
          <w:sz w:val="44"/>
          <w:szCs w:val="44"/>
        </w:rPr>
      </w:pPr>
    </w:p>
    <w:p w14:paraId="62F943A5">
      <w:pPr>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pStyle w:val="3"/>
        <w:spacing w:before="0" w:after="0" w:line="240" w:lineRule="auto"/>
        <w:ind w:firstLine="0"/>
        <w:jc w:val="center"/>
      </w:pPr>
      <w:r>
        <w:rPr>
          <w:rFonts w:ascii="Times New Roman" w:hAnsi="Times New Roman" w:cs="Times New Roman" w:eastAsia="黑体"/>
          <w:b/>
          <w:sz w:val="30"/>
        </w:rPr>
        <w:t>基于站内多关系图与机制诊断的充电节点短期负荷预测研究</w:t>
      </w:r>
    </w:p>
    <w:p>
      <w:pPr>
        <w:pStyle w:val="3"/>
        <w:spacing w:before="360" w:after="360" w:line="240" w:lineRule="auto"/>
        <w:ind w:firstLine="0"/>
        <w:jc w:val="center"/>
      </w:pPr>
      <w:r>
        <w:rPr>
          <w:rFonts w:ascii="Times New Roman" w:hAnsi="Times New Roman" w:cs="Times New Roman" w:eastAsia="宋体"/>
          <w:b/>
          <w:sz w:val="30"/>
        </w:rPr>
        <w:t>摘  要</w:t>
      </w:r>
    </w:p>
    <w:p>
      <w:pPr>
        <w:spacing w:before="0" w:after="0" w:line="300" w:lineRule="auto"/>
        <w:ind w:firstLine="480"/>
        <w:jc w:val="both"/>
      </w:pPr>
      <w:r>
        <w:rPr>
          <w:rFonts w:ascii="Times New Roman" w:hAnsi="Times New Roman" w:cs="Times New Roman" w:eastAsia="宋体"/>
          <w:b w:val="0"/>
          <w:sz w:val="24"/>
        </w:rPr>
        <w:t>电动汽车充电设施持续扩张，场站内不同充电节点的负荷差异和短时波动给容量配置、负荷均衡与运行管理带来挑战。现有研究多以区域、站群或充电站聚合负荷为对象，对站内节点间多类型统计关系的利用及其预测收益来源缺乏系统检验。针对这一问题，本文以公开充电会话记录重构的节点代理负荷为对象，研究站内充电节点短期负荷预测及其机制诊断。</w:t>
      </w:r>
    </w:p>
    <w:p>
      <w:pPr>
        <w:spacing w:before="0" w:after="0" w:line="300" w:lineRule="auto"/>
        <w:ind w:firstLine="480"/>
        <w:jc w:val="both"/>
      </w:pPr>
      <w:r>
        <w:rPr>
          <w:rFonts w:ascii="Times New Roman" w:hAnsi="Times New Roman" w:cs="Times New Roman" w:eastAsia="宋体"/>
          <w:b w:val="0"/>
          <w:sz w:val="24"/>
        </w:rPr>
        <w:t>将31,424条充电会话按15 min时间网格展开后，得到覆盖118,818个时间步、10个主分析节点的节点代理负荷序列及行为特征；目标侧标签事件与预测时刻可见的冻结规则触发采用不同口径。在此基础上，按负荷耦合、行为共现和轮廓相似构建LRE三关系图，并提出以时间卷积网络为骨干、融合关系级和节点级门控的多关系门控图卷积网络（MRG-GCN）。在相同预测键和三个随机种子的重复实验下，MRG-GCN的全局MAE为0.01376 kWh/15 min，较TCN无图基线降低53.4%，较ARIMA降低39.1%；其MAE最低，并在已报告WAPE的模型中取得最低WAPE。</w:t>
      </w:r>
    </w:p>
    <w:p>
      <w:pPr>
        <w:spacing w:before="0" w:after="0" w:line="300" w:lineRule="auto"/>
        <w:ind w:firstLine="480"/>
        <w:jc w:val="both"/>
      </w:pPr>
      <w:r>
        <w:rPr>
          <w:rFonts w:ascii="Times New Roman" w:hAnsi="Times New Roman" w:cs="Times New Roman" w:eastAsia="宋体"/>
          <w:b w:val="0"/>
          <w:sz w:val="24"/>
        </w:rPr>
        <w:t>三层机制诊断协议依次考察关系分配、结构知识吸收和误差样本构成。L1中，在三种子均值口径下，所检七种关系级门控替换的MAE均高于学习值基线，支持模型对学习关系分配存在功能依赖。L2中，在给定学生架构、蒸馏目标和权重范围内，纯时序学生未弥合与图模型之间的误差差距。L3中，标签事件窗口仅占测试预测键的1.43%，其误差明显高于稳定窗口；冻结规则触发率仅为0.43%，反映了预测时刻可见信息的限制。论文还探索方向性候选结构、规则路由分层共形区间和分层参数敏感度；这些结果不表述为已经可部署的事件预测方案。</w:t>
      </w:r>
    </w:p>
    <w:p>
      <w:pPr>
        <w:spacing w:before="0" w:after="0" w:line="300" w:lineRule="auto"/>
        <w:ind w:firstLine="480"/>
        <w:jc w:val="both"/>
      </w:pPr>
      <w:r>
        <w:rPr>
          <w:rFonts w:ascii="Times New Roman" w:hAnsi="Times New Roman" w:cs="Times New Roman" w:eastAsia="宋体"/>
          <w:b w:val="0"/>
          <w:sz w:val="24"/>
        </w:rPr>
        <w:t>本文在站内节点尺度构建语义可区分的多关系图预测模型，并通过协议化诊断分析模型内部结构、能力边界与误差样本构成。研究结论仅适用于由会话记录重构的节点代理负荷口径，相关实现和评价协议可供同类场站研究复核。</w:t>
      </w:r>
    </w:p>
    <w:p>
      <w:pPr>
        <w:spacing w:before="0" w:after="0" w:line="300" w:lineRule="auto"/>
        <w:ind w:firstLine="0"/>
        <w:jc w:val="both"/>
      </w:pPr>
      <w:r>
        <w:rPr>
          <w:rFonts w:ascii="Times New Roman" w:hAnsi="Times New Roman" w:cs="Times New Roman" w:eastAsia="宋体"/>
          <w:b/>
          <w:sz w:val="24"/>
        </w:rPr>
        <w:t>关键词：充电节点短期负荷预测；多关系图卷积；机制诊断；事件窗口；共形预测区间</w:t>
      </w:r>
    </w:p>
    <w:p>
      <w:pPr>
        <w:sectPr>
          <w:headerReference w:type="default" r:id="rId45"/>
          <w:headerReference w:type="even" r:id="rId46"/>
          <w:footerReference w:type="default" r:id="rId47"/>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pStyle w:val="3"/>
        <w:spacing w:before="0" w:after="0" w:line="240" w:lineRule="auto"/>
        <w:ind w:firstLine="0"/>
        <w:jc w:val="center"/>
      </w:pPr>
      <w:r>
        <w:rPr>
          <w:rFonts w:ascii="Times New Roman" w:hAnsi="Times New Roman" w:cs="Times New Roman" w:eastAsia="Times New Roman"/>
          <w:b/>
          <w:sz w:val="30"/>
        </w:rPr>
        <w:t>基于站内多关系图与机制诊断的充电节点短期负荷预测研究</w:t>
      </w:r>
    </w:p>
    <w:p>
      <w:pPr>
        <w:pStyle w:val="3"/>
        <w:spacing w:before="360" w:after="360" w:line="240" w:lineRule="auto"/>
        <w:ind w:firstLine="0"/>
        <w:jc w:val="center"/>
      </w:pPr>
      <w:r>
        <w:rPr>
          <w:rFonts w:ascii="Times New Roman" w:hAnsi="Times New Roman" w:cs="Times New Roman" w:eastAsia="Times New Roman"/>
          <w:b/>
          <w:sz w:val="30"/>
        </w:rPr>
        <w:t>Abstract</w:t>
      </w:r>
    </w:p>
    <w:p>
      <w:pPr>
        <w:spacing w:before="0" w:after="0" w:line="300" w:lineRule="auto"/>
        <w:ind w:firstLine="480"/>
        <w:jc w:val="both"/>
      </w:pPr>
      <w:r>
        <w:rPr>
          <w:rFonts w:ascii="Times New Roman" w:hAnsi="Times New Roman" w:cs="Times New Roman" w:eastAsia="Times New Roman"/>
          <w:b w:val="0"/>
          <w:sz w:val="24"/>
        </w:rPr>
        <w:t>With the continued expansion of electric-vehicle charging infrastructure, heterogeneous loads and short-term fluctuations across charging nodes within a station create challenges for capacity allocation, load balancing, and operational management. Existing studies mainly focus on aggregated loads at regional, station-cluster, or station levels, while the use of multiple statistical relationships among within-station nodes and the sources of forecasting gains remain insufficiently examined. This thesis investigates short-term load forecasting and mechanism diagnosis for charging nodes, using proxy loads reconstructed from public charging-session records.</w:t>
      </w:r>
    </w:p>
    <w:p>
      <w:pPr>
        <w:spacing w:before="0" w:after="0" w:line="300" w:lineRule="auto"/>
        <w:ind w:firstLine="480"/>
        <w:jc w:val="both"/>
      </w:pPr>
      <w:r>
        <w:rPr>
          <w:rFonts w:ascii="Times New Roman" w:hAnsi="Times New Roman" w:cs="Times New Roman" w:eastAsia="Times New Roman"/>
          <w:b w:val="0"/>
          <w:sz w:val="24"/>
        </w:rPr>
        <w:t>First, 31,424 charging sessions are expanded onto a 15-minute grid to construct proxy-load sequences and behavioral features for 10 primary analysis nodes over 118,818 time steps. Target-side event labels are explicitly distinguished from frozen rule triggers observable at forecast time. Second, a relation extraction module is built from load coupling, behavioral co-occurrence, and profile similarity, and a multi-relational gated graph convolutional network (MRG-GCN) is proposed. The model uses a temporal convolutional network as its backbone and combines relation-level and node-level gates across two graph-convolution layers. Under identical forecast keys and three random seeds, MRG-GCN achieves a global MAE of 0.01376 kWh/15 min, reducing MAE by 53.4% relative to the graph-free TCN and by 39.1% relative to ARIMA. It attains the lowest MAE and the lowest WAPE among models for which WAPE is available.</w:t>
      </w:r>
    </w:p>
    <w:p>
      <w:pPr>
        <w:spacing w:before="0" w:after="0" w:line="300" w:lineRule="auto"/>
        <w:ind w:firstLine="480"/>
        <w:jc w:val="both"/>
      </w:pPr>
      <w:r>
        <w:rPr>
          <w:rFonts w:ascii="Times New Roman" w:hAnsi="Times New Roman" w:cs="Times New Roman" w:eastAsia="Times New Roman"/>
          <w:b w:val="0"/>
          <w:sz w:val="24"/>
        </w:rPr>
        <w:t>The thesis further develops a three-layer mechanism diagnosis protocol comprising parameter-intervention attribution, knowledge-distillation validation, and four-cell event error tracing. When averaged across the three random seeds, all seven examined replacements of relation-level gates yield higher MAE than the learned-weight baseline, supporting a functional dependence on learned relation allocation. Under the examined student architecture, distillation target, and weights, a purely temporal student does not close the error gap to the graph model. The four-cell diagnosis shows that labeled event windows account for only 1.43% of test forecast keys but have substantially higher error than stable windows; the frozen rule-trigger rate is only 0.43%, revealing the boundary imposed by forecast-time observable information. Finally, directional candidate structure discovery, rule-routed conformal intervals, and stratified parameter sensitivity are explored as forecasting-support evidence only, rather than as a deployable event-prediction solution.</w:t>
      </w:r>
    </w:p>
    <w:p>
      <w:pPr>
        <w:spacing w:before="0" w:after="0" w:line="300" w:lineRule="auto"/>
        <w:ind w:firstLine="480"/>
        <w:jc w:val="both"/>
      </w:pPr>
      <w:r>
        <w:rPr>
          <w:rFonts w:ascii="Times New Roman" w:hAnsi="Times New Roman" w:cs="Times New Roman" w:eastAsia="Times New Roman"/>
          <w:b w:val="0"/>
          <w:sz w:val="24"/>
        </w:rPr>
        <w:t>The contribution of this thesis is a within-station, distinguishable multi-relational graph forecasting model together with a protocol that connects internal model structure, model-capability boundaries, and the sample composition of error. The conclusions are limited to proxy loads reconstructed from charging-session records and provide a reproducible path for multi-node short-term forecasting and mechanism analysis at charging stations.</w:t>
      </w:r>
    </w:p>
    <w:p>
      <w:pPr>
        <w:spacing w:before="0" w:after="0" w:line="300" w:lineRule="auto"/>
        <w:ind w:firstLine="0"/>
        <w:jc w:val="both"/>
      </w:pPr>
      <w:r>
        <w:rPr>
          <w:rFonts w:ascii="Times New Roman" w:hAnsi="Times New Roman" w:cs="Times New Roman" w:eastAsia="Times New Roman"/>
          <w:b/>
          <w:sz w:val="24"/>
        </w:rPr>
        <w:t>Keywords: short-term charging-node load forecasting; multi-relational graph convolution; mechanism diagnosis; event window; conformal prediction interval</w:t>
      </w:r>
    </w:p>
    <w:p>
      <w:pPr>
        <w:sectPr>
          <w:headerReference w:type="default" r:id="rId48"/>
          <w:headerReference w:type="even" r:id="rId49"/>
          <w:footerReference w:type="default" r:id="rId50"/>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pStyle w:val="3"/>
        <w:spacing w:before="480" w:after="360" w:line="240" w:lineRule="auto"/>
        <w:ind w:firstLine="0"/>
        <w:jc w:val="center"/>
      </w:pPr>
      <w:r>
        <w:rPr>
          <w:rFonts w:ascii="Times New Roman" w:hAnsi="Times New Roman" w:cs="Times New Roman" w:eastAsia="黑体"/>
          <w:b/>
          <w:sz w:val="36"/>
        </w:rPr>
        <w:t>目  录</w:t>
      </w:r>
    </w:p>
    <w:p>
      <w:pPr>
        <w:pStyle w:val="16"/>
        <w:tabs>
          <w:tab w:pos="8311" w:val="right" w:leader="dot"/>
        </w:tabs>
        <w:spacing w:before="0" w:after="0" w:line="240" w:lineRule="auto"/>
        <w:ind w:left="0" w:firstLine="0"/>
        <w:jc w:val="left"/>
      </w:pPr>
      <w:r>
        <w:fldChar w:fldCharType="begin"/>
      </w:r>
      <w:r>
        <w:instrText xml:space="preserve"> TOC \o "1-3" \h \z \u </w:instrText>
      </w:r>
      <w:r>
        <w:fldChar w:fldCharType="separate"/>
      </w:r>
      <w:r>
        <w:rPr>
          <w:rFonts w:ascii="Times New Roman" w:hAnsi="Times New Roman" w:cs="Times New Roman" w:eastAsia="宋体"/>
          <w:b/>
          <w:sz w:val="22"/>
        </w:rPr>
        <w:t>第1章  绪论</w:t>
      </w:r>
      <w:r>
        <w:tab/>
      </w:r>
      <w:r>
        <w:rPr>
          <w:rFonts w:ascii="Times New Roman" w:hAnsi="Times New Roman" w:cs="Times New Roman" w:eastAsia="宋体"/>
          <w:b/>
          <w:sz w:val="22"/>
        </w:rPr>
        <w:t>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1.1 研究背景与意义</w:t>
      </w:r>
      <w:r>
        <w:tab/>
      </w:r>
      <w:r>
        <w:rPr>
          <w:rFonts w:ascii="Times New Roman" w:hAnsi="Times New Roman" w:cs="Times New Roman" w:eastAsia="宋体"/>
          <w:b w:val="0"/>
          <w:sz w:val="21"/>
        </w:rPr>
        <w:t>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1.1.1 电动汽车充电负荷增长与节点级预测需求</w:t>
      </w:r>
      <w:r>
        <w:tab/>
      </w:r>
      <w:r>
        <w:rPr>
          <w:rFonts w:ascii="Times New Roman" w:hAnsi="Times New Roman" w:cs="Times New Roman" w:eastAsia="宋体"/>
          <w:b w:val="0"/>
          <w:sz w:val="20"/>
        </w:rPr>
        <w:t>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1.1.2 离散会话记录与节点代理负荷预测问题</w:t>
      </w:r>
      <w:r>
        <w:tab/>
      </w:r>
      <w:r>
        <w:rPr>
          <w:rFonts w:ascii="Times New Roman" w:hAnsi="Times New Roman" w:cs="Times New Roman" w:eastAsia="宋体"/>
          <w:b w:val="0"/>
          <w:sz w:val="20"/>
        </w:rPr>
        <w:t>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1.1.3 站内节点关系建模与事件窗口预测意义</w:t>
      </w:r>
      <w:r>
        <w:tab/>
      </w:r>
      <w:r>
        <w:rPr>
          <w:rFonts w:ascii="Times New Roman" w:hAnsi="Times New Roman" w:cs="Times New Roman" w:eastAsia="宋体"/>
          <w:b w:val="0"/>
          <w:sz w:val="20"/>
        </w:rPr>
        <w:t>3</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1.2 国内外研究现状</w:t>
      </w:r>
      <w:r>
        <w:tab/>
      </w:r>
      <w:r>
        <w:rPr>
          <w:rFonts w:ascii="Times New Roman" w:hAnsi="Times New Roman" w:cs="Times New Roman" w:eastAsia="宋体"/>
          <w:b w:val="0"/>
          <w:sz w:val="21"/>
        </w:rPr>
        <w:t>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1.2.1 电动汽车充电负荷时间序列预测</w:t>
      </w:r>
      <w:r>
        <w:tab/>
      </w:r>
      <w:r>
        <w:rPr>
          <w:rFonts w:ascii="Times New Roman" w:hAnsi="Times New Roman" w:cs="Times New Roman" w:eastAsia="宋体"/>
          <w:b w:val="0"/>
          <w:sz w:val="20"/>
        </w:rPr>
        <w:t>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1.2.2 多节点负荷与时空图预测</w:t>
      </w:r>
      <w:r>
        <w:tab/>
      </w:r>
      <w:r>
        <w:rPr>
          <w:rFonts w:ascii="Times New Roman" w:hAnsi="Times New Roman" w:cs="Times New Roman" w:eastAsia="宋体"/>
          <w:b w:val="0"/>
          <w:sz w:val="20"/>
        </w:rPr>
        <w:t>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1.2.3 充电行为特征与事件建模</w:t>
      </w:r>
      <w:r>
        <w:tab/>
      </w:r>
      <w:r>
        <w:rPr>
          <w:rFonts w:ascii="Times New Roman" w:hAnsi="Times New Roman" w:cs="Times New Roman" w:eastAsia="宋体"/>
          <w:b w:val="0"/>
          <w:sz w:val="20"/>
        </w:rPr>
        <w:t>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1.2.4 模型可解释性与机制诊断</w:t>
      </w:r>
      <w:r>
        <w:tab/>
      </w:r>
      <w:r>
        <w:rPr>
          <w:rFonts w:ascii="Times New Roman" w:hAnsi="Times New Roman" w:cs="Times New Roman" w:eastAsia="宋体"/>
          <w:b w:val="0"/>
          <w:sz w:val="20"/>
        </w:rPr>
        <w:t>8</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1.3 现有研究不足</w:t>
      </w:r>
      <w:r>
        <w:tab/>
      </w:r>
      <w:r>
        <w:rPr>
          <w:rFonts w:ascii="Times New Roman" w:hAnsi="Times New Roman" w:cs="Times New Roman" w:eastAsia="宋体"/>
          <w:b w:val="0"/>
          <w:sz w:val="21"/>
        </w:rPr>
        <w:t>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1.4 研究目标与主要内容</w:t>
      </w:r>
      <w:r>
        <w:tab/>
      </w:r>
      <w:r>
        <w:rPr>
          <w:rFonts w:ascii="Times New Roman" w:hAnsi="Times New Roman" w:cs="Times New Roman" w:eastAsia="宋体"/>
          <w:b w:val="0"/>
          <w:sz w:val="21"/>
        </w:rPr>
        <w:t>11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1.5 技术路线</w:t>
      </w:r>
      <w:r>
        <w:tab/>
      </w:r>
      <w:r>
        <w:rPr>
          <w:rFonts w:ascii="Times New Roman" w:hAnsi="Times New Roman" w:cs="Times New Roman" w:eastAsia="宋体"/>
          <w:b w:val="0"/>
          <w:sz w:val="21"/>
        </w:rPr>
        <w:t>14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1.6 论文组织结构</w:t>
      </w:r>
      <w:r>
        <w:tab/>
      </w:r>
      <w:r>
        <w:rPr>
          <w:rFonts w:ascii="Times New Roman" w:hAnsi="Times New Roman" w:cs="Times New Roman" w:eastAsia="宋体"/>
          <w:b w:val="0"/>
          <w:sz w:val="21"/>
        </w:rPr>
        <w:t>16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1.7 本章小结</w:t>
      </w:r>
      <w:r>
        <w:tab/>
      </w:r>
      <w:r>
        <w:rPr>
          <w:rFonts w:ascii="Times New Roman" w:hAnsi="Times New Roman" w:cs="Times New Roman" w:eastAsia="宋体"/>
          <w:b w:val="0"/>
          <w:sz w:val="21"/>
        </w:rPr>
        <w:t>18</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第2章  充电行为数据与特征分析</w:t>
      </w:r>
      <w:r>
        <w:tab/>
      </w:r>
      <w:r>
        <w:rPr>
          <w:rFonts w:ascii="Times New Roman" w:hAnsi="Times New Roman" w:cs="Times New Roman" w:eastAsia="宋体"/>
          <w:b/>
          <w:sz w:val="22"/>
        </w:rPr>
        <w:t>19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2.1 数据来源与重构口径</w:t>
      </w:r>
      <w:r>
        <w:tab/>
      </w:r>
      <w:r>
        <w:rPr>
          <w:rFonts w:ascii="Times New Roman" w:hAnsi="Times New Roman" w:cs="Times New Roman" w:eastAsia="宋体"/>
          <w:b w:val="0"/>
          <w:sz w:val="21"/>
        </w:rPr>
        <w:t>19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2.1.1 旧主实验与事件时刻可见协议的任务边界</w:t>
      </w:r>
      <w:r>
        <w:tab/>
      </w:r>
      <w:r>
        <w:rPr>
          <w:rFonts w:ascii="Times New Roman" w:hAnsi="Times New Roman" w:cs="Times New Roman" w:eastAsia="宋体"/>
          <w:b w:val="0"/>
          <w:sz w:val="20"/>
        </w:rPr>
        <w:t>22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2.2 节点可用性筛选与质量门禁</w:t>
      </w:r>
      <w:r>
        <w:tab/>
      </w:r>
      <w:r>
        <w:rPr>
          <w:rFonts w:ascii="Times New Roman" w:hAnsi="Times New Roman" w:cs="Times New Roman" w:eastAsia="宋体"/>
          <w:b w:val="0"/>
          <w:sz w:val="21"/>
        </w:rPr>
        <w:t>24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2.3 节点负荷统计特征</w:t>
      </w:r>
      <w:r>
        <w:tab/>
      </w:r>
      <w:r>
        <w:rPr>
          <w:rFonts w:ascii="Times New Roman" w:hAnsi="Times New Roman" w:cs="Times New Roman" w:eastAsia="宋体"/>
          <w:b w:val="0"/>
          <w:sz w:val="21"/>
        </w:rPr>
        <w:t>26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2.4 事件分数构成与事件窗口统计</w:t>
      </w:r>
      <w:r>
        <w:tab/>
      </w:r>
      <w:r>
        <w:rPr>
          <w:rFonts w:ascii="Times New Roman" w:hAnsi="Times New Roman" w:cs="Times New Roman" w:eastAsia="宋体"/>
          <w:b w:val="0"/>
          <w:sz w:val="21"/>
        </w:rPr>
        <w:t>30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2.5 特征构成与输入结构</w:t>
      </w:r>
      <w:r>
        <w:tab/>
      </w:r>
      <w:r>
        <w:rPr>
          <w:rFonts w:ascii="Times New Roman" w:hAnsi="Times New Roman" w:cs="Times New Roman" w:eastAsia="宋体"/>
          <w:b w:val="0"/>
          <w:sz w:val="21"/>
        </w:rPr>
        <w:t>34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2.6 数据特征对建模的启示</w:t>
      </w:r>
      <w:r>
        <w:tab/>
      </w:r>
      <w:r>
        <w:rPr>
          <w:rFonts w:ascii="Times New Roman" w:hAnsi="Times New Roman" w:cs="Times New Roman" w:eastAsia="宋体"/>
          <w:b w:val="0"/>
          <w:sz w:val="21"/>
        </w:rPr>
        <w:t>37</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2.7 本章小结</w:t>
      </w:r>
      <w:r>
        <w:tab/>
      </w:r>
      <w:r>
        <w:rPr>
          <w:rFonts w:ascii="Times New Roman" w:hAnsi="Times New Roman" w:cs="Times New Roman" w:eastAsia="宋体"/>
          <w:b w:val="0"/>
          <w:sz w:val="21"/>
        </w:rPr>
        <w:t>39</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第3章  基于多关系门控图卷积的节点短期负荷预测</w:t>
      </w:r>
      <w:r>
        <w:tab/>
      </w:r>
      <w:r>
        <w:rPr>
          <w:rFonts w:ascii="Times New Roman" w:hAnsi="Times New Roman" w:cs="Times New Roman" w:eastAsia="宋体"/>
          <w:b/>
          <w:sz w:val="22"/>
        </w:rPr>
        <w:t>40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3.1 引言</w:t>
      </w:r>
      <w:r>
        <w:tab/>
      </w:r>
      <w:r>
        <w:rPr>
          <w:rFonts w:ascii="Times New Roman" w:hAnsi="Times New Roman" w:cs="Times New Roman" w:eastAsia="宋体"/>
          <w:b w:val="0"/>
          <w:sz w:val="21"/>
        </w:rPr>
        <w:t>40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3.2 预测任务形式化定义</w:t>
      </w:r>
      <w:r>
        <w:tab/>
      </w:r>
      <w:r>
        <w:rPr>
          <w:rFonts w:ascii="Times New Roman" w:hAnsi="Times New Roman" w:cs="Times New Roman" w:eastAsia="宋体"/>
          <w:b w:val="0"/>
          <w:sz w:val="21"/>
        </w:rPr>
        <w:t>42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3.3 场景驱动的LRE三关系图构建</w:t>
      </w:r>
      <w:r>
        <w:tab/>
      </w:r>
      <w:r>
        <w:rPr>
          <w:rFonts w:ascii="Times New Roman" w:hAnsi="Times New Roman" w:cs="Times New Roman" w:eastAsia="宋体"/>
          <w:b w:val="0"/>
          <w:sz w:val="21"/>
        </w:rPr>
        <w:t>43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3.3.1 负荷耦合关系图</w:t>
      </w:r>
      <w:r>
        <w:tab/>
      </w:r>
      <w:r>
        <w:rPr>
          <w:rFonts w:ascii="Times New Roman" w:hAnsi="Times New Roman" w:cs="Times New Roman" w:eastAsia="宋体"/>
          <w:b w:val="0"/>
          <w:sz w:val="20"/>
        </w:rPr>
        <w:t>44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3.3.2 行为共现关系图</w:t>
      </w:r>
      <w:r>
        <w:tab/>
      </w:r>
      <w:r>
        <w:rPr>
          <w:rFonts w:ascii="Times New Roman" w:hAnsi="Times New Roman" w:cs="Times New Roman" w:eastAsia="宋体"/>
          <w:b w:val="0"/>
          <w:sz w:val="20"/>
        </w:rPr>
        <w:t>44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3.3.3 轮廓相似关系图</w:t>
      </w:r>
      <w:r>
        <w:tab/>
      </w:r>
      <w:r>
        <w:rPr>
          <w:rFonts w:ascii="Times New Roman" w:hAnsi="Times New Roman" w:cs="Times New Roman" w:eastAsia="宋体"/>
          <w:b w:val="0"/>
          <w:sz w:val="20"/>
        </w:rPr>
        <w:t>45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3.3.4 top-k稀疏化与对称归一化</w:t>
      </w:r>
      <w:r>
        <w:tab/>
      </w:r>
      <w:r>
        <w:rPr>
          <w:rFonts w:ascii="Times New Roman" w:hAnsi="Times New Roman" w:cs="Times New Roman" w:eastAsia="宋体"/>
          <w:b w:val="0"/>
          <w:sz w:val="20"/>
        </w:rPr>
        <w:t>45</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3.4 时间基线：TCN</w:t>
      </w:r>
      <w:r>
        <w:tab/>
      </w:r>
      <w:r>
        <w:rPr>
          <w:rFonts w:ascii="Times New Roman" w:hAnsi="Times New Roman" w:cs="Times New Roman" w:eastAsia="宋体"/>
          <w:b w:val="0"/>
          <w:sz w:val="21"/>
        </w:rPr>
        <w:t>46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3.5 双层多关系门控图卷积网络（MRG-GCN）</w:t>
      </w:r>
      <w:r>
        <w:tab/>
      </w:r>
      <w:r>
        <w:rPr>
          <w:rFonts w:ascii="Times New Roman" w:hAnsi="Times New Roman" w:cs="Times New Roman" w:eastAsia="宋体"/>
          <w:b w:val="0"/>
          <w:sz w:val="21"/>
        </w:rPr>
        <w:t>47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3.5.1 总体架构</w:t>
      </w:r>
      <w:r>
        <w:tab/>
      </w:r>
      <w:r>
        <w:rPr>
          <w:rFonts w:ascii="Times New Roman" w:hAnsi="Times New Roman" w:cs="Times New Roman" w:eastAsia="宋体"/>
          <w:b w:val="0"/>
          <w:sz w:val="20"/>
        </w:rPr>
        <w:t>47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3.5.2 单关系消息传递</w:t>
      </w:r>
      <w:r>
        <w:tab/>
      </w:r>
      <w:r>
        <w:rPr>
          <w:rFonts w:ascii="Times New Roman" w:hAnsi="Times New Roman" w:cs="Times New Roman" w:eastAsia="宋体"/>
          <w:b w:val="0"/>
          <w:sz w:val="20"/>
        </w:rPr>
        <w:t>47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3.5.3 关系级门控</w:t>
      </w:r>
      <w:r>
        <w:tab/>
      </w:r>
      <w:r>
        <w:rPr>
          <w:rFonts w:ascii="Times New Roman" w:hAnsi="Times New Roman" w:cs="Times New Roman" w:eastAsia="宋体"/>
          <w:b w:val="0"/>
          <w:sz w:val="20"/>
        </w:rPr>
        <w:t>48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3.5.4 节点级门控</w:t>
      </w:r>
      <w:r>
        <w:tab/>
      </w:r>
      <w:r>
        <w:rPr>
          <w:rFonts w:ascii="Times New Roman" w:hAnsi="Times New Roman" w:cs="Times New Roman" w:eastAsia="宋体"/>
          <w:b w:val="0"/>
          <w:sz w:val="20"/>
        </w:rPr>
        <w:t>48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3.5.5 关系随机失活</w:t>
      </w:r>
      <w:r>
        <w:tab/>
      </w:r>
      <w:r>
        <w:rPr>
          <w:rFonts w:ascii="Times New Roman" w:hAnsi="Times New Roman" w:cs="Times New Roman" w:eastAsia="宋体"/>
          <w:b w:val="0"/>
          <w:sz w:val="20"/>
        </w:rPr>
        <w:t>48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3.5.6 逐层关系选择与跨层融合</w:t>
      </w:r>
      <w:r>
        <w:tab/>
      </w:r>
      <w:r>
        <w:rPr>
          <w:rFonts w:ascii="Times New Roman" w:hAnsi="Times New Roman" w:cs="Times New Roman" w:eastAsia="宋体"/>
          <w:b w:val="0"/>
          <w:sz w:val="20"/>
        </w:rPr>
        <w:t>49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3.5.7 目标函数与训练策略</w:t>
      </w:r>
      <w:r>
        <w:tab/>
      </w:r>
      <w:r>
        <w:rPr>
          <w:rFonts w:ascii="Times New Roman" w:hAnsi="Times New Roman" w:cs="Times New Roman" w:eastAsia="宋体"/>
          <w:b w:val="0"/>
          <w:sz w:val="20"/>
        </w:rPr>
        <w:t>49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3.5.8 与现有方法的区别</w:t>
      </w:r>
      <w:r>
        <w:tab/>
      </w:r>
      <w:r>
        <w:rPr>
          <w:rFonts w:ascii="Times New Roman" w:hAnsi="Times New Roman" w:cs="Times New Roman" w:eastAsia="宋体"/>
          <w:b w:val="0"/>
          <w:sz w:val="20"/>
        </w:rPr>
        <w:t>49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3.5.9 节点门控与残差更新的分工</w:t>
      </w:r>
      <w:r>
        <w:tab/>
      </w:r>
      <w:r>
        <w:rPr>
          <w:rFonts w:ascii="Times New Roman" w:hAnsi="Times New Roman" w:cs="Times New Roman" w:eastAsia="宋体"/>
          <w:b w:val="0"/>
          <w:sz w:val="20"/>
        </w:rPr>
        <w:t>50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3.5.10 跨层表示的使用原则</w:t>
      </w:r>
      <w:r>
        <w:tab/>
      </w:r>
      <w:r>
        <w:rPr>
          <w:rFonts w:ascii="Times New Roman" w:hAnsi="Times New Roman" w:cs="Times New Roman" w:eastAsia="宋体"/>
          <w:b w:val="0"/>
          <w:sz w:val="20"/>
        </w:rPr>
        <w:t>52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3.6 对比实验</w:t>
      </w:r>
      <w:r>
        <w:tab/>
      </w:r>
      <w:r>
        <w:rPr>
          <w:rFonts w:ascii="Times New Roman" w:hAnsi="Times New Roman" w:cs="Times New Roman" w:eastAsia="宋体"/>
          <w:b w:val="0"/>
          <w:sz w:val="21"/>
        </w:rPr>
        <w:t>55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3.6.1 实验协议</w:t>
      </w:r>
      <w:r>
        <w:tab/>
      </w:r>
      <w:r>
        <w:rPr>
          <w:rFonts w:ascii="Times New Roman" w:hAnsi="Times New Roman" w:cs="Times New Roman" w:eastAsia="宋体"/>
          <w:b w:val="0"/>
          <w:sz w:val="20"/>
        </w:rPr>
        <w:t>55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3.6.2 全局指标对比</w:t>
      </w:r>
      <w:r>
        <w:tab/>
      </w:r>
      <w:r>
        <w:rPr>
          <w:rFonts w:ascii="Times New Roman" w:hAnsi="Times New Roman" w:cs="Times New Roman" w:eastAsia="宋体"/>
          <w:b w:val="0"/>
          <w:sz w:val="20"/>
        </w:rPr>
        <w:t>57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3.6.3 分层指标对比</w:t>
      </w:r>
      <w:r>
        <w:tab/>
      </w:r>
      <w:r>
        <w:rPr>
          <w:rFonts w:ascii="Times New Roman" w:hAnsi="Times New Roman" w:cs="Times New Roman" w:eastAsia="宋体"/>
          <w:b w:val="0"/>
          <w:sz w:val="20"/>
        </w:rPr>
        <w:t>62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3.6.4 节点与预测步长分析</w:t>
      </w:r>
      <w:r>
        <w:tab/>
      </w:r>
      <w:r>
        <w:rPr>
          <w:rFonts w:ascii="Times New Roman" w:hAnsi="Times New Roman" w:cs="Times New Roman" w:eastAsia="宋体"/>
          <w:b w:val="0"/>
          <w:sz w:val="20"/>
        </w:rPr>
        <w:t>63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3.6.5 模型效率分析</w:t>
      </w:r>
      <w:r>
        <w:tab/>
      </w:r>
      <w:r>
        <w:rPr>
          <w:rFonts w:ascii="Times New Roman" w:hAnsi="Times New Roman" w:cs="Times New Roman" w:eastAsia="宋体"/>
          <w:b w:val="0"/>
          <w:sz w:val="20"/>
        </w:rPr>
        <w:t>65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3.6.6 事件机制消融与归因</w:t>
      </w:r>
      <w:r>
        <w:tab/>
      </w:r>
      <w:r>
        <w:rPr>
          <w:rFonts w:ascii="Times New Roman" w:hAnsi="Times New Roman" w:cs="Times New Roman" w:eastAsia="宋体"/>
          <w:b w:val="0"/>
          <w:sz w:val="20"/>
        </w:rPr>
        <w:t>68</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3.7 消融实验</w:t>
      </w:r>
      <w:r>
        <w:tab/>
      </w:r>
      <w:r>
        <w:rPr>
          <w:rFonts w:ascii="Times New Roman" w:hAnsi="Times New Roman" w:cs="Times New Roman" w:eastAsia="宋体"/>
          <w:b w:val="0"/>
          <w:sz w:val="21"/>
        </w:rPr>
        <w:t>68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3.7.1 组合配置下的结构消融证据</w:t>
      </w:r>
      <w:r>
        <w:tab/>
      </w:r>
      <w:r>
        <w:rPr>
          <w:rFonts w:ascii="Times New Roman" w:hAnsi="Times New Roman" w:cs="Times New Roman" w:eastAsia="宋体"/>
          <w:b w:val="0"/>
          <w:sz w:val="20"/>
        </w:rPr>
        <w:t>68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3.7.2 门控参数干预</w:t>
      </w:r>
      <w:r>
        <w:tab/>
      </w:r>
      <w:r>
        <w:rPr>
          <w:rFonts w:ascii="Times New Roman" w:hAnsi="Times New Roman" w:cs="Times New Roman" w:eastAsia="宋体"/>
          <w:b w:val="0"/>
          <w:sz w:val="20"/>
        </w:rPr>
        <w:t>69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3.7.3 四格诊断</w:t>
      </w:r>
      <w:r>
        <w:tab/>
      </w:r>
      <w:r>
        <w:rPr>
          <w:rFonts w:ascii="Times New Roman" w:hAnsi="Times New Roman" w:cs="Times New Roman" w:eastAsia="宋体"/>
          <w:b w:val="0"/>
          <w:sz w:val="20"/>
        </w:rPr>
        <w:t>70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3.7.4 关系子集与敏感性</w:t>
      </w:r>
      <w:r>
        <w:tab/>
      </w:r>
      <w:r>
        <w:rPr>
          <w:rFonts w:ascii="Times New Roman" w:hAnsi="Times New Roman" w:cs="Times New Roman" w:eastAsia="宋体"/>
          <w:b w:val="0"/>
          <w:sz w:val="20"/>
        </w:rPr>
        <w:t>71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3.7.5 严格可见输入协议下的压力测试</w:t>
      </w:r>
      <w:r>
        <w:tab/>
      </w:r>
      <w:r>
        <w:rPr>
          <w:rFonts w:ascii="Times New Roman" w:hAnsi="Times New Roman" w:cs="Times New Roman" w:eastAsia="宋体"/>
          <w:b w:val="0"/>
          <w:sz w:val="20"/>
        </w:rPr>
        <w:t>71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3.8 方法设计及证据边界</w:t>
      </w:r>
      <w:r>
        <w:tab/>
      </w:r>
      <w:r>
        <w:rPr>
          <w:rFonts w:ascii="Times New Roman" w:hAnsi="Times New Roman" w:cs="Times New Roman" w:eastAsia="宋体"/>
          <w:b w:val="0"/>
          <w:sz w:val="21"/>
        </w:rPr>
        <w:t>74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3.8.1 新旧输入协议的对应问题</w:t>
      </w:r>
      <w:r>
        <w:tab/>
      </w:r>
      <w:r>
        <w:rPr>
          <w:rFonts w:ascii="Times New Roman" w:hAnsi="Times New Roman" w:cs="Times New Roman" w:eastAsia="宋体"/>
          <w:b w:val="0"/>
          <w:sz w:val="20"/>
        </w:rPr>
        <w:t>75</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3.9 本章小结</w:t>
      </w:r>
      <w:r>
        <w:tab/>
      </w:r>
      <w:r>
        <w:rPr>
          <w:rFonts w:ascii="Times New Roman" w:hAnsi="Times New Roman" w:cs="Times New Roman" w:eastAsia="宋体"/>
          <w:b w:val="0"/>
          <w:sz w:val="21"/>
        </w:rPr>
        <w:t>78</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第4章  三层机制诊断协议（MDP）与模型可解释性分析</w:t>
      </w:r>
      <w:r>
        <w:tab/>
      </w:r>
      <w:r>
        <w:rPr>
          <w:rFonts w:ascii="Times New Roman" w:hAnsi="Times New Roman" w:cs="Times New Roman" w:eastAsia="宋体"/>
          <w:b/>
          <w:sz w:val="22"/>
        </w:rPr>
        <w:t>81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4.1 引言：MDP协议的定义与设计原则</w:t>
      </w:r>
      <w:r>
        <w:tab/>
      </w:r>
      <w:r>
        <w:rPr>
          <w:rFonts w:ascii="Times New Roman" w:hAnsi="Times New Roman" w:cs="Times New Roman" w:eastAsia="宋体"/>
          <w:b w:val="0"/>
          <w:sz w:val="21"/>
        </w:rPr>
        <w:t>80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4.2 L1干预归因层（IA）：关系分配的功能依赖</w:t>
      </w:r>
      <w:r>
        <w:tab/>
      </w:r>
      <w:r>
        <w:rPr>
          <w:rFonts w:ascii="Times New Roman" w:hAnsi="Times New Roman" w:cs="Times New Roman" w:eastAsia="宋体"/>
          <w:b w:val="0"/>
          <w:sz w:val="21"/>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4.2.1 观察操作</w:t>
      </w:r>
      <w:r>
        <w:tab/>
      </w:r>
      <w:r>
        <w:rPr>
          <w:rFonts w:ascii="Times New Roman" w:hAnsi="Times New Roman" w:cs="Times New Roman" w:eastAsia="宋体"/>
          <w:b w:val="0"/>
          <w:sz w:val="20"/>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4.2.2 干预操作</w:t>
      </w:r>
      <w:r>
        <w:tab/>
      </w:r>
      <w:r>
        <w:rPr>
          <w:rFonts w:ascii="Times New Roman" w:hAnsi="Times New Roman" w:cs="Times New Roman" w:eastAsia="宋体"/>
          <w:b w:val="0"/>
          <w:sz w:val="20"/>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4.2.3 观察证据</w:t>
      </w:r>
      <w:r>
        <w:tab/>
      </w:r>
      <w:r>
        <w:rPr>
          <w:rFonts w:ascii="Times New Roman" w:hAnsi="Times New Roman" w:cs="Times New Roman" w:eastAsia="宋体"/>
          <w:b w:val="0"/>
          <w:sz w:val="20"/>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4.2.4 干预证据</w:t>
      </w:r>
      <w:r>
        <w:tab/>
      </w:r>
      <w:r>
        <w:rPr>
          <w:rFonts w:ascii="Times New Roman" w:hAnsi="Times New Roman" w:cs="Times New Roman" w:eastAsia="宋体"/>
          <w:b w:val="0"/>
          <w:sz w:val="20"/>
        </w:rPr>
        <w:t>83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4.2.5 L1判定结论</w:t>
      </w:r>
      <w:r>
        <w:tab/>
      </w:r>
      <w:r>
        <w:rPr>
          <w:rFonts w:ascii="Times New Roman" w:hAnsi="Times New Roman" w:cs="Times New Roman" w:eastAsia="宋体"/>
          <w:b w:val="0"/>
          <w:sz w:val="20"/>
        </w:rPr>
        <w:t>84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4.3 L2蒸馏验证层（DV）：结构信息的可吸收性</w:t>
      </w:r>
      <w:r>
        <w:tab/>
      </w:r>
      <w:r>
        <w:rPr>
          <w:rFonts w:ascii="Times New Roman" w:hAnsi="Times New Roman" w:cs="Times New Roman" w:eastAsia="宋体"/>
          <w:b w:val="0"/>
          <w:sz w:val="21"/>
        </w:rPr>
        <w:t>85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4.3.1 协议操作</w:t>
      </w:r>
      <w:r>
        <w:tab/>
      </w:r>
      <w:r>
        <w:rPr>
          <w:rFonts w:ascii="Times New Roman" w:hAnsi="Times New Roman" w:cs="Times New Roman" w:eastAsia="宋体"/>
          <w:b w:val="0"/>
          <w:sz w:val="20"/>
        </w:rPr>
        <w:t>85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4.3.2 诊断实验</w:t>
      </w:r>
      <w:r>
        <w:tab/>
      </w:r>
      <w:r>
        <w:rPr>
          <w:rFonts w:ascii="Times New Roman" w:hAnsi="Times New Roman" w:cs="Times New Roman" w:eastAsia="宋体"/>
          <w:b w:val="0"/>
          <w:sz w:val="20"/>
        </w:rPr>
        <w:t>85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4.3.3 L2判定结论</w:t>
      </w:r>
      <w:r>
        <w:tab/>
      </w:r>
      <w:r>
        <w:rPr>
          <w:rFonts w:ascii="Times New Roman" w:hAnsi="Times New Roman" w:cs="Times New Roman" w:eastAsia="宋体"/>
          <w:b w:val="0"/>
          <w:sz w:val="20"/>
        </w:rPr>
        <w:t>86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4.4 L3四格溯源层（FET）：全局误差构成</w:t>
      </w:r>
      <w:r>
        <w:tab/>
      </w:r>
      <w:r>
        <w:rPr>
          <w:rFonts w:ascii="Times New Roman" w:hAnsi="Times New Roman" w:cs="Times New Roman" w:eastAsia="宋体"/>
          <w:b w:val="0"/>
          <w:sz w:val="21"/>
        </w:rPr>
        <w:t>86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4.4.1 协议操作</w:t>
      </w:r>
      <w:r>
        <w:tab/>
      </w:r>
      <w:r>
        <w:rPr>
          <w:rFonts w:ascii="Times New Roman" w:hAnsi="Times New Roman" w:cs="Times New Roman" w:eastAsia="宋体"/>
          <w:b w:val="0"/>
          <w:sz w:val="20"/>
        </w:rPr>
        <w:t>86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4.4.2 诊断实验</w:t>
      </w:r>
      <w:r>
        <w:tab/>
      </w:r>
      <w:r>
        <w:rPr>
          <w:rFonts w:ascii="Times New Roman" w:hAnsi="Times New Roman" w:cs="Times New Roman" w:eastAsia="宋体"/>
          <w:b w:val="0"/>
          <w:sz w:val="20"/>
        </w:rPr>
        <w:t>87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4.4.3 还原校验</w:t>
      </w:r>
      <w:r>
        <w:tab/>
      </w:r>
      <w:r>
        <w:rPr>
          <w:rFonts w:ascii="Times New Roman" w:hAnsi="Times New Roman" w:cs="Times New Roman" w:eastAsia="宋体"/>
          <w:b w:val="0"/>
          <w:sz w:val="20"/>
        </w:rPr>
        <w:t>89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4.4.4 L3判定结论</w:t>
      </w:r>
      <w:r>
        <w:tab/>
      </w:r>
      <w:r>
        <w:rPr>
          <w:rFonts w:ascii="Times New Roman" w:hAnsi="Times New Roman" w:cs="Times New Roman" w:eastAsia="宋体"/>
          <w:b w:val="0"/>
          <w:sz w:val="20"/>
        </w:rPr>
        <w:t>89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4.5 协议总结：MDP机制画像与可复用性</w:t>
      </w:r>
      <w:r>
        <w:tab/>
      </w:r>
      <w:r>
        <w:rPr>
          <w:rFonts w:ascii="Times New Roman" w:hAnsi="Times New Roman" w:cs="Times New Roman" w:eastAsia="宋体"/>
          <w:b w:val="0"/>
          <w:sz w:val="21"/>
        </w:rPr>
        <w:t>90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4.6 适用范围与外部验证要求</w:t>
      </w:r>
      <w:r>
        <w:tab/>
      </w:r>
      <w:r>
        <w:rPr>
          <w:rFonts w:ascii="Times New Roman" w:hAnsi="Times New Roman" w:cs="Times New Roman" w:eastAsia="宋体"/>
          <w:b w:val="0"/>
          <w:sz w:val="21"/>
        </w:rPr>
        <w:t>91</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第5章  模型结构分析与预测支持探索</w:t>
      </w:r>
      <w:r>
        <w:tab/>
      </w:r>
      <w:r>
        <w:rPr>
          <w:rFonts w:ascii="Times New Roman" w:hAnsi="Times New Roman" w:cs="Times New Roman" w:eastAsia="宋体"/>
          <w:b/>
          <w:sz w:val="22"/>
        </w:rPr>
        <w:t>92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5.1 引言</w:t>
      </w:r>
      <w:r>
        <w:tab/>
      </w:r>
      <w:r>
        <w:rPr>
          <w:rFonts w:ascii="Times New Roman" w:hAnsi="Times New Roman" w:cs="Times New Roman" w:eastAsia="宋体"/>
          <w:b w:val="0"/>
          <w:sz w:val="21"/>
        </w:rPr>
        <w:t>92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5.2 从统计相关到有向信息流：关系图方向性分析</w:t>
      </w:r>
      <w:r>
        <w:tab/>
      </w:r>
      <w:r>
        <w:rPr>
          <w:rFonts w:ascii="Times New Roman" w:hAnsi="Times New Roman" w:cs="Times New Roman" w:eastAsia="宋体"/>
          <w:b w:val="0"/>
          <w:sz w:val="21"/>
        </w:rPr>
        <w:t>92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5.2.1 问题与动机</w:t>
      </w:r>
      <w:r>
        <w:tab/>
      </w:r>
      <w:r>
        <w:rPr>
          <w:rFonts w:ascii="Times New Roman" w:hAnsi="Times New Roman" w:cs="Times New Roman" w:eastAsia="宋体"/>
          <w:b w:val="0"/>
          <w:sz w:val="20"/>
        </w:rPr>
        <w:t>93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5.2.2 传递熵方向性检验</w:t>
      </w:r>
      <w:r>
        <w:tab/>
      </w:r>
      <w:r>
        <w:rPr>
          <w:rFonts w:ascii="Times New Roman" w:hAnsi="Times New Roman" w:cs="Times New Roman" w:eastAsia="宋体"/>
          <w:b w:val="0"/>
          <w:sz w:val="20"/>
        </w:rPr>
        <w:t>93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5.2.3 传递熵存在性与方向不对称证据</w:t>
      </w:r>
      <w:r>
        <w:tab/>
      </w:r>
      <w:r>
        <w:rPr>
          <w:rFonts w:ascii="Times New Roman" w:hAnsi="Times New Roman" w:cs="Times New Roman" w:eastAsia="宋体"/>
          <w:b w:val="0"/>
          <w:sz w:val="20"/>
        </w:rPr>
        <w:t>94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5.2.4 有向候选边与统计关系图的互补性</w:t>
      </w:r>
      <w:r>
        <w:tab/>
      </w:r>
      <w:r>
        <w:rPr>
          <w:rFonts w:ascii="Times New Roman" w:hAnsi="Times New Roman" w:cs="Times New Roman" w:eastAsia="宋体"/>
          <w:b w:val="0"/>
          <w:sz w:val="20"/>
        </w:rPr>
        <w:t>96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5.2.5 PCMCI+条件独立核验与结构发现定位</w:t>
      </w:r>
      <w:r>
        <w:tab/>
      </w:r>
      <w:r>
        <w:rPr>
          <w:rFonts w:ascii="Times New Roman" w:hAnsi="Times New Roman" w:cs="Times New Roman" w:eastAsia="宋体"/>
          <w:b w:val="0"/>
          <w:sz w:val="20"/>
        </w:rPr>
        <w:t>97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5.2.6 方向性证据的解释边界与复核路径</w:t>
      </w:r>
      <w:r>
        <w:tab/>
      </w:r>
      <w:r>
        <w:rPr>
          <w:rFonts w:ascii="Times New Roman" w:hAnsi="Times New Roman" w:cs="Times New Roman" w:eastAsia="宋体"/>
          <w:b w:val="0"/>
          <w:sz w:val="20"/>
        </w:rPr>
        <w:t>99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5.3 事件感知的区间预测：分层共形预测</w:t>
      </w:r>
      <w:r>
        <w:tab/>
      </w:r>
      <w:r>
        <w:rPr>
          <w:rFonts w:ascii="Times New Roman" w:hAnsi="Times New Roman" w:cs="Times New Roman" w:eastAsia="宋体"/>
          <w:b w:val="0"/>
          <w:sz w:val="21"/>
        </w:rPr>
        <w:t>102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5.3.1 问题与动机</w:t>
      </w:r>
      <w:r>
        <w:tab/>
      </w:r>
      <w:r>
        <w:rPr>
          <w:rFonts w:ascii="Times New Roman" w:hAnsi="Times New Roman" w:cs="Times New Roman" w:eastAsia="宋体"/>
          <w:b w:val="0"/>
          <w:sz w:val="20"/>
        </w:rPr>
        <w:t>102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5.3.2 分层共形方法</w:t>
      </w:r>
      <w:r>
        <w:tab/>
      </w:r>
      <w:r>
        <w:rPr>
          <w:rFonts w:ascii="Times New Roman" w:hAnsi="Times New Roman" w:cs="Times New Roman" w:eastAsia="宋体"/>
          <w:b w:val="0"/>
          <w:sz w:val="20"/>
        </w:rPr>
        <w:t>102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5.3.3 覆盖率与区间宽度结果</w:t>
      </w:r>
      <w:r>
        <w:tab/>
      </w:r>
      <w:r>
        <w:rPr>
          <w:rFonts w:ascii="Times New Roman" w:hAnsi="Times New Roman" w:cs="Times New Roman" w:eastAsia="宋体"/>
          <w:b w:val="0"/>
          <w:sz w:val="20"/>
        </w:rPr>
        <w:t>103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5.3.4 分布漂移与覆盖保证边界</w:t>
      </w:r>
      <w:r>
        <w:tab/>
      </w:r>
      <w:r>
        <w:rPr>
          <w:rFonts w:ascii="Times New Roman" w:hAnsi="Times New Roman" w:cs="Times New Roman" w:eastAsia="宋体"/>
          <w:b w:val="0"/>
          <w:sz w:val="20"/>
        </w:rPr>
        <w:t>106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5.3.5 覆盖失败的可复核诊断框架</w:t>
      </w:r>
      <w:r>
        <w:tab/>
      </w:r>
      <w:r>
        <w:rPr>
          <w:rFonts w:ascii="Times New Roman" w:hAnsi="Times New Roman" w:cs="Times New Roman" w:eastAsia="宋体"/>
          <w:b w:val="0"/>
          <w:sz w:val="20"/>
        </w:rPr>
        <w:t>107</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5.4 门控分配的分层参数干预敏感度</w:t>
      </w:r>
      <w:r>
        <w:tab/>
      </w:r>
      <w:r>
        <w:rPr>
          <w:rFonts w:ascii="Times New Roman" w:hAnsi="Times New Roman" w:cs="Times New Roman" w:eastAsia="宋体"/>
          <w:b w:val="0"/>
          <w:sz w:val="21"/>
        </w:rPr>
        <w:t>110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5.4.1 问题与动机</w:t>
      </w:r>
      <w:r>
        <w:tab/>
      </w:r>
      <w:r>
        <w:rPr>
          <w:rFonts w:ascii="Times New Roman" w:hAnsi="Times New Roman" w:cs="Times New Roman" w:eastAsia="宋体"/>
          <w:b w:val="0"/>
          <w:sz w:val="20"/>
        </w:rPr>
        <w:t>110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5.4.2 分层参数干预方法</w:t>
      </w:r>
      <w:r>
        <w:tab/>
      </w:r>
      <w:r>
        <w:rPr>
          <w:rFonts w:ascii="Times New Roman" w:hAnsi="Times New Roman" w:cs="Times New Roman" w:eastAsia="宋体"/>
          <w:b w:val="0"/>
          <w:sz w:val="20"/>
        </w:rPr>
        <w:t>110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5.4.3 分层敏感度结果</w:t>
      </w:r>
      <w:r>
        <w:tab/>
      </w:r>
      <w:r>
        <w:rPr>
          <w:rFonts w:ascii="Times New Roman" w:hAnsi="Times New Roman" w:cs="Times New Roman" w:eastAsia="宋体"/>
          <w:b w:val="0"/>
          <w:sz w:val="20"/>
        </w:rPr>
        <w:t>111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5.4.4 分层参数干预结论</w:t>
      </w:r>
      <w:r>
        <w:tab/>
      </w:r>
      <w:r>
        <w:rPr>
          <w:rFonts w:ascii="Times New Roman" w:hAnsi="Times New Roman" w:cs="Times New Roman" w:eastAsia="宋体"/>
          <w:b w:val="0"/>
          <w:sz w:val="20"/>
        </w:rPr>
        <w:t>112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5.4.5 参数敏感度到工程含义的谨慎映射</w:t>
      </w:r>
      <w:r>
        <w:tab/>
      </w:r>
      <w:r>
        <w:rPr>
          <w:rFonts w:ascii="Times New Roman" w:hAnsi="Times New Roman" w:cs="Times New Roman" w:eastAsia="宋体"/>
          <w:b w:val="0"/>
          <w:sz w:val="20"/>
        </w:rPr>
        <w:t>113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5.4.6 证据层级与复现优先级</w:t>
      </w:r>
      <w:r>
        <w:tab/>
      </w:r>
      <w:r>
        <w:rPr>
          <w:rFonts w:ascii="Times New Roman" w:hAnsi="Times New Roman" w:cs="Times New Roman" w:eastAsia="宋体"/>
          <w:b w:val="0"/>
          <w:sz w:val="20"/>
        </w:rPr>
        <w:t>115</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5.5 本章小结</w:t>
      </w:r>
      <w:r>
        <w:tab/>
      </w:r>
      <w:r>
        <w:rPr>
          <w:rFonts w:ascii="Times New Roman" w:hAnsi="Times New Roman" w:cs="Times New Roman" w:eastAsia="宋体"/>
          <w:b w:val="0"/>
          <w:sz w:val="21"/>
        </w:rPr>
        <w:t>117</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结  论</w:t>
      </w:r>
      <w:r>
        <w:tab/>
      </w:r>
      <w:r>
        <w:rPr>
          <w:rFonts w:ascii="Times New Roman" w:hAnsi="Times New Roman" w:cs="Times New Roman" w:eastAsia="宋体"/>
          <w:b/>
          <w:sz w:val="22"/>
        </w:rPr>
        <w:t>121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研究工作总结</w:t>
      </w:r>
      <w:r>
        <w:tab/>
      </w:r>
      <w:r>
        <w:rPr>
          <w:rFonts w:ascii="Times New Roman" w:hAnsi="Times New Roman" w:cs="Times New Roman" w:eastAsia="宋体"/>
          <w:b w:val="0"/>
          <w:sz w:val="21"/>
        </w:rPr>
        <w:t>121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主要研究结论</w:t>
      </w:r>
      <w:r>
        <w:tab/>
      </w:r>
      <w:r>
        <w:rPr>
          <w:rFonts w:ascii="Times New Roman" w:hAnsi="Times New Roman" w:cs="Times New Roman" w:eastAsia="宋体"/>
          <w:b w:val="0"/>
          <w:sz w:val="21"/>
        </w:rPr>
        <w:t>122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工程应用意义与适用范围</w:t>
      </w:r>
      <w:r>
        <w:tab/>
      </w:r>
      <w:r>
        <w:rPr>
          <w:rFonts w:ascii="Times New Roman" w:hAnsi="Times New Roman" w:cs="Times New Roman" w:eastAsia="宋体"/>
          <w:b w:val="0"/>
          <w:sz w:val="21"/>
        </w:rPr>
        <w:t>123</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研究局限</w:t>
      </w:r>
      <w:r>
        <w:tab/>
      </w:r>
      <w:r>
        <w:rPr>
          <w:rFonts w:ascii="Times New Roman" w:hAnsi="Times New Roman" w:cs="Times New Roman" w:eastAsia="宋体"/>
          <w:b w:val="0"/>
          <w:sz w:val="21"/>
        </w:rPr>
        <w:t>124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研究展望</w:t>
      </w:r>
      <w:r>
        <w:tab/>
      </w:r>
      <w:r>
        <w:rPr>
          <w:rFonts w:ascii="Times New Roman" w:hAnsi="Times New Roman" w:cs="Times New Roman" w:eastAsia="宋体"/>
          <w:b w:val="0"/>
          <w:sz w:val="21"/>
        </w:rPr>
        <w:t>125</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参考文献</w:t>
      </w:r>
      <w:r>
        <w:tab/>
      </w:r>
      <w:r>
        <w:rPr>
          <w:rFonts w:ascii="Times New Roman" w:hAnsi="Times New Roman" w:cs="Times New Roman" w:eastAsia="宋体"/>
          <w:b/>
          <w:sz w:val="22"/>
        </w:rPr>
        <w:t>126</w:t>
      </w:r>
      <w:r>
        <w:fldChar w:fldCharType="end"/>
      </w:r>
    </w:p>
    <w:p>
      <w:pPr>
        <w:sectPr>
          <w:headerReference w:type="default" r:id="rId51"/>
          <w:headerReference w:type="even" r:id="rId52"/>
          <w:footerReference w:type="default" r:id="rId53"/>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pPr>
      <w:r>
        <w:rPr>
          <w:rFonts w:ascii="Times New Roman" w:hAnsi="Times New Roman" w:cs="Times New Roman" w:eastAsia="黑体"/>
          <w:b/>
          <w:sz w:val="36"/>
        </w:rPr>
        <w:t>第1章  绪论</w:t>
      </w:r>
    </w:p>
    <w:p>
      <w:pPr>
        <w:spacing w:before="360" w:after="240" w:line="360" w:lineRule="auto"/>
        <w:ind w:firstLine="0"/>
        <w:jc w:val="both"/>
        <w:outlineLvl w:val="1"/>
      </w:pPr>
      <w:r>
        <w:rPr>
          <w:rFonts w:ascii="Times New Roman" w:hAnsi="Times New Roman" w:cs="Times New Roman" w:eastAsia="黑体"/>
          <w:b/>
          <w:sz w:val="30"/>
        </w:rPr>
        <w:t>1.1 研究背景与意义</w:t>
      </w:r>
    </w:p>
    <w:p>
      <w:pPr>
        <w:spacing w:before="240" w:after="180" w:line="300" w:lineRule="auto"/>
        <w:ind w:firstLine="0"/>
        <w:jc w:val="both"/>
        <w:outlineLvl w:val="2"/>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pPr>
      <w:r>
        <w:rPr>
          <w:rFonts w:ascii="Times New Roman" w:hAnsi="Times New Roman" w:cs="Times New Roman" w:eastAsia="宋体"/>
          <w:b w:val="0"/>
          <w:sz w:val="24"/>
        </w:rPr>
        <w:t>仅建立图结构仍不足以回答多类关系如何参与预测。负荷耦合、行为共现和轮廓相似反映的是不同层面的关联，若将其简单合并为单一邻接矩阵，各类关系的语义和作用路径将难以区分；若采用固定等权融合，又可能忽略不同传播层和不同节点对关系信息的需求差异。因此，模型需要在多关系消息传递基础上引入可学习的关系选择和节点信息保留机制，并通过消融和参数干预判断其是否真正依赖这些结构，不能仅凭门控权重可视化作出解释。</w:t>
      </w:r>
    </w:p>
    <w:p>
      <w:pPr>
        <w:spacing w:before="0" w:after="0" w:line="300" w:lineRule="auto"/>
        <w:ind w:firstLine="480"/>
        <w:jc w:val="both"/>
      </w:pPr>
      <w:r>
        <w:rPr>
          <w:rFonts w:ascii="Times New Roman" w:hAnsi="Times New Roman" w:cs="Times New Roman" w:eastAsia="宋体"/>
          <w:b w:val="0"/>
          <w:sz w:val="24"/>
        </w:rPr>
        <w:t>除稳定的周期性变化外，充电节点还会出现由接入、离站、活跃会话变化或负荷跳变构成的稀疏行为变化窗口，本文将其统称为事件窗口，并在第2章进一步区分目标侧标签事件与冻结规则触发两种统计口径。此类窗口与可提前获知的节假日或特殊日不同</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其发生位置需要根据运行过程中可见的行为信号识别，而且少量高误差样本容易被大量稳定样本稀释。若只报告全局平均误差，模型在这些窗口中的误差水平及其对总体误差的贡献可能无法被准确识别。因此，本文同时考察关系结构的功能依赖、误差来源和事件窗口的不确定性边界，并将研究主线概括为“预测方法—机制诊断—预测支持探索”。</w:t>
      </w:r>
    </w:p>
    <w:p>
      <w:pPr>
        <w:spacing w:before="360" w:after="240" w:line="360" w:lineRule="auto"/>
        <w:ind w:firstLine="0"/>
        <w:jc w:val="both"/>
        <w:outlineLvl w:val="1"/>
      </w:pPr>
      <w:r>
        <w:rPr>
          <w:rFonts w:ascii="Times New Roman" w:hAnsi="Times New Roman" w:cs="Times New Roman" w:eastAsia="黑体"/>
          <w:b/>
          <w:sz w:val="30"/>
        </w:rPr>
        <w:t>1.2 国内外研究现状</w:t>
      </w:r>
    </w:p>
    <w:p>
      <w:pPr>
        <w:spacing w:before="240" w:after="180" w:line="300" w:lineRule="auto"/>
        <w:ind w:firstLine="0"/>
        <w:jc w:val="both"/>
        <w:outlineLvl w:val="2"/>
      </w:pPr>
      <w:r>
        <w:rPr>
          <w:rFonts w:ascii="Times New Roman" w:hAnsi="Times New Roman" w:cs="Times New Roman" w:eastAsia="黑体"/>
          <w:b w:val="0"/>
          <w:sz w:val="28"/>
        </w:rPr>
        <w:t>1.2.1 电动汽车充电负荷时间序列预测</w:t>
      </w:r>
    </w:p>
    <w:p>
      <w:pPr>
        <w:spacing w:before="0" w:after="0" w:line="300" w:lineRule="auto"/>
        <w:ind w:firstLine="480"/>
        <w:jc w:val="both"/>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pPr>
      <w:r>
        <w:rPr>
          <w:rFonts w:ascii="Times New Roman" w:hAnsi="Times New Roman" w:cs="Times New Roman" w:eastAsia="黑体"/>
          <w:b w:val="0"/>
          <w:sz w:val="28"/>
        </w:rPr>
        <w:t>1.2.2 多节点负荷与时空图预测</w:t>
      </w:r>
    </w:p>
    <w:p>
      <w:pPr>
        <w:spacing w:before="0" w:after="0" w:line="300" w:lineRule="auto"/>
        <w:ind w:firstLine="480"/>
        <w:jc w:val="both"/>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在电动汽车充电场景中，图模型主要用于描述充电站之间或区域之间的空间联系。国内研究已探索动态自适应图、差异化耦合关系和GCN—循环网络组合等方案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；学位论文则涉及充电站群多图融合、图注意力预测、负荷时空预测以及图结构与有序充放电联合应用</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。近年的国际研究进一步采用多图、图注意力或多关系结构，将地理邻近、交通联系、时序相关和自适应关系纳入预测模型</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。因此，本文不把“使用多关系图”本身作为独立的新颖性主张。</w:t>
      </w:r>
    </w:p>
    <w:p>
      <w:pPr>
        <w:spacing w:before="0" w:after="0" w:line="300" w:lineRule="auto"/>
        <w:ind w:firstLine="480"/>
        <w:jc w:val="both"/>
      </w:pPr>
      <w:r>
        <w:rPr>
          <w:rFonts w:ascii="Times New Roman" w:hAnsi="Times New Roman" w:cs="Times New Roman" w:eastAsia="宋体"/>
          <w:b w:val="0"/>
          <w:sz w:val="24"/>
        </w:rPr>
        <w:t>从研究粒度看，上述方法大多以充电站或区域为图节点，关系设计服务于站间空间传播；在本次检索及全文对标范围内，直接以单个场站内部充电节点为图节点，并同时按照负荷耦合、行为共现和日内轮廓构造可区分统计关系的研究相对有限。另一方面，已有多图方法多关注预测性能，较少进一步检验不同关系在不同传播层中的分配是否具有稳定的功能依赖。本文据此将研究重点收敛为“站内节点粒度的关系语义设计、双层门控融合及其机制诊断”，而不是泛化地宣称多图方法本身具有首创性。</w:t>
      </w:r>
    </w:p>
    <w:p>
      <w:pPr>
        <w:spacing w:before="240" w:after="180" w:line="300" w:lineRule="auto"/>
        <w:ind w:firstLine="0"/>
        <w:jc w:val="both"/>
        <w:outlineLvl w:val="2"/>
      </w:pPr>
      <w:r>
        <w:rPr>
          <w:rFonts w:ascii="Times New Roman" w:hAnsi="Times New Roman" w:cs="Times New Roman" w:eastAsia="黑体"/>
          <w:b w:val="0"/>
          <w:sz w:val="28"/>
        </w:rPr>
        <w:t>1.2.3 充电行为特征与事件建模</w:t>
      </w:r>
    </w:p>
    <w:p>
      <w:pPr>
        <w:spacing w:before="0" w:after="0" w:line="300" w:lineRule="auto"/>
        <w:ind w:firstLine="480"/>
        <w:jc w:val="both"/>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pPr>
      <w:r>
        <w:rPr>
          <w:rFonts w:ascii="Times New Roman" w:hAnsi="Times New Roman" w:cs="Times New Roman" w:eastAsia="宋体"/>
          <w:b w:val="0"/>
          <w:sz w:val="24"/>
        </w:rPr>
        <w:t>在所检文献范围内，将充电行为突变窗口同时作为规则识别对象、独立评价单元和误差溯源单元的研究仍较少。尤其是，目标侧标签事件与预测时可见的规则触发并非同一概念，两者之间的错位会限制事件路由和分层区间预测的效果。因此，本文不预设事件机制必然改善点预测，而是通过冻结规则、双口径统计和四格诊断明确可见信息边界，并评估事件窗口中的预测区间表现。</w:t>
      </w:r>
    </w:p>
    <w:p>
      <w:pPr>
        <w:spacing w:before="240" w:after="180" w:line="300" w:lineRule="auto"/>
        <w:ind w:firstLine="0"/>
        <w:jc w:val="both"/>
        <w:outlineLvl w:val="2"/>
      </w:pPr>
      <w:r>
        <w:rPr>
          <w:rFonts w:ascii="Times New Roman" w:hAnsi="Times New Roman" w:cs="Times New Roman" w:eastAsia="黑体"/>
          <w:b w:val="0"/>
          <w:sz w:val="28"/>
        </w:rPr>
        <w:t>1.2.4 模型可解释性与机制诊断</w:t>
      </w:r>
    </w:p>
    <w:p>
      <w:pPr>
        <w:spacing w:before="0" w:after="0" w:line="300" w:lineRule="auto"/>
        <w:ind w:firstLine="480"/>
        <w:jc w:val="both"/>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为检验解释结论，相关研究引入了参数干预、知识蒸馏和分层误差分析。参数干预通过替换或屏蔽模型内部组件，比较干预前后的输出变化，从功能角度补充观察式解释</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；知识蒸馏通过教师输出约束学生模型，为检验结构知识能否由更简单模型吸收提供了检验手段</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；事件列联与价值加权误差分解则表明，将总体误差按条件拆分有助于识别不同样本的贡献</w:t>
      </w:r>
      <w:r>
        <w:rPr>
          <w:rFonts w:ascii="Times New Roman" w:hAnsi="Times New Roman" w:cs="Times New Roman" w:eastAsia="宋体"/>
          <w:b w:val="0"/>
          <w:sz w:val="24"/>
          <w:vertAlign w:val="superscript"/>
        </w:rPr>
        <w:t>[82]</w:t>
      </w:r>
      <w:r>
        <w:rPr>
          <w:rFonts w:ascii="Times New Roman" w:hAnsi="Times New Roman" w:cs="Times New Roman" w:eastAsia="宋体"/>
          <w:b w:val="0"/>
          <w:sz w:val="24"/>
        </w:rPr>
        <w:t>。这些方法分别回答“模型使用了什么”“复杂结构能否被替代”和“误差来自哪里”等问题，但在负荷预测研究中通常分散使用。</w:t>
      </w:r>
    </w:p>
    <w:p>
      <w:pPr>
        <w:spacing w:before="0" w:after="0" w:line="300" w:lineRule="auto"/>
        <w:ind w:firstLine="480"/>
        <w:jc w:val="both"/>
      </w:pPr>
      <w:r>
        <w:rPr>
          <w:rFonts w:ascii="Times New Roman" w:hAnsi="Times New Roman" w:cs="Times New Roman" w:eastAsia="宋体"/>
          <w:b w:val="0"/>
          <w:sz w:val="24"/>
        </w:rPr>
        <w:t>基于此，本文把机制解释组织为三层机制诊断协议（Mechanism Diagnosis Protocol，MDP）：先观察并干预多关系门控分配，再通过图模型向纯时序模型的知识蒸馏检验所检配置下的师生差距，最后利用事件标签与规则触发形成四格，并按样本量还原全局误差。相关操作在既有研究中多被分别使用；本文将其组织为统一诊断流程，并明确各层的判定条件和误差还原要求，不把单项分析工具表述为本文首创。</w:t>
      </w:r>
    </w:p>
    <w:p>
      <w:pPr>
        <w:spacing w:before="360" w:after="240" w:line="360" w:lineRule="auto"/>
        <w:ind w:firstLine="0"/>
        <w:jc w:val="both"/>
        <w:outlineLvl w:val="1"/>
      </w:pPr>
      <w:r>
        <w:rPr>
          <w:rFonts w:ascii="Times New Roman" w:hAnsi="Times New Roman" w:cs="Times New Roman" w:eastAsia="黑体"/>
          <w:b/>
          <w:sz w:val="30"/>
        </w:rPr>
        <w:t>1.3 现有研究不足</w:t>
      </w:r>
    </w:p>
    <w:p>
      <w:pPr>
        <w:spacing w:before="0" w:after="0" w:line="300" w:lineRule="auto"/>
        <w:ind w:firstLine="480"/>
        <w:jc w:val="both"/>
      </w:pPr>
      <w:r>
        <w:rPr>
          <w:rFonts w:ascii="Times New Roman" w:hAnsi="Times New Roman" w:cs="Times New Roman" w:eastAsia="宋体"/>
          <w:b w:val="0"/>
          <w:sz w:val="24"/>
        </w:rPr>
        <w:t>综合上述研究现状，现有工作为充电负荷时间建模、多节点关系学习和预测解释提供了较为丰富的方法基础，但针对站内节点级短期预测仍存在以下不足。</w:t>
      </w:r>
    </w:p>
    <w:p>
      <w:pPr>
        <w:spacing w:before="0" w:after="0" w:line="300" w:lineRule="auto"/>
        <w:ind w:firstLine="480"/>
        <w:jc w:val="both"/>
      </w:pPr>
      <w:r>
        <w:rPr>
          <w:rFonts w:ascii="Times New Roman" w:hAnsi="Times New Roman" w:cs="Times New Roman" w:eastAsia="宋体"/>
          <w:b w:val="0"/>
          <w:sz w:val="24"/>
        </w:rPr>
        <w:t>（1）站内节点关系的语义化表达不足。现有图预测工作主要服务于站间或区域级空间传播，站内节点场景常采用单一相关关系或直接学习隐式邻接。单一图难以同时保留负荷同步、行为共现和日内轮廓等不同统计语义，而纯自适应图的边权又不易与场站行为含义对应。需要说明的是，多关系表示并不预设每一类关系都必然带来独立性能增益，其价值还需要通过关系子集实验和机制诊断加以检验。</w:t>
      </w:r>
    </w:p>
    <w:p>
      <w:pPr>
        <w:spacing w:before="0" w:after="0" w:line="300" w:lineRule="auto"/>
        <w:ind w:firstLine="480"/>
        <w:jc w:val="both"/>
      </w:pPr>
      <w:r>
        <w:rPr>
          <w:rFonts w:ascii="Times New Roman" w:hAnsi="Times New Roman" w:cs="Times New Roman" w:eastAsia="宋体"/>
          <w:b w:val="0"/>
          <w:sz w:val="24"/>
        </w:rPr>
        <w:t>（2）模型解释缺少从观察到验证的完整证据链。现有研究较多使用注意力、门控权重或特征贡献进行观察式解释，常规消融也主要回答移除某个组件后性能是否变化，但较少继续检验学习到的关系分配是否具有功能依赖、图结构知识能否由纯时序模型吸收以及误差能否被严格归属。因而有必要建立包含操作定义、诊断实验和判定准则的协议化分析流程。</w:t>
      </w:r>
    </w:p>
    <w:p>
      <w:pPr>
        <w:spacing w:before="0" w:after="0" w:line="300" w:lineRule="auto"/>
        <w:ind w:firstLine="480"/>
        <w:jc w:val="both"/>
      </w:pPr>
      <w:r>
        <w:rPr>
          <w:rFonts w:ascii="Times New Roman" w:hAnsi="Times New Roman" w:cs="Times New Roman" w:eastAsia="宋体"/>
          <w:b w:val="0"/>
          <w:sz w:val="24"/>
        </w:rPr>
        <w:t>（3）事件信息的使用边界尚不清晰。日历事件、目标侧事件标签和预测时可见规则属于不同信息条件，将其作为模型输入、事后修正依据或预测区间路由信号，对应的任务并不相同。现有研究对阈值冻结、未来信息隔离、规则触发与标签事件错位及负结果披露的讨论相对有限，容易把使用事后标签得到的参照结果误写成预测时可执行的性能。</w:t>
      </w:r>
    </w:p>
    <w:p>
      <w:pPr>
        <w:spacing w:before="0" w:after="0" w:line="300" w:lineRule="auto"/>
        <w:ind w:firstLine="480"/>
        <w:jc w:val="both"/>
      </w:pPr>
      <w:r>
        <w:rPr>
          <w:rFonts w:ascii="Times New Roman" w:hAnsi="Times New Roman" w:cs="Times New Roman" w:eastAsia="宋体"/>
          <w:b w:val="0"/>
          <w:sz w:val="24"/>
        </w:rPr>
        <w:t>（4）全局指标难以反映稀疏事件窗口的误差结构。节点代理负荷包含大量稳定或零负荷样本，少量行为突变窗口的高误差可能被全局平均指标稀释。若缺少事件、稳定和规则触发等分层口径，以及分层结果向全局误差的样本量加权还原，就难以判断模型改进作用于哪些样本，也难以为后续不确定性分析提供可靠依据。</w:t>
      </w:r>
    </w:p>
    <w:p>
      <w:pPr>
        <w:spacing w:before="0" w:after="0" w:line="300" w:lineRule="auto"/>
        <w:ind w:firstLine="480"/>
        <w:jc w:val="both"/>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pPr>
      <w:r>
        <w:drawing>
          <wp:inline xmlns:a="http://schemas.openxmlformats.org/drawingml/2006/main" xmlns:pic="http://schemas.openxmlformats.org/drawingml/2006/picture">
            <wp:extent cx="5112000" cy="3408000"/>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57"/>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pPr>
      <w:r>
        <w:rPr>
          <w:rFonts w:ascii="Times New Roman" w:hAnsi="Times New Roman" w:cs="Times New Roman" w:eastAsia="黑体"/>
          <w:b/>
          <w:sz w:val="30"/>
        </w:rPr>
        <w:t>1.4 研究目标与主要内容</w:t>
      </w:r>
    </w:p>
    <w:p>
      <w:pPr>
        <w:spacing w:before="0" w:after="0" w:line="300" w:lineRule="auto"/>
        <w:ind w:firstLine="480"/>
        <w:jc w:val="both"/>
      </w:pPr>
      <w:r>
        <w:rPr>
          <w:rFonts w:ascii="Times New Roman" w:hAnsi="Times New Roman" w:cs="Times New Roman" w:eastAsia="宋体"/>
          <w:b w:val="0"/>
          <w:sz w:val="24"/>
        </w:rPr>
        <w:t>本文面向单站多充电节点的短期负荷预测问题，以充电会话记录重构得到的节点代理负荷为研究对象，旨在构建利用站内多类统计关系的预测模型，并建立配套的机制诊断方法。研究目标包括两个层面：一是提高节点代理负荷预测的整体精度；二是以可执行、可复核的诊断流程回答模型依赖何种关系、结构知识能否由简单模型吸收以及全局误差来源于何种样本。第5章另行考察方向性候选结构、事件窗口区间覆盖和门控分配的分层参数敏感度；这些分析属于预测支持探索，不承诺已经解决事件窗口预测。</w:t>
      </w:r>
    </w:p>
    <w:p>
      <w:pPr>
        <w:spacing w:before="0" w:after="0" w:line="300" w:lineRule="auto"/>
        <w:ind w:firstLine="480"/>
        <w:jc w:val="both"/>
      </w:pPr>
      <w:r>
        <w:rPr>
          <w:rFonts w:ascii="Times New Roman" w:hAnsi="Times New Roman" w:cs="Times New Roman" w:eastAsia="宋体"/>
          <w:b w:val="0"/>
          <w:sz w:val="24"/>
        </w:rPr>
        <w:t>本文的工程定位是为场站精细化运行提供节点级预测与误差分层的决策支持输入，而不是直接替代电表功率、执行在线调度或给出容量优化收益。具体而言，预测结果可用于识别需要重点关注的节点和时间窗口，四格诊断可提示全局平均误差未能代表的困难样本，区间分析则用于揭示当前可见规则的覆盖不足。上述信息只有在与真实功率量测、场站运行约束和现场决策规则联用后，才可能进入实际业务流程。</w:t>
      </w:r>
    </w:p>
    <w:p>
      <w:pPr>
        <w:spacing w:before="0" w:after="0" w:line="300" w:lineRule="auto"/>
        <w:ind w:firstLine="480"/>
        <w:jc w:val="both"/>
      </w:pPr>
      <w:r>
        <w:rPr>
          <w:rFonts w:ascii="Times New Roman" w:hAnsi="Times New Roman" w:cs="Times New Roman" w:eastAsia="宋体"/>
          <w:b w:val="0"/>
          <w:sz w:val="24"/>
        </w:rPr>
        <w:t>围绕上述目标，本文开展以下四方面研究。</w:t>
      </w:r>
    </w:p>
    <w:p>
      <w:pPr>
        <w:spacing w:before="0" w:after="0" w:line="300" w:lineRule="auto"/>
        <w:ind w:firstLine="480"/>
        <w:jc w:val="both"/>
      </w:pPr>
      <w:r>
        <w:rPr>
          <w:rFonts w:ascii="Times New Roman" w:hAnsi="Times New Roman" w:cs="Times New Roman" w:eastAsia="宋体"/>
          <w:b w:val="0"/>
          <w:sz w:val="24"/>
        </w:rPr>
        <w:t>（1）充电行为数据重构与特征分析。对原始充电会话记录进行字段审计和节点标识核对，按照15 min粒度重构节点代理负荷；仅依据训练集和验证集完成节点可用性筛选及质量门禁，测试集不参与节点选择。分析节点负荷的稀疏性、异质性、周期性和事件分量，为关系构建、模型输入和分层评价提供数据依据。</w:t>
      </w:r>
    </w:p>
    <w:p>
      <w:pPr>
        <w:spacing w:before="0" w:after="0" w:line="300" w:lineRule="auto"/>
        <w:ind w:firstLine="480"/>
        <w:jc w:val="both"/>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构建多关系门控图卷积网络（Multi-Relational Gated Graph Convolutional Network，MRG-GCN），通过关系级β门控、节点级G门控、关系随机失活（relation dropout）和逐层关系选择完成跨节点信息融合。采用统一预测键、三种子（2024、2025、2026）、多模型对比和消融实验评价其预测性能及结构贡献。</w:t>
      </w:r>
    </w:p>
    <w:p>
      <w:pPr>
        <w:spacing w:before="0" w:after="0" w:line="300" w:lineRule="auto"/>
        <w:ind w:firstLine="480"/>
        <w:jc w:val="both"/>
      </w:pPr>
      <w:r>
        <w:rPr>
          <w:rFonts w:ascii="Times New Roman" w:hAnsi="Times New Roman" w:cs="Times New Roman" w:eastAsia="宋体"/>
          <w:b w:val="0"/>
          <w:sz w:val="24"/>
        </w:rPr>
        <w:t>（3）三层机制诊断协议。围绕“关系分配是否具有功能依赖、图结构知识能否被纯时序模型吸收、全局误差来自何处”三个问题，构建由L1干预归因、L2蒸馏验证和L3四格溯源组成的机制诊断协议MDP。每一层均给出方法定义、诊断实验和判定准则，并通过样本量加权恒等式核验四格结果能否还原全局误差。</w:t>
      </w:r>
    </w:p>
    <w:p>
      <w:pPr>
        <w:spacing w:before="0" w:after="0" w:line="300" w:lineRule="auto"/>
        <w:ind w:firstLine="480"/>
        <w:jc w:val="both"/>
      </w:pPr>
      <w:r>
        <w:rPr>
          <w:rFonts w:ascii="Times New Roman" w:hAnsi="Times New Roman" w:cs="Times New Roman" w:eastAsia="宋体"/>
          <w:b w:val="0"/>
          <w:sz w:val="24"/>
        </w:rPr>
        <w:t>（4）模型结构分析与预测支持探索。采用传递熵和PCMCI+分析统计关系图未表达的方向性候选及条件滞后依赖；采用分层共形方法比较标准路径、冻结规则路由与标签事件事后参照（oracle），识别事件窗口的覆盖边界；再将门控参数干预扩展到事件、稳定和节点层面，分析不同样本条件下的分层参数干预敏感度。上述结果均按探索性结构发现、经验覆盖或分层参数干预敏感度解释，不升级为物理因果或可部署事件预测结论。</w:t>
      </w:r>
    </w:p>
    <w:p>
      <w:pPr>
        <w:spacing w:before="360" w:after="240" w:line="360" w:lineRule="auto"/>
        <w:ind w:firstLine="0"/>
        <w:jc w:val="both"/>
        <w:outlineLvl w:val="1"/>
      </w:pPr>
      <w:r>
        <w:rPr>
          <w:rFonts w:ascii="Times New Roman" w:hAnsi="Times New Roman" w:cs="Times New Roman" w:eastAsia="黑体"/>
          <w:b/>
          <w:sz w:val="30"/>
        </w:rPr>
        <w:t>1.5 技术路线</w:t>
      </w:r>
    </w:p>
    <w:p>
      <w:pPr>
        <w:spacing w:before="0" w:after="0" w:line="300" w:lineRule="auto"/>
        <w:ind w:firstLine="480"/>
        <w:jc w:val="both"/>
      </w:pPr>
      <w:r>
        <w:rPr>
          <w:rFonts w:ascii="Times New Roman" w:hAnsi="Times New Roman" w:cs="Times New Roman" w:eastAsia="宋体"/>
          <w:b w:val="0"/>
          <w:sz w:val="24"/>
        </w:rPr>
        <w:t>本文按照“数据重构与特征分析—多关系图预测—三层机制诊断—结构分析与预测支持探索”的路线开展研究，总体技术路线如图1-2所示。图中同时标出方法贡献与机制诊断贡献两条主线：前者由LRE三关系图和MRG-GCN构成，后者由L1干预、L2蒸馏与L3四格溯源构成。</w:t>
      </w:r>
    </w:p>
    <w:p>
      <w:pPr>
        <w:spacing w:before="60" w:after="60" w:line="240" w:lineRule="auto"/>
        <w:ind w:firstLine="0"/>
        <w:jc w:val="center"/>
      </w:pPr>
      <w:r>
        <w:drawing>
          <wp:inline xmlns:a="http://schemas.openxmlformats.org/drawingml/2006/main" xmlns:pic="http://schemas.openxmlformats.org/drawingml/2006/picture">
            <wp:extent cx="5112000" cy="3834000"/>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58"/>
                    <a:stretch>
                      <a:fillRect/>
                    </a:stretch>
                  </pic:blipFill>
                  <pic:spPr>
                    <a:xfrm>
                      <a:off x="0" y="0"/>
                      <a:ext cx="5112000" cy="3834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图1-2 本文总体技术路线与双贡献主线</w:t>
      </w:r>
    </w:p>
    <w:p>
      <w:pPr>
        <w:spacing w:before="0" w:after="0" w:line="300" w:lineRule="auto"/>
        <w:ind w:firstLine="480"/>
        <w:jc w:val="both"/>
      </w:pPr>
      <w:r>
        <w:rPr>
          <w:rFonts w:ascii="Times New Roman" w:hAnsi="Times New Roman" w:cs="Times New Roman" w:eastAsia="宋体"/>
          <w:b w:val="0"/>
          <w:sz w:val="24"/>
        </w:rPr>
        <w:t>第一阶段为数据重构与特征分析。首先对原始会话记录进行字段、时间和节点标识审计，将离散会话按15 min时间片重构为节点代理负荷张量；随后依据训练集和验证集建立节点筛选门槛与质量门禁，冻结10个主分析节点；最后分析负荷稀疏性、节点差异、周期模式、事件四分量及输入特征，为模型设计和评价口径提供依据。</w:t>
      </w:r>
    </w:p>
    <w:p>
      <w:pPr>
        <w:spacing w:before="0" w:after="0" w:line="300" w:lineRule="auto"/>
        <w:ind w:firstLine="480"/>
        <w:jc w:val="both"/>
      </w:pPr>
      <w:r>
        <w:rPr>
          <w:rFonts w:ascii="Times New Roman" w:hAnsi="Times New Roman" w:cs="Times New Roman" w:eastAsia="宋体"/>
          <w:b w:val="0"/>
          <w:sz w:val="24"/>
        </w:rPr>
        <w:t>第二阶段为LRE关系构建与MRG-GCN建模。使用训练期统计量分别构建负荷耦合、行为共现和轮廓相似关系图，经top-k稀疏化和对称归一化后形成模型的固定关系输入；使用TCN提取历史窗口的时间表示，再通过双层多关系门控图卷积进行跨节点传播，并由预测头输出未来4个时间步的节点代理负荷。该阶段在统一数据划分、预测键和评价指标下完成传统方法、时序模型、图模型和自适应图对照，并通过结构消融、关系子集和参数干预分析模型组件。</w:t>
      </w:r>
    </w:p>
    <w:p>
      <w:pPr>
        <w:spacing w:before="0" w:after="0" w:line="300" w:lineRule="auto"/>
        <w:ind w:firstLine="480"/>
        <w:jc w:val="both"/>
      </w:pPr>
      <w:r>
        <w:rPr>
          <w:rFonts w:ascii="Times New Roman" w:hAnsi="Times New Roman" w:cs="Times New Roman" w:eastAsia="宋体"/>
          <w:b w:val="0"/>
          <w:sz w:val="24"/>
        </w:rPr>
        <w:t>第三阶段为MDP三层机制诊断。L1从已训练模型中提取逐层关系门控权重，并对关系分配实施固定、交换和等权参数干预；L2以MRG-GCN为教师、TCN为学生开展知识蒸馏，检验所检学生架构和蒸馏设置能否弥合师生差距；L3按照目标侧标签事件与冻结规则触发构建四格，通过样本量加权还原全局MAE，定位事件窗口和稳定窗口对总体误差的贡献。</w:t>
      </w:r>
    </w:p>
    <w:p>
      <w:pPr>
        <w:spacing w:before="0" w:after="0" w:line="300" w:lineRule="auto"/>
        <w:ind w:firstLine="480"/>
        <w:jc w:val="both"/>
      </w:pPr>
      <w:r>
        <w:rPr>
          <w:rFonts w:ascii="Times New Roman" w:hAnsi="Times New Roman" w:cs="Times New Roman" w:eastAsia="宋体"/>
          <w:b w:val="0"/>
          <w:sz w:val="24"/>
        </w:rPr>
        <w:t>第四阶段为模型结构分析与预测支持探索。首先采用传递熵和PCMCI+分析节点间方向性候选和条件滞后依赖，考察其与固定统计关系图的互补性；其次采用分层共形预测比较全局校准、冻结规则路由和标签事件事后参照（oracle），分析事件窗口的经验覆盖率及区间宽度；最后对门控参数干预结果进行窗口和节点分层，刻画不同条件下的分层参数干预敏感度。</w:t>
      </w:r>
    </w:p>
    <w:p>
      <w:pPr>
        <w:spacing w:before="360" w:after="240" w:line="360" w:lineRule="auto"/>
        <w:ind w:firstLine="0"/>
        <w:jc w:val="both"/>
        <w:outlineLvl w:val="1"/>
      </w:pPr>
      <w:r>
        <w:rPr>
          <w:rFonts w:ascii="Times New Roman" w:hAnsi="Times New Roman" w:cs="Times New Roman" w:eastAsia="黑体"/>
          <w:b/>
          <w:sz w:val="30"/>
        </w:rPr>
        <w:t>1.6 论文组织结构</w:t>
      </w:r>
    </w:p>
    <w:p>
      <w:pPr>
        <w:spacing w:before="0" w:after="0" w:line="300" w:lineRule="auto"/>
        <w:ind w:firstLine="480"/>
        <w:jc w:val="both"/>
      </w:pPr>
      <w:r>
        <w:rPr>
          <w:rFonts w:ascii="Times New Roman" w:hAnsi="Times New Roman" w:cs="Times New Roman" w:eastAsia="宋体"/>
          <w:b w:val="0"/>
          <w:sz w:val="24"/>
        </w:rPr>
        <w:t>本文正文由五章组成，并在正文之后设置结论、参考文献和附录。各章内容安排如下。</w:t>
      </w:r>
    </w:p>
    <w:p>
      <w:pPr>
        <w:spacing w:before="0" w:after="0" w:line="300" w:lineRule="auto"/>
        <w:ind w:firstLine="480"/>
        <w:jc w:val="both"/>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pPr>
      <w:r>
        <w:rPr>
          <w:rFonts w:ascii="Times New Roman" w:hAnsi="Times New Roman" w:cs="Times New Roman" w:eastAsia="宋体"/>
          <w:b w:val="0"/>
          <w:sz w:val="24"/>
        </w:rPr>
        <w:t>第3章为基于多关系门控图卷积的节点短期负荷预测。本章形式化定义预测任务，构建由负荷耦合、行为共现和轮廓相似组成的LRE三关系图，并建立MRG-GCN预测模型；随后通过统一协议下的传统方法、时序模型和图模型对比，结合结构消融、门控参数干预、四格诊断及关系子集敏感性分析，评价模型性能并界定各设计组件的证据范围。</w:t>
      </w:r>
    </w:p>
    <w:p>
      <w:pPr>
        <w:spacing w:before="0" w:after="0" w:line="300" w:lineRule="auto"/>
        <w:ind w:firstLine="480"/>
        <w:jc w:val="both"/>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pPr>
      <w:r>
        <w:rPr>
          <w:rFonts w:ascii="Times New Roman" w:hAnsi="Times New Roman" w:cs="Times New Roman" w:eastAsia="宋体"/>
          <w:b w:val="0"/>
          <w:sz w:val="24"/>
        </w:rPr>
        <w:t>第5章为模型结构分析与预测支持探索。本章考察方向性候选及条件滞后依赖与固定统计关系图的互补性，比较冻结规则路由与标签事件事后参照（oracle）的区间覆盖，并分析门控参数替换在不同窗口和节点上的响应。相关结果只按探索性结构发现、经验覆盖或参数敏感度解释，不表述为物理因果结论或已经实现的可部署事件预测方法。</w:t>
      </w:r>
    </w:p>
    <w:p>
      <w:pPr>
        <w:spacing w:before="0" w:after="0" w:line="300" w:lineRule="auto"/>
        <w:ind w:firstLine="480"/>
        <w:jc w:val="both"/>
      </w:pPr>
      <w:r>
        <w:rPr>
          <w:rFonts w:ascii="Times New Roman" w:hAnsi="Times New Roman" w:cs="Times New Roman" w:eastAsia="宋体"/>
          <w:b w:val="0"/>
          <w:sz w:val="24"/>
        </w:rPr>
        <w:t>结论部分总结全文研究工作及主要发现，说明数据、模型、诊断协议和探索性分析的适用边界，并提出跨站验证、动态关系学习、事件可见信号增强和节点级门控分析等后续研究方向。附录用于保留事件残差修正及其他未达到正文正式纳入标准的探索记录，以保证研究过程可追溯，但不将其作为正文方法贡献。</w:t>
      </w:r>
    </w:p>
    <w:p>
      <w:pPr>
        <w:spacing w:before="360" w:after="240" w:line="360" w:lineRule="auto"/>
        <w:ind w:firstLine="0"/>
        <w:jc w:val="both"/>
        <w:outlineLvl w:val="1"/>
      </w:pPr>
      <w:r>
        <w:rPr>
          <w:rFonts w:ascii="Times New Roman" w:hAnsi="Times New Roman" w:cs="Times New Roman" w:eastAsia="黑体"/>
          <w:b/>
          <w:sz w:val="30"/>
        </w:rPr>
        <w:t>1.7 本章小结</w:t>
      </w:r>
    </w:p>
    <w:p>
      <w:pPr>
        <w:spacing w:before="0" w:after="0" w:line="300" w:lineRule="auto"/>
        <w:ind w:firstLine="480"/>
        <w:jc w:val="both"/>
      </w:pPr>
      <w:r>
        <w:rPr>
          <w:rFonts w:ascii="Times New Roman" w:hAnsi="Times New Roman" w:cs="Times New Roman" w:eastAsia="宋体"/>
          <w:b w:val="0"/>
          <w:sz w:val="24"/>
        </w:rPr>
        <w:t>本章围绕站内充电节点短期负荷预测的研究问题完成了研究背景、文献基础和总体方案的论证。首先，从充电基础设施规模增长与场站精细化运行需求出发，说明节点级预测的工程价值，并明确本文研究对象是由离散会话记录重构得到的节点代理负荷，站内图边表示统计交互而非配电网物理拓扑。其次，从时间序列预测、时空图预测、行为与事件建模、模型可解释性与机制诊断四个方面梳理国内外研究进展，指出现有方法在站内关系语义表达、机制证据链、事件信息使用边界和分层误差评价方面仍存在不足。</w:t>
      </w:r>
    </w:p>
    <w:p>
      <w:pPr>
        <w:spacing w:before="0" w:after="0" w:line="300" w:lineRule="auto"/>
        <w:ind w:firstLine="480"/>
        <w:jc w:val="both"/>
      </w:pPr>
      <w:r>
        <w:rPr>
          <w:rFonts w:ascii="Times New Roman" w:hAnsi="Times New Roman" w:cs="Times New Roman" w:eastAsia="宋体"/>
          <w:b w:val="0"/>
          <w:sz w:val="24"/>
        </w:rPr>
        <w:t>针对上述问题，本文确立了“预测方法与机制诊断”两条主要贡献线：构建面向站内节点的LRE三关系图和MRG-GCN预测模型，并以L1干预归因、L2蒸馏验证和L3四格溯源组成MDP三层机制诊断协议。第5章在此基础上开展方向性结构、分层共形和分层参数干预三项预测支持探索。上述内容共同形成“数据重构与特征分析—多关系图预测—三层机制诊断—结构分析与预测支持探索”的技术路线，并为后续各章的具体方法和实验分析奠定基础。</w:t>
      </w:r>
    </w:p>
    <w:p>
      <w:pPr>
        <w:sectPr>
          <w:headerReference w:type="default" r:id="rId54"/>
          <w:headerReference w:type="even" r:id="rId55"/>
          <w:footerReference w:type="default"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pPr>
      <w:r>
        <w:rPr>
          <w:rFonts w:ascii="Times New Roman" w:hAnsi="Times New Roman" w:cs="Times New Roman" w:eastAsia="黑体"/>
          <w:b/>
          <w:sz w:val="36"/>
        </w:rPr>
        <w:t>第2章  充电行为数据与特征分析</w:t>
      </w:r>
    </w:p>
    <w:p>
      <w:pPr>
        <w:spacing w:before="0" w:after="0" w:line="300" w:lineRule="auto"/>
        <w:ind w:firstLine="480"/>
        <w:jc w:val="both"/>
      </w:pPr>
      <w:r>
        <w:rPr>
          <w:rFonts w:ascii="Times New Roman" w:hAnsi="Times New Roman" w:cs="Times New Roman" w:eastAsia="宋体"/>
          <w:b w:val="0"/>
          <w:sz w:val="24"/>
        </w:rPr>
        <w:t>本章围绕“充电行为数据具有何种统计特征，以及这些特征如何约束后续建模与评价”展开分析。本文使用的数据并非在线电表测得的连续功率，而是由离散充电会话记录重构的节点代理负荷。为避免数据口径含混，本章首先说明数据来源、节点代理负荷重构方法和节点标识关系，继而给出节点筛选与质量门禁过程；在冻结主分析节点集合后，从负荷稀疏性、节点异质性、时间周期、事件窗口和输入特征相关性等方面展开统计分析，最后归纳其对多关系图建模、分层评价和预测区间分析的启示。</w:t>
      </w:r>
    </w:p>
    <w:p>
      <w:pPr>
        <w:spacing w:before="360" w:after="240" w:line="360" w:lineRule="auto"/>
        <w:ind w:firstLine="0"/>
        <w:jc w:val="both"/>
        <w:outlineLvl w:val="1"/>
      </w:pPr>
      <w:r>
        <w:rPr>
          <w:rFonts w:ascii="Times New Roman" w:hAnsi="Times New Roman" w:cs="Times New Roman" w:eastAsia="黑体"/>
          <w:b/>
          <w:sz w:val="30"/>
        </w:rPr>
        <w:t>2.1 数据来源与重构口径</w:t>
      </w:r>
    </w:p>
    <w:p>
      <w:pPr>
        <w:spacing w:before="0" w:after="0" w:line="300" w:lineRule="auto"/>
        <w:ind w:firstLine="480"/>
        <w:jc w:val="both"/>
      </w:pPr>
      <w:r>
        <w:rPr>
          <w:rFonts w:ascii="Times New Roman" w:hAnsi="Times New Roman" w:cs="Times New Roman" w:eastAsia="宋体"/>
          <w:b w:val="0"/>
          <w:sz w:val="24"/>
        </w:rPr>
        <w:t>本文采用公开的ACN-Data电动汽车充电数据集。该数据集由加州理工学院发布，记录充电会话的接入、断开、充电完成时间以及会话交付电量等信息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选取siteID=2的单场站归档，原始文件名为acn_sessions.csv，SHA-256为4a2545fd7e344c00b356c1b3e10ca859c47d5d3a9ab0498b5582bb3f8ca4b5c0。文件包含31,424条充电会话和11个字段；接入时间从2018年4月25日11:08:04延续至2021年9月14日1:52:37，最晚断开时间为2021年9月14日3:05:10，覆盖约3.39年。全部记录的接入时间和断开时间均可解析，充电完成时间可解析29,369条；后者不是节点代理负荷重构的必要字段，其缺失不影响时间片能量分配结果。</w:t>
      </w:r>
    </w:p>
    <w:p>
      <w:pPr>
        <w:spacing w:before="0" w:after="0" w:line="300" w:lineRule="auto"/>
        <w:ind w:firstLine="480"/>
        <w:jc w:val="both"/>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E</m:t>
            </m:r>
          </m:e>
          <m:sub>
            <m: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i</m:t>
            </m:r>
          </m:e>
          <m:sub>
            <m: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ℬ</m:t>
            </m:r>
          </m:e>
          <m:sub>
            <m: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e>
          <m:sub>
            <m:r>
              <m:t>t</m:t>
            </m:r>
            <m:r>
              <m:t>,</m:t>
            </m:r>
            <m:r>
              <m:t>i</m:t>
            </m:r>
          </m:sub>
        </m:sSub>
        <m:r>
          <m:t>=</m:t>
        </m:r>
        <m:sSubSup>
          <m:sSubSupPr/>
          <m:e>
            <m:r>
              <m:t>∑</m:t>
            </m:r>
          </m:e>
          <m:sub>
            <m:r>
              <m:t>s</m:t>
            </m:r>
            <m:r>
              <m:t>:</m:t>
            </m:r>
            <m:sSub>
              <m:sSubPr/>
              <m:e>
                <m:r>
                  <m:t>i</m:t>
                </m:r>
              </m:e>
              <m:sub>
                <m:r>
                  <m:t>s</m:t>
                </m:r>
              </m:sub>
            </m:sSub>
            <m:r>
              <m:t>=</m:t>
            </m:r>
            <m:r>
              <m:t>i</m:t>
            </m:r>
            <m:r>
              <m:t>,</m:t>
            </m:r>
            <m:r>
              <m:t>t</m:t>
            </m:r>
            <m:r>
              <m:t>∈</m:t>
            </m:r>
            <m:sSub>
              <m:sSubPr/>
              <m:e>
                <m:r>
                  <m:t>ℬ</m:t>
                </m:r>
              </m:e>
              <m:sub>
                <m:r>
                  <m:t>s</m:t>
                </m:r>
              </m:sub>
            </m:sSub>
          </m:sub>
          <m:sup/>
        </m:sSubSup>
        <m:f>
          <m:num>
            <m:sSub>
              <m:sSubPr/>
              <m:e>
                <m:r>
                  <m:t>E</m:t>
                </m:r>
              </m:e>
              <m:sub>
                <m:r>
                  <m:t>s</m:t>
                </m:r>
              </m:sub>
            </m:sSub>
          </m:num>
          <m:den>
            <m:r>
              <m:t>|</m:t>
            </m:r>
            <m:sSub>
              <m:sSubPr/>
              <m:e>
                <m:r>
                  <m:t>ℬ</m:t>
                </m:r>
              </m:e>
              <m:sub>
                <m:r>
                  <m:t>s</m:t>
                </m:r>
              </m:sub>
            </m:sSub>
            <m:r>
              <m:t>|</m:t>
            </m:r>
          </m:den>
        </m:f>
        <m:r>
          <m:t>.</m:t>
        </m:r>
      </m:oMath>
      <w:r>
        <w:tab/>
      </w:r>
      <w:r>
        <w:rPr>
          <w:rFonts w:ascii="Times New Roman" w:hAnsi="Times New Roman" w:cs="Times New Roman" w:eastAsia="宋体"/>
          <w:sz w:val="21"/>
        </w:rPr>
        <w:t>（2-1）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sSub>
          <m:sSubPr/>
          <m:e>
            <m:r>
              <m:t>ℬ</m:t>
            </m:r>
          </m:e>
          <m:sub>
            <m:r>
              <m:t>s</m:t>
            </m:r>
          </m:sub>
        </m:sSub>
        <m: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pPr>
      <w:r>
        <w:rPr>
          <w:rFonts w:ascii="Times New Roman" w:hAnsi="Times New Roman" w:cs="Times New Roman" w:eastAsia="宋体"/>
          <w:b w:val="0"/>
          <w:sz w:val="24"/>
        </w:rPr>
        <w:t>如图2-1所示，原始会话记录依次转换为模型输入张量。节点清单、归一化统计量和事件规则均在训练集或验证集边界内确定，测试集仅用于冻结配置下的最终评价。数据来源、时间跨度和关键审计结果汇总于表2-1。</w:t>
      </w:r>
    </w:p>
    <w:p>
      <w:pPr>
        <w:spacing w:before="60" w:after="60" w:line="240" w:lineRule="auto"/>
        <w:ind w:firstLine="0"/>
        <w:jc w:val="center"/>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 数据重构与数据划分流程</w:t>
      </w:r>
    </w:p>
    <w:p>
      <w:pPr>
        <w:spacing w:before="0" w:after="0" w:line="300" w:lineRule="auto"/>
        <w:ind w:firstLine="480"/>
        <w:jc w:val="both"/>
      </w:pPr>
      <w:r>
        <w:rPr>
          <w:rFonts w:ascii="Times New Roman" w:hAnsi="Times New Roman" w:cs="Times New Roman" w:eastAsia="宋体"/>
          <w:b w:val="0"/>
          <w:sz w:val="18"/>
        </w:rPr>
        <w:t>注：原始数据为31,424条ACN-Data充电会话记录；会话总交付电量在接入至断开时段覆盖的15 min时间片内均匀分配，形成节点代理负荷。节点筛选、归一化参数和事件规则分别由训练期或验证期数据确定，测试集不参与这些对象的拟合。本图为处理流程示意，不表示在线电表功率测量。</w:t>
      </w:r>
    </w:p>
    <w:p>
      <w:pPr>
        <w:spacing w:before="60" w:after="60" w:line="240" w:lineRule="auto"/>
        <w:ind w:firstLine="0"/>
        <w:jc w:val="center"/>
      </w:pPr>
      <w:r>
        <w:rPr>
          <w:rFonts w:ascii="Times New Roman" w:hAnsi="Times New Roman" w:cs="Times New Roman" w:eastAsia="黑体"/>
          <w:b w:val="0"/>
          <w:sz w:val="21"/>
        </w:rPr>
        <w:t>表2-1 原始数据形态与审计结果</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审计结果</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口径说明</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数据形态</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ACN-Data中siteID=2的充电会话记录</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非在线电表功率序列；原始归档SHA-256已记录</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原始记录数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31,424条</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共11个字段</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候选节点数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55个</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统一以spaceID标识</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原始接入时间范围</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2018-04-25 11:08:04—2021-09-14 01:52:37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最晚断开时间为2021-09-14 03:05:10</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重构时间网格</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2018-04-25 11:00—2021-09-14 03:15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共118,818个时间步</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采样间隔</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15 min</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118,817个相邻间隔均一致</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节点代理负荷单位</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kWh/15 min</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表示时间片分摊电量，不是瞬时功率</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标识映射</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stationID=EVSEID，且与spaceID一一对应</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三者均为设备标识；场站字段为siteID</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时间字段解析</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接入、断开各31,424条；充电完成29,369条</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重构使用接入、断开与总交付电量</w:t>
            </w:r>
          </w:p>
        </w:tc>
      </w:tr>
    </w:tbl>
    <w:p>
      <w:pPr>
        <w:spacing w:before="0" w:after="0" w:line="300" w:lineRule="auto"/>
        <w:ind w:firstLine="480"/>
        <w:jc w:val="both"/>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pPr>
      <w:r>
        <w:rPr>
          <w:rFonts w:ascii="Times New Roman" w:hAnsi="Times New Roman" w:cs="Times New Roman" w:eastAsia="宋体"/>
          <w:b w:val="0"/>
          <w:sz w:val="24"/>
        </w:rPr>
        <w:t>本文同时保留两套有明确边界的数据协议，二者回答的问题不同，不能把测试误差直接拼接为同一条性能曲线。旧主实验采用SG-DATA-005-primary-tensor和登记号SG-EXP-002～SG-EXP-018，其目标是：在固定节点、固定时间切分和统一预测键上，比较已执行模型与诊断配置在“事后重构节点代理负荷”上的相对表现。该协议的历史窗口包含由会话最终交付电量和断开时间均匀分摊形成的代理负荷，因此属于离线回溯性比较，不等同于预测时刻已经可获得的在线功率输入。</w:t>
      </w:r>
    </w:p>
    <w:p>
      <w:pPr>
        <w:spacing w:before="0" w:after="0" w:line="300" w:lineRule="auto"/>
        <w:ind w:firstLine="480"/>
        <w:jc w:val="both"/>
      </w:pPr>
      <w:r>
        <w:rPr>
          <w:rFonts w:ascii="Times New Roman" w:hAnsi="Times New Roman" w:cs="Times New Roman" w:eastAsia="宋体"/>
          <w:b w:val="0"/>
          <w:sz w:val="24"/>
        </w:rPr>
        <w:t>针对这一边界，数据核验阶段另行冻结了SG-DATA-006-eventtime-v1（登记号SG-EXP-019）。新协议在预测原点只使用已发生的接入、离站、活跃计数和日历编码，删除旧代理负荷及其派生的需求强度、占用率和负荷跳变输入；目标仍暂时保留事后会话能量代理，用于回答“在更严格的行为可见输入下，原任务结论是否保持方向一致”。新协议不是对旧主结果的覆盖，也不是实测功率验证，必须由新适配器重新训练并在独立结果表中报告。</w:t>
      </w:r>
    </w:p>
    <w:p>
      <w:pPr>
        <w:spacing w:before="0" w:after="0" w:line="300" w:lineRule="auto"/>
        <w:ind w:firstLine="480"/>
        <w:jc w:val="both"/>
      </w:pPr>
      <w:r>
        <w:rPr>
          <w:rFonts w:ascii="Times New Roman" w:hAnsi="Times New Roman" w:cs="Times New Roman" w:eastAsia="宋体"/>
          <w:b w:val="0"/>
          <w:sz w:val="24"/>
        </w:rPr>
        <w:t>核验表明，旧测试预测原点×节点中约12.06%可能受到尚未结束会话最终字段回流影响，至少一个节点受影响的预测原点约占52.33%。这一比例是输入可见性风险的暴露统计，不是对MAE乐观偏差的估计；本文因此不把旧结果表述为在线部署性能。两套协议的输入契约、目标定义和可回答问题见下方协议对照表，协议文件、来源哈希和独立验证产物分别归档于docs/thesis/SG-DATA-006-visibility-audit-and-protocol.md和outputs/visibility/。</w:t>
      </w:r>
    </w:p>
    <w:p>
      <w:pPr>
        <w:spacing w:before="60" w:after="60" w:line="240" w:lineRule="auto"/>
        <w:ind w:firstLine="0"/>
        <w:jc w:val="center"/>
      </w:pPr>
      <w:r>
        <w:rPr>
          <w:rFonts w:ascii="Times New Roman" w:hAnsi="Times New Roman" w:cs="Times New Roman" w:eastAsia="黑体"/>
          <w:b w:val="0"/>
          <w:sz w:val="21"/>
        </w:rPr>
        <w:t>数据协议回答范围表</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协议</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预测时输入</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目标与评价</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主要回答的问题</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不支持的结论</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SG-DATA-005旧主实验</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旧代理负荷及其派生通道、行为通道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事后重构代理负荷；统一测试键</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在同一离线回溯口径下，MRG-GCN相对时间和图基线的表现及机制诊断</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在线可执行精度、实测功率等价性</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SG-DATA-006-eventtime-v1</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接入、离站、活跃计数及当地日历编码</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仍为事后代理目标；严格按事件时刻切分</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更严格可见行为输入下的稳健性与协议敏感性</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与旧MAE直接合并、证明无泄漏或证明实测部署性能</w:t>
            </w:r>
          </w:p>
        </w:tc>
      </w:tr>
    </w:tbl>
    <w:p>
      <w:pPr>
        <w:spacing w:before="360" w:after="240" w:line="360" w:lineRule="auto"/>
        <w:ind w:firstLine="0"/>
        <w:jc w:val="both"/>
        <w:outlineLvl w:val="1"/>
      </w:pPr>
      <w:r>
        <w:rPr>
          <w:rFonts w:ascii="Times New Roman" w:hAnsi="Times New Roman" w:cs="Times New Roman" w:eastAsia="黑体"/>
          <w:b/>
          <w:sz w:val="30"/>
        </w:rPr>
        <w:t>2.2 节点可用性筛选与质量门禁</w:t>
      </w:r>
    </w:p>
    <w:p>
      <w:pPr>
        <w:spacing w:before="0" w:after="0" w:line="300" w:lineRule="auto"/>
        <w:ind w:firstLine="480"/>
        <w:jc w:val="both"/>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pPr>
      <w:r>
        <w:rPr>
          <w:rFonts w:ascii="Times New Roman" w:hAnsi="Times New Roman" w:cs="Times New Roman" w:eastAsia="宋体"/>
          <w:b w:val="0"/>
          <w:sz w:val="24"/>
        </w:rPr>
        <w:t>节点筛选从会话活跃度、时间覆盖和负荷稳定性三个方面设置六项条件，具体门槛见表2-2。主分析门槛要求训练期接入事件不少于100次、验证期不少于10次，训练期非零负荷时间片不少于200片，训练期和验证期活跃月份比例均不低于0.50，且训练期月度能量变异系数不高于2.5。敏感性分析使用较宽松但同样冻结的门槛，以检验结论对节点覆盖范围的依赖。按主分析门槛，验证期接入事件数和活跃月份比例分别使44个和42个候选节点未通过，是节点减少的主要原因；训练期各条件造成的未通过数量相对较少。</w:t>
      </w:r>
    </w:p>
    <w:p>
      <w:pPr>
        <w:spacing w:before="60" w:after="60" w:line="240" w:lineRule="auto"/>
        <w:ind w:firstLine="0"/>
        <w:jc w:val="center"/>
      </w:pPr>
      <w:r>
        <w:rPr>
          <w:rFonts w:ascii="Times New Roman" w:hAnsi="Times New Roman" w:cs="Times New Roman" w:eastAsia="黑体"/>
          <w:b w:val="0"/>
          <w:sz w:val="21"/>
        </w:rPr>
        <w:t>表2-2 节点筛选门槛及主分析条件下的未通过数量</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筛选条件</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主分析门槛</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敏感性门槛</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主分析条件下未通过节点数</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训练期接入事件数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验证期接入事件数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训练期非零负荷时间片数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≥200片</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≥80片</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训练期活跃月份比例</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验证期活跃月份比例</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训练期月度能量变异系数</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≤2.5</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≤3.5</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bl>
    <w:p>
      <w:pPr>
        <w:spacing w:before="0" w:after="0" w:line="300" w:lineRule="auto"/>
        <w:ind w:firstLine="480"/>
        <w:jc w:val="both"/>
      </w:pPr>
      <w:r>
        <w:rPr>
          <w:rFonts w:ascii="Times New Roman" w:hAnsi="Times New Roman" w:cs="Times New Roman" w:eastAsia="宋体"/>
          <w:b w:val="0"/>
          <w:sz w:val="24"/>
        </w:rPr>
        <w:t>六项条件联合筛选后，55个候选节点中有10个进入主分析集合，且均可在测试期评价；敏感性分析集合包含15个节点，其中14个在测试期可评价。敏感性集合与主分析集合部分重合，另有5个节点仅进入敏感性集合。图2-2展示各候选节点在训练、验证和测试阶段的活跃月份比例以及筛选归属。图中测试期覆盖情况仅用于描述冻结节点集合的后续可评价性，并未反向参与筛选。</w:t>
      </w:r>
    </w:p>
    <w:p>
      <w:pPr>
        <w:spacing w:before="60" w:after="60" w:line="240" w:lineRule="auto"/>
        <w:ind w:firstLine="0"/>
        <w:jc w:val="center"/>
      </w:pPr>
      <w:r>
        <w:drawing>
          <wp:inline xmlns:a="http://schemas.openxmlformats.org/drawingml/2006/main" xmlns:pic="http://schemas.openxmlformats.org/drawingml/2006/picture">
            <wp:extent cx="5112000" cy="3004149"/>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3"/>
                    <a:stretch>
                      <a:fillRect/>
                    </a:stretch>
                  </pic:blipFill>
                  <pic:spPr>
                    <a:xfrm>
                      <a:off x="0" y="0"/>
                      <a:ext cx="5112000" cy="30041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图2-2 候选节点覆盖率与筛选结果</w:t>
      </w:r>
    </w:p>
    <w:p>
      <w:pPr>
        <w:spacing w:before="0" w:after="0" w:line="300" w:lineRule="auto"/>
        <w:ind w:firstLine="480"/>
        <w:jc w:val="both"/>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pPr>
      <w:r>
        <w:rPr>
          <w:rFonts w:ascii="Times New Roman" w:hAnsi="Times New Roman" w:cs="Times New Roman" w:eastAsia="黑体"/>
          <w:b/>
          <w:sz w:val="30"/>
        </w:rPr>
        <w:t>2.3 节点负荷统计特征</w:t>
      </w:r>
    </w:p>
    <w:p>
      <w:pPr>
        <w:spacing w:before="0" w:after="0" w:line="300" w:lineRule="auto"/>
        <w:ind w:firstLine="480"/>
        <w:jc w:val="both"/>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4"/>
                    <a:stretch>
                      <a:fillRect/>
                    </a:stretch>
                  </pic:blipFill>
                  <pic:spPr>
                    <a:xfrm>
                      <a:off x="0" y="0"/>
                      <a:ext cx="5112000" cy="23921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图2-3 连续四周节点负荷热力图</w:t>
      </w:r>
    </w:p>
    <w:p>
      <w:pPr>
        <w:spacing w:before="0" w:after="0" w:line="300" w:lineRule="auto"/>
        <w:ind w:firstLine="480"/>
        <w:jc w:val="both"/>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65"/>
                    <a:stretch>
                      <a:fillRect/>
                    </a:stretch>
                  </pic:blipFill>
                  <pic:spPr>
                    <a:xfrm>
                      <a:off x="0" y="0"/>
                      <a:ext cx="5112000" cy="241193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图2-4 代表性节点代理负荷的自相关函数</w:t>
      </w:r>
    </w:p>
    <w:p>
      <w:pPr>
        <w:spacing w:before="0" w:after="0" w:line="300" w:lineRule="auto"/>
        <w:ind w:firstLine="480"/>
        <w:jc w:val="both"/>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pPr>
      <w:r>
        <w:rPr>
          <w:rFonts w:ascii="Times New Roman" w:hAnsi="Times New Roman" w:cs="Times New Roman" w:eastAsia="宋体"/>
          <w:b w:val="0"/>
          <w:sz w:val="24"/>
        </w:rPr>
        <w:t>由表2-3可见，节点间存在明显异质性。CA-303的均值为0.1323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spacing w:before="60" w:after="60" w:line="240" w:lineRule="auto"/>
        <w:ind w:firstLine="0"/>
        <w:jc w:val="center"/>
      </w:pPr>
      <w:r>
        <w:rPr>
          <w:rFonts w:ascii="Times New Roman" w:hAnsi="Times New Roman" w:cs="Times New Roman" w:eastAsia="黑体"/>
          <w:b w:val="0"/>
          <w:sz w:val="21"/>
        </w:rPr>
        <w:t>表2-3 主分析节点代理负荷统计</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非零率/%</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最大值/(kWh/15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标准差/(kWh/15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峰均比</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0.1323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31.45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0.2885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0.0650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15.84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0.2188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42.2</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0.1078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2.849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0.2585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0.0798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19.09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2.663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33.4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0.2059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44.4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0.0684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0.1968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41.0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0.2071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17.89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0.0735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1.761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0.1856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24.0</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0.0629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19.54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2.350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0.1852</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37.3</w:t>
            </w:r>
          </w:p>
        </w:tc>
      </w:tr>
    </w:tbl>
    <w:p>
      <w:pPr>
        <w:spacing w:before="0" w:after="0" w:line="300" w:lineRule="auto"/>
        <w:ind w:firstLine="480"/>
        <w:jc w:val="both"/>
      </w:pPr>
      <w:r>
        <w:rPr>
          <w:rFonts w:ascii="Times New Roman" w:hAnsi="Times New Roman" w:cs="Times New Roman" w:eastAsia="宋体"/>
          <w:b w:val="0"/>
          <w:sz w:val="24"/>
        </w:rPr>
        <w:t>三个代表性节点在日、周滞后位置的自相关系数列于表2-4。</w:t>
      </w:r>
    </w:p>
    <w:p>
      <w:pPr>
        <w:spacing w:before="60" w:after="60" w:line="240" w:lineRule="auto"/>
        <w:ind w:firstLine="0"/>
        <w:jc w:val="center"/>
      </w:pPr>
      <w:r>
        <w:rPr>
          <w:rFonts w:ascii="Times New Roman" w:hAnsi="Times New Roman" w:cs="Times New Roman" w:eastAsia="黑体"/>
          <w:b w:val="0"/>
          <w:sz w:val="21"/>
        </w:rPr>
        <w:t>表2-4 代表性节点日、周滞后自相关系数</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96步（24 h）</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672步（168 h）</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0.189</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0.236</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0.200</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0.273</w:t>
            </w:r>
          </w:p>
        </w:tc>
      </w:tr>
    </w:tbl>
    <w:p>
      <w:pPr>
        <w:spacing w:before="0" w:after="0" w:line="300" w:lineRule="auto"/>
        <w:ind w:firstLine="480"/>
        <w:jc w:val="both"/>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-3共同说明：多数时间片没有充电活动，但发生充电时的幅度和持续模式具有较大差异。</w:t>
      </w:r>
    </w:p>
    <w:p>
      <w:pPr>
        <w:spacing w:before="60" w:after="60" w:line="240" w:lineRule="auto"/>
        <w:ind w:firstLine="0"/>
        <w:jc w:val="center"/>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66"/>
                    <a:stretch>
                      <a:fillRect/>
                    </a:stretch>
                  </pic:blipFill>
                  <pic:spPr>
                    <a:xfrm>
                      <a:off x="0" y="0"/>
                      <a:ext cx="5112000" cy="238208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图2-5 代表性节点典型周负荷曲线</w:t>
      </w:r>
    </w:p>
    <w:p>
      <w:pPr>
        <w:spacing w:before="0" w:after="0" w:line="300" w:lineRule="auto"/>
        <w:ind w:firstLine="480"/>
        <w:jc w:val="both"/>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67"/>
                    <a:stretch>
                      <a:fillRect/>
                    </a:stretch>
                  </pic:blipFill>
                  <pic:spPr>
                    <a:xfrm>
                      <a:off x="0" y="0"/>
                      <a:ext cx="5112000" cy="272166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图2-6 非零节点代理负荷经验分布</w:t>
      </w:r>
    </w:p>
    <w:p>
      <w:pPr>
        <w:spacing w:before="0" w:after="0" w:line="300" w:lineRule="auto"/>
        <w:ind w:firstLine="480"/>
        <w:jc w:val="both"/>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min，纵轴采用对数刻度以展示低频右尾。图中为完整样本的经验频数，不含误差棒；横轴显示范围用于突出主要分布区域，不改变表2-3中的全量最大值统计。</w:t>
      </w:r>
    </w:p>
    <w:p>
      <w:pPr>
        <w:spacing w:before="360" w:after="240" w:line="360" w:lineRule="auto"/>
        <w:ind w:firstLine="0"/>
        <w:jc w:val="both"/>
        <w:outlineLvl w:val="1"/>
      </w:pPr>
      <w:r>
        <w:rPr>
          <w:rFonts w:ascii="Times New Roman" w:hAnsi="Times New Roman" w:cs="Times New Roman" w:eastAsia="黑体"/>
          <w:b/>
          <w:sz w:val="30"/>
        </w:rPr>
        <w:t>2.4 事件分数构成与事件窗口统计</w:t>
      </w:r>
    </w:p>
    <w:p>
      <w:pPr>
        <w:spacing w:before="0" w:after="0" w:line="300" w:lineRule="auto"/>
        <w:ind w:firstLine="480"/>
        <w:jc w:val="both"/>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c</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y</m:t>
        </m:r>
        <m:r>
          <m:t>,</m:t>
        </m:r>
        <m:r>
          <m:t>i</m:t>
        </m:r>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m:t>
            </m:r>
            <m:r>
              <m:t>,</m:t>
            </m:r>
            <m:r>
              <m:t>i</m:t>
            </m:r>
          </m:sub>
        </m:sSub>
        <m:r>
          <m:t>=</m:t>
        </m:r>
        <m:f>
          <m:num>
            <m:sSub>
              <m:sSubPr/>
              <m:e>
                <m:r>
                  <m:t>a</m:t>
                </m:r>
              </m:e>
              <m:sub>
                <m:r>
                  <m:t>t</m:t>
                </m:r>
                <m:r>
                  <m:t>,</m:t>
                </m:r>
                <m:r>
                  <m:t>i</m:t>
                </m:r>
              </m:sub>
            </m:sSub>
          </m:num>
          <m:den>
            <m:r>
              <m:t>max</m:t>
            </m:r>
            <m:r>
              <m:t>⁡</m:t>
            </m:r>
            <m:r>
              <m:t>(</m:t>
            </m:r>
            <m:sSub>
              <m:sSubPr/>
              <m:e>
                <m:r>
                  <m:t>σ</m:t>
                </m:r>
              </m:e>
              <m:sub>
                <m:r>
                  <m:t>a</m:t>
                </m:r>
                <m:r>
                  <m:t>,</m:t>
                </m:r>
                <m:r>
                  <m:t>i</m:t>
                </m:r>
              </m:sub>
            </m:sSub>
            <m:r>
              <m:t>,</m:t>
            </m:r>
            <m:r>
              <m:t>ε</m:t>
            </m:r>
            <m:r>
              <m:t>)</m:t>
            </m:r>
          </m:den>
        </m:f>
        <m:r>
          <m:t>+</m:t>
        </m:r>
        <m:f>
          <m:num>
            <m:sSub>
              <m:sSubPr/>
              <m:e>
                <m:r>
                  <m:t>d</m:t>
                </m:r>
              </m:e>
              <m:sub>
                <m:r>
                  <m:t>t</m:t>
                </m:r>
                <m:r>
                  <m:t>,</m:t>
                </m:r>
                <m:r>
                  <m:t>i</m:t>
                </m:r>
              </m:sub>
            </m:sSub>
          </m:num>
          <m:den>
            <m:r>
              <m:t>max</m:t>
            </m:r>
            <m:r>
              <m:t>⁡</m:t>
            </m:r>
            <m:r>
              <m:t>(</m:t>
            </m:r>
            <m:sSub>
              <m:sSubPr/>
              <m:e>
                <m:r>
                  <m:t>σ</m:t>
                </m:r>
              </m:e>
              <m:sub>
                <m:r>
                  <m:t>d</m:t>
                </m:r>
                <m:r>
                  <m:t>,</m:t>
                </m:r>
                <m:r>
                  <m:t>i</m:t>
                </m:r>
              </m:sub>
            </m:sSub>
            <m:r>
              <m:t>,</m:t>
            </m:r>
            <m:r>
              <m:t>ε</m:t>
            </m:r>
            <m:r>
              <m:t>)</m:t>
            </m:r>
          </m:den>
        </m:f>
        <m:r>
          <m:t>+</m:t>
        </m:r>
        <m:f>
          <m:num>
            <m:r>
              <m:t>|</m:t>
            </m:r>
            <m:sSub>
              <m:sSubPr/>
              <m:e>
                <m:r>
                  <m:t>c</m:t>
                </m:r>
              </m:e>
              <m:sub>
                <m:r>
                  <m:t>t</m:t>
                </m:r>
                <m:r>
                  <m:t>,</m:t>
                </m:r>
                <m:r>
                  <m:t>i</m:t>
                </m:r>
              </m:sub>
            </m:sSub>
            <m:r>
              <m:t>−</m:t>
            </m:r>
            <m:sSub>
              <m:sSubPr/>
              <m:e>
                <m:r>
                  <m:t>c</m:t>
                </m:r>
              </m:e>
              <m:sub>
                <m:r>
                  <m:t>t</m:t>
                </m:r>
                <m:r>
                  <m:t>−</m:t>
                </m:r>
                <m:r>
                  <m:t>1</m:t>
                </m:r>
                <m:r>
                  <m:t>,</m:t>
                </m:r>
                <m:r>
                  <m:t>i</m:t>
                </m:r>
              </m:sub>
            </m:sSub>
            <m:r>
              <m:t>|</m:t>
            </m:r>
          </m:num>
          <m:den>
            <m:r>
              <m:t>max</m:t>
            </m:r>
            <m:r>
              <m:t>⁡</m:t>
            </m:r>
            <m:r>
              <m:t>(</m:t>
            </m:r>
            <m:sSub>
              <m:sSubPr/>
              <m:e>
                <m:r>
                  <m:t>σ</m:t>
                </m:r>
              </m:e>
              <m:sub>
                <m:r>
                  <m:t>Δ</m:t>
                </m:r>
                <m:r>
                  <m:t>c</m:t>
                </m:r>
                <m:r>
                  <m:t>,</m:t>
                </m:r>
                <m:r>
                  <m:t>i</m:t>
                </m:r>
              </m:sub>
            </m:sSub>
            <m:r>
              <m:t>,</m:t>
            </m:r>
            <m:r>
              <m:t>ε</m:t>
            </m:r>
            <m:r>
              <m:t>)</m:t>
            </m:r>
          </m:den>
        </m:f>
        <m:r>
          <m:t>+</m:t>
        </m:r>
        <m:f>
          <m:num>
            <m:r>
              <m:t>|</m:t>
            </m:r>
            <m:sSub>
              <m:sSubPr/>
              <m:e>
                <m:r>
                  <m:t>y</m:t>
                </m:r>
              </m:e>
              <m:sub>
                <m:r>
                  <m:t>t</m:t>
                </m:r>
                <m:r>
                  <m:t>,</m:t>
                </m:r>
                <m:r>
                  <m:t>i</m:t>
                </m:r>
              </m:sub>
            </m:sSub>
            <m:r>
              <m:t>−</m:t>
            </m:r>
            <m:sSub>
              <m:sSubPr/>
              <m:e>
                <m:r>
                  <m:t>y</m:t>
                </m:r>
              </m:e>
              <m:sub>
                <m:r>
                  <m:t>t</m:t>
                </m:r>
                <m:r>
                  <m:t>−</m:t>
                </m:r>
                <m:r>
                  <m:t>1</m:t>
                </m:r>
                <m:r>
                  <m:t>,</m:t>
                </m:r>
                <m:r>
                  <m:t>i</m:t>
                </m:r>
              </m:sub>
            </m:sSub>
            <m:r>
              <m:t>|</m:t>
            </m:r>
          </m:num>
          <m:den>
            <m:r>
              <m:t>max</m:t>
            </m:r>
            <m:r>
              <m:t>⁡</m:t>
            </m:r>
            <m:r>
              <m:t>(</m:t>
            </m:r>
            <m:sSub>
              <m:sSubPr/>
              <m:e>
                <m:r>
                  <m:t>σ</m:t>
                </m:r>
              </m:e>
              <m:sub>
                <m:r>
                  <m:t>Δ</m:t>
                </m:r>
                <m:r>
                  <m:t>y</m:t>
                </m:r>
                <m:r>
                  <m:t>,</m:t>
                </m:r>
                <m:r>
                  <m:t>i</m:t>
                </m:r>
              </m:sub>
            </m:sSub>
            <m:r>
              <m:t>,</m:t>
            </m:r>
            <m:r>
              <m:t>ε</m:t>
            </m:r>
            <m:r>
              <m:t>)</m:t>
            </m:r>
          </m:den>
        </m:f>
        <m:r>
          <m:t>,</m:t>
        </m:r>
      </m:oMath>
      <w:r>
        <w:tab/>
      </w:r>
      <w:r>
        <w:rPr>
          <w:rFonts w:ascii="Times New Roman" w:hAnsi="Times New Roman" w:cs="Times New Roman" w:eastAsia="宋体"/>
          <w:sz w:val="21"/>
        </w:rPr>
        <w:t>（2-2）</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6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pPr>
      <w:r>
        <w:rPr>
          <w:rFonts w:ascii="Times New Roman" w:hAnsi="Times New Roman" w:cs="Times New Roman" w:eastAsia="宋体"/>
          <w:b w:val="0"/>
          <w:sz w:val="24"/>
        </w:rPr>
        <w:t>标签事件时间步的日内分布见图2-8，可见事件并非在一天内均匀出现。图2-9进一步展示冻结规则事件窗口中四个标准化分量的节点平均贡献；由于规则分数是各分量的非负加和，该图用于描述规则窗口内可见行为的构成，不表示分量对预测误差的因果贡献。</w:t>
      </w:r>
    </w:p>
    <w:p>
      <w:pPr>
        <w:spacing w:before="60" w:after="60" w:line="240" w:lineRule="auto"/>
        <w:ind w:firstLine="0"/>
        <w:jc w:val="center"/>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69"/>
                    <a:stretch>
                      <a:fillRect/>
                    </a:stretch>
                  </pic:blipFill>
                  <pic:spPr>
                    <a:xfrm>
                      <a:off x="0" y="0"/>
                      <a:ext cx="5112000" cy="259881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图2-8 标签事件时间步的日内分布</w:t>
      </w:r>
    </w:p>
    <w:p>
      <w:pPr>
        <w:spacing w:before="0" w:after="0" w:line="300" w:lineRule="auto"/>
        <w:ind w:firstLine="480"/>
        <w:jc w:val="both"/>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pPr>
      <w:r>
        <w:drawing>
          <wp:inline xmlns:a="http://schemas.openxmlformats.org/drawingml/2006/main" xmlns:pic="http://schemas.openxmlformats.org/drawingml/2006/picture">
            <wp:extent cx="5112000" cy="256117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0"/>
                    <a:stretch>
                      <a:fillRect/>
                    </a:stretch>
                  </pic:blipFill>
                  <pic:spPr>
                    <a:xfrm>
                      <a:off x="0" y="0"/>
                      <a:ext cx="5112000" cy="25611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图2-9 冻结规则事件窗口的分量构成</w:t>
      </w:r>
    </w:p>
    <w:p>
      <w:pPr>
        <w:spacing w:before="0" w:after="0" w:line="300" w:lineRule="auto"/>
        <w:ind w:firstLine="480"/>
        <w:jc w:val="both"/>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H</m:t>
        </m:r>
        <m:r>
          <m:t>,</m:t>
        </m:r>
        <m:r>
          <m:t>N</m:t>
        </m:r>
        <m: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N</m:t>
        </m:r>
        <m: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1"/>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pPr>
      <w:r>
        <w:rPr>
          <w:rFonts w:ascii="Times New Roman" w:hAnsi="Times New Roman" w:cs="Times New Roman" w:eastAsia="宋体"/>
          <w:b w:val="0"/>
          <w:sz w:val="18"/>
        </w:rPr>
        <w:t>注：target_event用于事后分层评价，rule_trigger用于冻结规则路由；两者共同定义四格诊断。原始张量分别为[S,H,N]与[S,N]，后者广播到预测步后，两项比例1.43%和0.43%均以712,360个测试预测键为分母。两者定义和信息时点不同，不能将目标侧标签用于预测时路由。</w:t>
      </w:r>
    </w:p>
    <w:p>
      <w:pPr>
        <w:spacing w:before="0" w:after="0" w:line="300" w:lineRule="auto"/>
        <w:ind w:firstLine="480"/>
        <w:jc w:val="both"/>
      </w:pPr>
      <w:r>
        <w:rPr>
          <w:rFonts w:ascii="Times New Roman" w:hAnsi="Times New Roman" w:cs="Times New Roman" w:eastAsia="宋体"/>
          <w:b w:val="0"/>
          <w:sz w:val="24"/>
        </w:rPr>
        <w:t>逐节点验证统计见表2-5。验证集非零事件分数占比为0.20%～1.06%，冻结阈值为18.9～32.5；原始触发点占节点时间片的0.011%～0.056%，向未来扩展后占0.034%～0.168%。在测试集上，规则共产生254个连续窗口，其中253个长度为3个时间片，1个因相邻触发合并为6个时间片。</w:t>
      </w:r>
    </w:p>
    <w:p>
      <w:pPr>
        <w:spacing w:before="60" w:after="60" w:line="240" w:lineRule="auto"/>
        <w:ind w:firstLine="0"/>
        <w:jc w:val="center"/>
      </w:pPr>
      <w:r>
        <w:rPr>
          <w:rFonts w:ascii="Times New Roman" w:hAnsi="Times New Roman" w:cs="Times New Roman" w:eastAsia="黑体"/>
          <w:b w:val="0"/>
          <w:sz w:val="21"/>
        </w:rPr>
        <w:t>表2-5 逐节点冻结规则事件统计</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验证集非零分数占比/%</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冻结阈值</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验证集触发点占比/%</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验证集前向窗口占比/%</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0.82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0.067</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25.5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0.79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0.168</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0.168</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0.44</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24.5</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0.022</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0.067</w:t>
            </w:r>
          </w:p>
        </w:tc>
      </w:tr>
    </w:tbl>
    <w:p>
      <w:pPr>
        <w:spacing w:before="0" w:after="0" w:line="300" w:lineRule="auto"/>
        <w:ind w:firstLine="480"/>
        <w:jc w:val="both"/>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pPr>
      <w:r>
        <w:rPr>
          <w:rFonts w:ascii="Times New Roman" w:hAnsi="Times New Roman" w:cs="Times New Roman" w:eastAsia="黑体"/>
          <w:b/>
          <w:sz w:val="30"/>
        </w:rPr>
        <w:t>2.5 特征构成与输入结构</w:t>
      </w:r>
    </w:p>
    <w:p>
      <w:pPr>
        <w:spacing w:before="0" w:after="0" w:line="300" w:lineRule="auto"/>
        <w:ind w:firstLine="480"/>
        <w:jc w:val="both"/>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-6。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spacing w:before="60" w:after="60" w:line="240" w:lineRule="auto"/>
        <w:ind w:firstLine="0"/>
        <w:jc w:val="center"/>
      </w:pPr>
      <w:r>
        <w:rPr>
          <w:rFonts w:ascii="Times New Roman" w:hAnsi="Times New Roman" w:cs="Times New Roman" w:eastAsia="黑体"/>
          <w:b w:val="0"/>
          <w:sz w:val="21"/>
        </w:rPr>
        <w:t>表2-6 输入特征的全量描述性统计</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特征</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含义</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最大值</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load</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节点代理负荷</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access_count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新接入会话数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0.933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departure_count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离站会话数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0.933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active_count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活跃会话数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0.2164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occupancy_rate</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占用率</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demand_intensity</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需求强度</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2.9671</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load_jump_flag</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负荷突变标志</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0.0014</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r>
    </w:tbl>
    <w:p>
      <w:pPr>
        <w:spacing w:before="0" w:after="0" w:line="300" w:lineRule="auto"/>
        <w:ind w:firstLine="480"/>
        <w:jc w:val="both"/>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2"/>
                    <a:stretch>
                      <a:fillRect/>
                    </a:stretch>
                  </pic:blipFill>
                  <pic:spPr>
                    <a:xfrm>
                      <a:off x="0" y="0"/>
                      <a:ext cx="5112000" cy="4294347"/>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图2-11 输入特征Spearman秩相关矩阵</w:t>
      </w:r>
    </w:p>
    <w:p>
      <w:pPr>
        <w:spacing w:before="0" w:after="0" w:line="300" w:lineRule="auto"/>
        <w:ind w:firstLine="480"/>
        <w:jc w:val="both"/>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3"/>
                    <a:stretch>
                      <a:fillRect/>
                    </a:stretch>
                  </pic:blipFill>
                  <pic:spPr>
                    <a:xfrm>
                      <a:off x="0" y="0"/>
                      <a:ext cx="5112000" cy="246346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96</m:t>
        </m:r>
        <m:r>
          <m:t>×</m:t>
        </m:r>
        <m:r>
          <m:t>10</m:t>
        </m:r>
        <m:r>
          <m:t>×</m:t>
        </m:r>
        <m: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4</m:t>
        </m:r>
        <m:r>
          <m:t>×</m:t>
        </m:r>
        <m: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pPr>
      <w:r>
        <w:rPr>
          <w:rFonts w:ascii="Times New Roman" w:hAnsi="Times New Roman" w:cs="Times New Roman" w:eastAsia="黑体"/>
          <w:b/>
          <w:sz w:val="30"/>
        </w:rPr>
        <w:t>2.6 数据特征对建模的启示</w:t>
      </w:r>
    </w:p>
    <w:p>
      <w:pPr>
        <w:spacing w:before="0" w:after="0" w:line="300" w:lineRule="auto"/>
        <w:ind w:firstLine="480"/>
        <w:jc w:val="both"/>
      </w:pPr>
      <w:r>
        <w:rPr>
          <w:rFonts w:ascii="Times New Roman" w:hAnsi="Times New Roman" w:cs="Times New Roman" w:eastAsia="宋体"/>
          <w:b w:val="0"/>
          <w:sz w:val="24"/>
        </w:rPr>
        <w:t>本章的数据审计与统计分析对后续方法设计形成以下约束。</w:t>
      </w:r>
    </w:p>
    <w:p>
      <w:pPr>
        <w:spacing w:before="0" w:after="0" w:line="300" w:lineRule="auto"/>
        <w:ind w:firstLine="480"/>
        <w:jc w:val="both"/>
      </w:pPr>
      <w:r>
        <w:rPr>
          <w:rFonts w:ascii="Times New Roman" w:hAnsi="Times New Roman" w:cs="Times New Roman" w:eastAsia="宋体"/>
          <w:b w:val="0"/>
          <w:sz w:val="24"/>
        </w:rPr>
        <w:t>第一，节点代理负荷大量为零且非零部分具有长尾，单一相对误差指标容易受到零分母影响。因此，第3章以MAE和RMSE作为主要绝对误差指标，并辅以WAPE刻画总体相对偏差，不将MAPE作为主指标；第3章报告事件、稳定和非零负荷分层，第4章再以目标侧标签事件和冻结规则触发构造四格，以免全局平均值掩盖低频高误差区域。</w:t>
      </w:r>
    </w:p>
    <w:p>
      <w:pPr>
        <w:spacing w:before="0" w:after="0" w:line="300" w:lineRule="auto"/>
        <w:ind w:firstLine="480"/>
        <w:jc w:val="both"/>
      </w:pPr>
      <w:r>
        <w:rPr>
          <w:rFonts w:ascii="Times New Roman" w:hAnsi="Times New Roman" w:cs="Times New Roman" w:eastAsia="宋体"/>
          <w:b w:val="0"/>
          <w:sz w:val="24"/>
        </w:rPr>
        <w:t>第二，节点活跃度、幅值和周期依赖存在明显差异，同时站内节点共享相同时间环境并呈现多种统计联系。这为第3章分别从负荷耦合、行为共现和轮廓相似三个角度构建关系图提供了数据动机。上述关系属于训练期统计结构，其有效性仍需通过统一预测协议和消融实验检验，不能由本章的描述性相关直接推出。</w:t>
      </w:r>
    </w:p>
    <w:p>
      <w:pPr>
        <w:spacing w:before="0" w:after="0" w:line="300" w:lineRule="auto"/>
        <w:ind w:firstLine="480"/>
        <w:jc w:val="both"/>
      </w:pPr>
      <w:r>
        <w:rPr>
          <w:rFonts w:ascii="Times New Roman" w:hAnsi="Times New Roman" w:cs="Times New Roman" w:eastAsia="宋体"/>
          <w:b w:val="0"/>
          <w:sz w:val="24"/>
        </w:rPr>
        <w:t>第三，目标侧标签事件占测试预测键的1.43%，冻结规则触发仅占0.43%，说明事件既稀少，又存在“标签发生”与“可见规则触发”的错位。本文据此在第4章使用四格诊断区分两种口径，在第5章探索冻结规则路由下的分层共形预测，并把标签事件分层仅作为预测时不可用的事后参照。该统计事实并不预先保证事件特征或规则路由能够降低点预测误差，也不把未来标签作为预测输入。</w:t>
      </w:r>
    </w:p>
    <w:p>
      <w:pPr>
        <w:spacing w:before="0" w:after="0" w:line="300" w:lineRule="auto"/>
        <w:ind w:firstLine="480"/>
        <w:jc w:val="both"/>
      </w:pPr>
      <w:r>
        <w:rPr>
          <w:rFonts w:ascii="Times New Roman" w:hAnsi="Times New Roman" w:cs="Times New Roman" w:eastAsia="宋体"/>
          <w:b w:val="0"/>
          <w:sz w:val="24"/>
        </w:rPr>
        <w:t>第四，输入特征中既有高度相关的状态表征，也有非零率低于1%的行为变化信号。因此，后续模型保留完整7维输入以维持统一实验口径，并通过结构消融、门控参数干预和机制诊断判断模型如何使用这些信息，而不依据单次相关分析提前删除特征。</w:t>
      </w:r>
    </w:p>
    <w:p>
      <w:pPr>
        <w:spacing w:before="360" w:after="240" w:line="360" w:lineRule="auto"/>
        <w:ind w:firstLine="0"/>
        <w:jc w:val="both"/>
        <w:outlineLvl w:val="1"/>
      </w:pPr>
      <w:r>
        <w:rPr>
          <w:rFonts w:ascii="Times New Roman" w:hAnsi="Times New Roman" w:cs="Times New Roman" w:eastAsia="黑体"/>
          <w:b/>
          <w:sz w:val="30"/>
        </w:rPr>
        <w:t>2.7 本章小结</w:t>
      </w:r>
    </w:p>
    <w:p>
      <w:pPr>
        <w:spacing w:before="0" w:after="0" w:line="300" w:lineRule="auto"/>
        <w:ind w:firstLine="480"/>
        <w:jc w:val="both"/>
      </w:pPr>
      <w:r>
        <w:rPr>
          <w:rFonts w:ascii="Times New Roman" w:hAnsi="Times New Roman" w:cs="Times New Roman" w:eastAsia="宋体"/>
          <w:b w:val="0"/>
          <w:sz w:val="24"/>
        </w:rPr>
        <w:t>本章完成了从原始充电会话记录到节点预测张量的数据链路说明。31,424条会话记录覆盖约3.39年，经15 min规则时间片重构后形成118,818步、55个候选节点的数据。本文将会话总交付电量在接入至断开时段内均匀分摊，所得kWh/15 min变量定义为节点代理负荷，并明确其不同于瞬时功率和电表实测功率。通过只依赖训练期和验证期统计量的六项筛选条件，最终冻结10个主分析节点；时间片、标识、张量、划分和测试边界等9项质量门禁均通过。</w:t>
      </w:r>
    </w:p>
    <w:p>
      <w:pPr>
        <w:spacing w:before="0" w:after="0" w:line="300" w:lineRule="auto"/>
        <w:ind w:firstLine="480"/>
        <w:jc w:val="both"/>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59"/>
          <w:headerReference w:type="even" r:id="rId60"/>
          <w:footerReference w:type="default" r:id="rId61"/>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pPr>
      <w:r>
        <w:rPr>
          <w:rFonts w:ascii="Times New Roman" w:hAnsi="Times New Roman" w:cs="Times New Roman" w:eastAsia="黑体"/>
          <w:b/>
          <w:sz w:val="30"/>
        </w:rPr>
        <w:t>3.1 引言</w:t>
      </w:r>
    </w:p>
    <w:p>
      <w:pPr>
        <w:spacing w:before="0" w:after="0" w:line="300" w:lineRule="auto"/>
        <w:ind w:firstLine="480"/>
        <w:jc w:val="both"/>
      </w:pPr>
      <w:r>
        <w:rPr>
          <w:rFonts w:ascii="Times New Roman" w:hAnsi="Times New Roman" w:cs="Times New Roman" w:eastAsia="宋体"/>
          <w:b w:val="0"/>
          <w:sz w:val="24"/>
        </w:rPr>
        <w:t>第2章表明，节点代理负荷具有稀疏、周期依赖和节点异质性，站内节点之间还存在多种统计联系。单节点时序模型能够利用历史变化，却不能直接聚合其他节点的信息；单一关系图又难以同时表达负荷耦合、行为共现和轮廓相似。为此，本章构建负荷—行为—轮廓关系编码（load–event–pattern relation encoding，LRE），并在此基础上提出多关系门控图卷积网络（multi-relational gated graph convolutional network，MRG-GCN）。模型先用时间卷积网络提取逐节点历史表征，再以关系级权重和节点级门控完成两层图传播，最后融合纯时序、一阶空间和二阶空间特征，输出未来1 h的节点负荷。</w:t>
      </w:r>
    </w:p>
    <w:p>
      <w:pPr>
        <w:spacing w:before="0" w:after="0" w:line="300" w:lineRule="auto"/>
        <w:ind w:firstLine="480"/>
        <w:jc w:val="both"/>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77"/>
                    <a:stretch>
                      <a:fillRect/>
                    </a:stretch>
                  </pic:blipFill>
                  <pic:spPr>
                    <a:xfrm>
                      <a:off x="0" y="0"/>
                      <a:ext cx="5112000" cy="6816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 MRG-GCN整体架构</w:t>
      </w:r>
    </w:p>
    <w:p>
      <w:pPr>
        <w:spacing w:before="0" w:after="0" w:line="300" w:lineRule="auto"/>
        <w:ind w:firstLine="480"/>
        <w:jc w:val="both"/>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7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图3-2 多关系门控传播单元</w:t>
      </w:r>
    </w:p>
    <w:p>
      <w:pPr>
        <w:spacing w:before="0" w:after="0" w:line="300" w:lineRule="auto"/>
        <w:ind w:firstLine="480"/>
        <w:jc w:val="both"/>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w:t>
      </w:r>
    </w:p>
    <w:p>
      <w:pPr>
        <w:spacing w:before="60" w:after="60" w:line="240" w:lineRule="auto"/>
        <w:ind w:firstLine="0"/>
        <w:jc w:val="center"/>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79"/>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图3-3 时间编码与跨层融合预测结构</w:t>
      </w:r>
    </w:p>
    <w:p>
      <w:pPr>
        <w:spacing w:before="0" w:after="0" w:line="300" w:lineRule="auto"/>
        <w:ind w:firstLine="480"/>
        <w:jc w:val="both"/>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仅作为第二层传播输入。</w:t>
      </w:r>
    </w:p>
    <w:p>
      <w:pPr>
        <w:spacing w:before="360" w:after="240" w:line="360" w:lineRule="auto"/>
        <w:ind w:firstLine="0"/>
        <w:jc w:val="both"/>
        <w:outlineLvl w:val="1"/>
      </w:pPr>
      <w:r>
        <w:rPr>
          <w:rFonts w:ascii="Times New Roman" w:hAnsi="Times New Roman" w:cs="Times New Roman" w:eastAsia="黑体"/>
          <w:b/>
          <w:sz w:val="30"/>
        </w:rPr>
        <w:t>3.2 预测任务形式化定义</w:t>
      </w:r>
    </w:p>
    <w:p>
      <w:pPr>
        <w:spacing w:before="0" w:after="0" w:line="300" w:lineRule="auto"/>
        <w:ind w:firstLine="480"/>
        <w:jc w:val="both"/>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𝒱</m:t>
        </m:r>
        <m:r>
          <m:t>=</m:t>
        </m:r>
        <m:r>
          <m:t>{</m:t>
        </m:r>
        <m:sSub>
          <m:sSubPr/>
          <m:e>
            <m:r>
              <m:t>v</m:t>
            </m:r>
          </m:e>
          <m:sub>
            <m:r>
              <m:t>1</m:t>
            </m:r>
          </m:sub>
        </m:sSub>
        <m:r>
          <m:t>,</m:t>
        </m:r>
        <m:r>
          <m:t>…</m:t>
        </m:r>
        <m:r>
          <m:t>,</m:t>
        </m:r>
        <m:sSub>
          <m:sSubPr/>
          <m:e>
            <m:r>
              <m:t>v</m:t>
            </m:r>
          </m:e>
          <m:sub>
            <m:r>
              <m:t>N</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m:t>
        </m:r>
        <m: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𝐗</m:t>
            </m:r>
          </m:e>
          <m:sub>
            <m:r>
              <m:t>o</m:t>
            </m:r>
          </m:sub>
        </m:sSub>
        <m:r>
          <m:t>∈</m:t>
        </m:r>
        <m:sSup>
          <m:sSupPr/>
          <m:e>
            <m:r>
              <m:t>ℝ</m:t>
            </m:r>
          </m:e>
          <m:sup>
            <m:r>
              <m:t>H</m:t>
            </m:r>
            <m:r>
              <m:t>×</m:t>
            </m:r>
            <m:r>
              <m:t>N</m:t>
            </m:r>
            <m:r>
              <m:t>×</m:t>
            </m:r>
            <m:r>
              <m:t>F</m:t>
            </m:r>
          </m:sup>
        </m:sSup>
        <m:r>
          <m:t>,</m:t>
        </m:r>
        <m:r>
          <m:t>H</m:t>
        </m:r>
        <m:r>
          <m:t>=</m:t>
        </m:r>
        <m:r>
          <m:t>96</m:t>
        </m:r>
        <m:r>
          <m:t>,</m:t>
        </m:r>
        <m:r>
          <m:t> </m:t>
        </m:r>
        <m:r>
          <m:t>F</m:t>
        </m:r>
        <m:r>
          <m:t>=</m:t>
        </m:r>
        <m:r>
          <m:t>7</m:t>
        </m:r>
        <m:r>
          <m:t>,</m:t>
        </m:r>
      </m:oMath>
      <w:r>
        <w:tab/>
      </w:r>
      <w:r>
        <w:rPr>
          <w:rFonts w:ascii="Times New Roman" w:hAnsi="Times New Roman" w:cs="Times New Roman" w:eastAsia="宋体"/>
          <w:sz w:val="21"/>
        </w:rPr>
        <w:t>（3-1）</w:t>
      </w:r>
    </w:p>
    <w:p>
      <w:pPr>
        <w:spacing w:before="0" w:after="0" w:line="300" w:lineRule="auto"/>
        <w:ind w:firstLine="480"/>
        <w:jc w:val="both"/>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𝐘</m:t>
            </m:r>
            <m:r>
              <m:t>ˆ</m:t>
            </m:r>
          </m:e>
          <m:sub>
            <m:r>
              <m:t>o</m:t>
            </m:r>
          </m:sub>
        </m:sSub>
        <m:r>
          <m:t>=</m:t>
        </m:r>
        <m:sSub>
          <m:sSubPr/>
          <m:e>
            <m:r>
              <m:t>f</m:t>
            </m:r>
          </m:e>
          <m:sub>
            <m:r>
              <m:t>θ</m:t>
            </m:r>
          </m:sub>
        </m:sSub>
        <m:r>
          <m:t>(</m:t>
        </m:r>
        <m:sSub>
          <m:sSubPr/>
          <m:e>
            <m:r>
              <m:t>𝐗</m:t>
            </m:r>
          </m:e>
          <m:sub>
            <m:r>
              <m:t>o</m:t>
            </m:r>
          </m:sub>
        </m:sSub>
        <m:r>
          <m:t>,</m:t>
        </m:r>
        <m:r>
          <m:t>𝒜</m:t>
        </m:r>
        <m:r>
          <m:t>)</m:t>
        </m:r>
        <m:r>
          <m:t>,</m:t>
        </m:r>
        <m:sSub>
          <m:sSubPr/>
          <m:e>
            <m:r>
              <m:t>𝐘</m:t>
            </m:r>
            <m:r>
              <m:t>ˆ</m:t>
            </m:r>
          </m:e>
          <m:sub>
            <m:r>
              <m:t>o</m:t>
            </m:r>
          </m:sub>
        </m:sSub>
        <m:r>
          <m:t>,</m:t>
        </m:r>
        <m:sSub>
          <m:sSubPr/>
          <m:e>
            <m:r>
              <m:t>𝐘</m:t>
            </m:r>
          </m:e>
          <m:sub>
            <m:r>
              <m:t>o</m:t>
            </m:r>
          </m:sub>
        </m:sSub>
        <m:r>
          <m:t>∈</m:t>
        </m:r>
        <m:sSup>
          <m:sSupPr/>
          <m:e>
            <m:r>
              <m:t>ℝ</m:t>
            </m:r>
          </m:e>
          <m:sup>
            <m:r>
              <m:t>P</m:t>
            </m:r>
            <m:r>
              <m:t>×</m:t>
            </m:r>
            <m:r>
              <m:t>N</m:t>
            </m:r>
          </m:sup>
        </m:sSup>
        <m:r>
          <m:t>,</m:t>
        </m:r>
        <m:r>
          <m:t> </m:t>
        </m:r>
        <m:r>
          <m:t>P</m:t>
        </m:r>
        <m:r>
          <m:t>=</m:t>
        </m:r>
        <m:r>
          <m:t>4</m:t>
        </m:r>
        <m:r>
          <m:t>,</m:t>
        </m:r>
      </m:oMath>
      <w:r>
        <w:tab/>
      </w:r>
      <w:r>
        <w:rPr>
          <w:rFonts w:ascii="Times New Roman" w:hAnsi="Times New Roman" w:cs="Times New Roman" w:eastAsia="宋体"/>
          <w:sz w:val="21"/>
        </w:rPr>
        <w:t>（3-2）</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f</m:t>
            </m:r>
          </m:e>
          <m:sub>
            <m: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pPr>
      <w:r>
        <w:rPr>
          <w:rFonts w:ascii="Times New Roman" w:hAnsi="Times New Roman" w:cs="Times New Roman" w:eastAsia="黑体"/>
          <w:b/>
          <w:sz w:val="30"/>
        </w:rPr>
        <w:t>3.3 场景驱动的LRE三关系图构建</w:t>
      </w:r>
    </w:p>
    <w:p>
      <w:pPr>
        <w:spacing w:before="0" w:after="0" w:line="300" w:lineRule="auto"/>
        <w:ind w:firstLine="480"/>
        <w:jc w:val="both"/>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pPr>
      <w:r>
        <w:drawing>
          <wp:inline xmlns:a="http://schemas.openxmlformats.org/drawingml/2006/main" xmlns:pic="http://schemas.openxmlformats.org/drawingml/2006/picture">
            <wp:extent cx="5112000" cy="3408000"/>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0"/>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图3-4 LRE三关系构建流程</w:t>
      </w:r>
    </w:p>
    <w:p>
      <w:pPr>
        <w:spacing w:before="0" w:after="0" w:line="300" w:lineRule="auto"/>
        <w:ind w:firstLine="480"/>
        <w:jc w:val="both"/>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pPr>
      <w:r>
        <w:rPr>
          <w:rFonts w:ascii="Times New Roman" w:hAnsi="Times New Roman" w:cs="Times New Roman" w:eastAsia="黑体"/>
          <w:b w:val="0"/>
          <w:sz w:val="28"/>
        </w:rPr>
        <w:t>3.3.1 负荷耦合关系图</w:t>
      </w:r>
    </w:p>
    <w:p>
      <w:pPr>
        <w:spacing w:before="0" w:after="0" w:line="300" w:lineRule="auto"/>
        <w:ind w:firstLine="480"/>
        <w:jc w:val="both"/>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𝐥</m:t>
            </m:r>
          </m:e>
          <m:sub>
            <m:r>
              <m:t>i</m:t>
            </m:r>
          </m:sub>
        </m:sSub>
        <m:r>
          <m:t>∈</m:t>
        </m:r>
        <m:sSup>
          <m:sSupPr/>
          <m:e>
            <m:r>
              <m:t>ℝ</m:t>
            </m:r>
          </m:e>
          <m:sup>
            <m: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load</m:t>
            </m:r>
          </m:sup>
        </m:sSubSup>
        <m:r>
          <m:t>=</m:t>
        </m:r>
        <m:r>
          <m:t>|</m:t>
        </m:r>
        <m:f>
          <m:num>
            <m:sSup>
              <m:sSupPr/>
              <m:e>
                <m:r>
                  <m:t>(</m:t>
                </m:r>
                <m:sSub>
                  <m:sSubPr/>
                  <m:e>
                    <m:r>
                      <m:t>𝐥</m:t>
                    </m:r>
                  </m:e>
                  <m:sub>
                    <m:r>
                      <m:t>i</m:t>
                    </m:r>
                  </m:sub>
                </m:sSub>
                <m:r>
                  <m:t>−</m:t>
                </m:r>
                <m:sSub>
                  <m:sSubPr/>
                  <m:e>
                    <m:r>
                      <m:t>l</m:t>
                    </m:r>
                    <m:r>
                      <m:t>‾</m:t>
                    </m:r>
                  </m:e>
                  <m:sub>
                    <m:r>
                      <m:t>i</m:t>
                    </m:r>
                  </m:sub>
                </m:sSub>
                <m:r>
                  <m:t>)</m:t>
                </m:r>
              </m:e>
              <m:sup>
                <m:r>
                  <m:t>𝖳</m:t>
                </m:r>
              </m:sup>
            </m:sSup>
            <m:r>
              <m:t>(</m:t>
            </m:r>
            <m:sSub>
              <m:sSubPr/>
              <m:e>
                <m:r>
                  <m:t>𝐥</m:t>
                </m:r>
              </m:e>
              <m:sub>
                <m:r>
                  <m:t>j</m:t>
                </m:r>
              </m:sub>
            </m:sSub>
            <m:r>
              <m:t>−</m:t>
            </m:r>
            <m:sSub>
              <m:sSubPr/>
              <m:e>
                <m:r>
                  <m:t>l</m:t>
                </m:r>
                <m:r>
                  <m:t>‾</m:t>
                </m:r>
              </m:e>
              <m:sub>
                <m:r>
                  <m:t>j</m:t>
                </m:r>
              </m:sub>
            </m:sSub>
            <m:r>
              <m:t>)</m:t>
            </m:r>
          </m:num>
          <m:den>
            <m:r>
              <m:t>‖</m:t>
            </m:r>
            <m:sSub>
              <m:sSubPr/>
              <m:e>
                <m:r>
                  <m:t>𝐥</m:t>
                </m:r>
              </m:e>
              <m:sub>
                <m:r>
                  <m:t>i</m:t>
                </m:r>
              </m:sub>
            </m:sSub>
            <m:r>
              <m:t>−</m:t>
            </m:r>
            <m:sSub>
              <m:sSubPr/>
              <m:e>
                <m:r>
                  <m:t>l</m:t>
                </m:r>
                <m:r>
                  <m:t>‾</m:t>
                </m:r>
              </m:e>
              <m:sub>
                <m:r>
                  <m:t>i</m:t>
                </m:r>
              </m:sub>
            </m:sSub>
            <m:sSub>
              <m:sSubPr/>
              <m:e>
                <m:r>
                  <m:t>‖</m:t>
                </m:r>
              </m:e>
              <m:sub>
                <m:r>
                  <m:t>2</m:t>
                </m:r>
              </m:sub>
            </m:sSub>
            <m:r>
              <m:t>‖</m:t>
            </m:r>
            <m:sSub>
              <m:sSubPr/>
              <m:e>
                <m:r>
                  <m:t>𝐥</m:t>
                </m:r>
              </m:e>
              <m:sub>
                <m:r>
                  <m:t>j</m:t>
                </m:r>
              </m:sub>
            </m:sSub>
            <m:r>
              <m:t>−</m:t>
            </m:r>
            <m:sSub>
              <m:sSubPr/>
              <m:e>
                <m:r>
                  <m:t>l</m:t>
                </m:r>
                <m:r>
                  <m:t>‾</m:t>
                </m:r>
              </m:e>
              <m:sub>
                <m:r>
                  <m:t>j</m:t>
                </m:r>
              </m:sub>
            </m:sSub>
            <m:sSub>
              <m:sSubPr/>
              <m:e>
                <m:r>
                  <m:t>‖</m:t>
                </m:r>
              </m:e>
              <m:sub>
                <m:r>
                  <m:t>2</m:t>
                </m:r>
              </m:sub>
            </m:sSub>
          </m:den>
        </m:f>
        <m:r>
          <m:t>|</m:t>
        </m:r>
        <m:r>
          <m:t>.</m:t>
        </m:r>
      </m:oMath>
      <w:r>
        <w:tab/>
      </w:r>
      <w:r>
        <w:rPr>
          <w:rFonts w:ascii="Times New Roman" w:hAnsi="Times New Roman" w:cs="Times New Roman" w:eastAsia="宋体"/>
          <w:sz w:val="21"/>
        </w:rPr>
        <w:t>（3-3）</w:t>
      </w:r>
    </w:p>
    <w:p>
      <w:pPr>
        <w:spacing w:before="0" w:after="0" w:line="300" w:lineRule="auto"/>
        <w:ind w:firstLine="480"/>
        <w:jc w:val="both"/>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pPr>
      <w:r>
        <w:rPr>
          <w:rFonts w:ascii="Times New Roman" w:hAnsi="Times New Roman" w:cs="Times New Roman" w:eastAsia="黑体"/>
          <w:b w:val="0"/>
          <w:sz w:val="28"/>
        </w:rPr>
        <w:t>3.3.2 行为共现关系图</w:t>
      </w:r>
    </w:p>
    <w:p>
      <w:pPr>
        <w:spacing w:before="0" w:after="0" w:line="300" w:lineRule="auto"/>
        <w:ind w:firstLine="480"/>
        <w:jc w:val="both"/>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构造行为序列</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𝐛</m:t>
            </m:r>
          </m:e>
          <m:sub>
            <m:r>
              <m:t>i</m:t>
            </m:r>
          </m:sub>
        </m:sSub>
        <m:r>
          <m:t>=</m:t>
        </m:r>
        <m:sSubSup>
          <m:sSubSupPr/>
          <m:e>
            <m:r>
              <m:t>𝐱</m:t>
            </m:r>
          </m:e>
          <m:sub>
            <m:r>
              <m:t>i</m:t>
            </m:r>
          </m:sub>
          <m:sup>
            <m:r>
              <m:t>access</m:t>
            </m:r>
          </m:sup>
        </m:sSubSup>
        <m:r>
          <m:t>+</m:t>
        </m:r>
        <m:sSubSup>
          <m:sSubSupPr/>
          <m:e>
            <m:r>
              <m:t>𝐱</m:t>
            </m:r>
          </m:e>
          <m:sub>
            <m:r>
              <m:t>i</m:t>
            </m:r>
          </m:sub>
          <m:sup>
            <m:r>
              <m:t>departure</m:t>
            </m:r>
          </m:sup>
        </m:sSubSup>
        <m:r>
          <m:t>+</m:t>
        </m:r>
        <m:r>
          <m:t>|</m:t>
        </m:r>
        <m:r>
          <m:t>Δ</m:t>
        </m:r>
        <m:sSubSup>
          <m:sSubSupPr/>
          <m:e>
            <m:r>
              <m:t>𝐱</m:t>
            </m:r>
          </m:e>
          <m:sub>
            <m:r>
              <m:t>i</m:t>
            </m:r>
          </m:sub>
          <m:sup>
            <m:r>
              <m:t>active</m:t>
            </m:r>
          </m:sup>
        </m:sSubSup>
        <m: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event</m:t>
            </m:r>
          </m:sup>
        </m:sSubSup>
        <m:r>
          <m:t>=</m:t>
        </m:r>
        <m:f>
          <m:num>
            <m:sSubSup>
              <m:sSubSupPr/>
              <m:e>
                <m:r>
                  <m:t>𝐛</m:t>
                </m:r>
              </m:e>
              <m:sub>
                <m:r>
                  <m:t>i</m:t>
                </m:r>
              </m:sub>
              <m:sup>
                <m:r>
                  <m:t>𝖳</m:t>
                </m:r>
              </m:sup>
            </m:sSubSup>
            <m:sSub>
              <m:sSubPr/>
              <m:e>
                <m:r>
                  <m:t>𝐛</m:t>
                </m:r>
              </m:e>
              <m:sub>
                <m:r>
                  <m:t>j</m:t>
                </m:r>
              </m:sub>
            </m:sSub>
          </m:num>
          <m:den>
            <m:r>
              <m:t>‖</m:t>
            </m:r>
            <m:sSub>
              <m:sSubPr/>
              <m:e>
                <m:r>
                  <m:t>𝐛</m:t>
                </m:r>
              </m:e>
              <m:sub>
                <m:r>
                  <m:t>i</m:t>
                </m:r>
              </m:sub>
            </m:sSub>
            <m:sSub>
              <m:sSubPr/>
              <m:e>
                <m:r>
                  <m:t>‖</m:t>
                </m:r>
              </m:e>
              <m:sub>
                <m:r>
                  <m:t>2</m:t>
                </m:r>
              </m:sub>
            </m:sSub>
            <m:r>
              <m:t>‖</m:t>
            </m:r>
            <m:sSub>
              <m:sSubPr/>
              <m:e>
                <m:r>
                  <m:t>𝐛</m:t>
                </m:r>
              </m:e>
              <m:sub>
                <m:r>
                  <m:t>j</m:t>
                </m:r>
              </m:sub>
            </m:sSub>
            <m:sSub>
              <m:sSubPr/>
              <m:e>
                <m:r>
                  <m:t>‖</m:t>
                </m:r>
              </m:e>
              <m:sub>
                <m:r>
                  <m:t>2</m:t>
                </m:r>
              </m:sub>
            </m:sSub>
          </m:den>
        </m:f>
        <m:r>
          <m:t>.</m:t>
        </m:r>
      </m:oMath>
      <w:r>
        <w:tab/>
      </w:r>
      <w:r>
        <w:rPr>
          <w:rFonts w:ascii="Times New Roman" w:hAnsi="Times New Roman" w:cs="Times New Roman" w:eastAsia="宋体"/>
          <w:sz w:val="21"/>
        </w:rPr>
        <w:t>（3-4）</w:t>
      </w:r>
    </w:p>
    <w:p>
      <w:pPr>
        <w:spacing w:before="0" w:after="0" w:line="300" w:lineRule="auto"/>
        <w:ind w:firstLine="480"/>
        <w:jc w:val="both"/>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pPr>
      <w:r>
        <w:rPr>
          <w:rFonts w:ascii="Times New Roman" w:hAnsi="Times New Roman" w:cs="Times New Roman" w:eastAsia="黑体"/>
          <w:b w:val="0"/>
          <w:sz w:val="28"/>
        </w:rPr>
        <w:t>3.3.3 轮廓相似关系图</w:t>
      </w:r>
    </w:p>
    <w:p>
      <w:pPr>
        <w:spacing w:before="0" w:after="0" w:line="300" w:lineRule="auto"/>
        <w:ind w:firstLine="480"/>
        <w:jc w:val="both"/>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𝐩</m:t>
            </m:r>
          </m:e>
          <m:sub>
            <m:r>
              <m:t>i</m:t>
            </m:r>
          </m:sub>
        </m:sSub>
        <m:r>
          <m:t>∈</m:t>
        </m:r>
        <m:sSup>
          <m:sSupPr/>
          <m:e>
            <m:r>
              <m:t>ℝ</m:t>
            </m:r>
          </m:e>
          <m:sup>
            <m: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r>
          <m:t>j</m:t>
        </m:r>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d</m:t>
            </m:r>
          </m:e>
          <m:sub>
            <m:r>
              <m:t>i</m:t>
            </m:r>
            <m:r>
              <m:t>j</m:t>
            </m:r>
          </m:sub>
        </m:sSub>
        <m:r>
          <m:t>=</m:t>
        </m:r>
        <m:rad>
          <m:radPr>
            <m:degHide m:val="1"/>
          </m:radPr>
          <m:deg/>
          <m:e>
            <m:f>
              <m:num>
                <m:r>
                  <m:t>1</m:t>
                </m:r>
              </m:num>
              <m:den>
                <m:r>
                  <m:t>96</m:t>
                </m:r>
              </m:den>
            </m:f>
            <m:sSubSup>
              <m:sSubSupPr/>
              <m:e>
                <m:r>
                  <m:t>∑</m:t>
                </m:r>
              </m:e>
              <m:sub>
                <m:r>
                  <m:t>q</m:t>
                </m:r>
                <m:r>
                  <m:t>=</m:t>
                </m:r>
                <m:r>
                  <m:t>1</m:t>
                </m:r>
              </m:sub>
              <m:sup>
                <m:r>
                  <m:t>96</m:t>
                </m:r>
              </m:sup>
            </m:sSubSup>
            <m:sSup>
              <m:sSupPr/>
              <m:e>
                <m:r>
                  <m:t>(</m:t>
                </m:r>
                <m:sSub>
                  <m:sSubPr/>
                  <m:e>
                    <m:r>
                      <m:t>p</m:t>
                    </m:r>
                  </m:e>
                  <m:sub>
                    <m:r>
                      <m:t>i</m:t>
                    </m:r>
                    <m:r>
                      <m:t>q</m:t>
                    </m:r>
                  </m:sub>
                </m:sSub>
                <m:r>
                  <m:t>−</m:t>
                </m:r>
                <m:sSub>
                  <m:sSubPr/>
                  <m:e>
                    <m:r>
                      <m:t>p</m:t>
                    </m:r>
                  </m:e>
                  <m:sub>
                    <m:r>
                      <m:t>j</m:t>
                    </m:r>
                    <m:r>
                      <m:t>q</m:t>
                    </m:r>
                  </m:sub>
                </m:sSub>
                <m:r>
                  <m:t>)</m:t>
                </m:r>
              </m:e>
              <m:sup>
                <m:r>
                  <m:t>2</m:t>
                </m:r>
              </m:sup>
            </m:sSup>
          </m:e>
        </m:rad>
        <m:r>
          <m:t>,</m:t>
        </m:r>
        <m:sSubSup>
          <m:sSubSupPr/>
          <m:e>
            <m:r>
              <m:t>A</m:t>
            </m:r>
          </m:e>
          <m:sub>
            <m:r>
              <m:t>i</m:t>
            </m:r>
            <m:r>
              <m:t>j</m:t>
            </m:r>
          </m:sub>
          <m:sup>
            <m:r>
              <m:t>pattern</m:t>
            </m:r>
          </m:sup>
        </m:sSubSup>
        <m:r>
          <m:t>=</m:t>
        </m:r>
        <m:r>
          <m:t>exp</m:t>
        </m:r>
        <m:r>
          <m:t>⁡</m:t>
        </m:r>
        <m:r>
          <m:t>[</m:t>
        </m:r>
        <m:r>
          <m:t>−</m:t>
        </m:r>
        <m:f>
          <m:num>
            <m:sSub>
              <m:sSubPr/>
              <m:e>
                <m:r>
                  <m:t>d</m:t>
                </m:r>
              </m:e>
              <m:sub>
                <m:r>
                  <m:t>i</m:t>
                </m:r>
                <m:r>
                  <m:t>j</m:t>
                </m:r>
              </m:sub>
            </m:sSub>
          </m:num>
          <m:den>
            <m:r>
              <m:t>median</m:t>
            </m:r>
            <m:r>
              <m:t>⁡</m:t>
            </m:r>
            <m:r>
              <m:t>(</m:t>
            </m:r>
            <m:sSub>
              <m:sSubPr/>
              <m:e>
                <m:r>
                  <m:t>d</m:t>
                </m:r>
              </m:e>
              <m:sub>
                <m:r>
                  <m:t>u</m:t>
                </m:r>
                <m:r>
                  <m:t>v</m:t>
                </m:r>
              </m:sub>
            </m:sSub>
            <m:r>
              <m:t>&gt;</m:t>
            </m:r>
            <m:r>
              <m:t>0</m:t>
            </m:r>
            <m:r>
              <m:t>)</m:t>
            </m:r>
          </m:den>
        </m:f>
        <m:r>
          <m:t>]</m:t>
        </m:r>
        <m:r>
          <m:t>.</m:t>
        </m:r>
      </m:oMath>
      <w:r>
        <w:tab/>
      </w:r>
      <w:r>
        <w:rPr>
          <w:rFonts w:ascii="Times New Roman" w:hAnsi="Times New Roman" w:cs="Times New Roman" w:eastAsia="宋体"/>
          <w:sz w:val="21"/>
        </w:rPr>
        <w:t>（3-5）</w:t>
      </w:r>
    </w:p>
    <w:p>
      <w:pPr>
        <w:spacing w:before="0" w:after="0" w:line="300" w:lineRule="auto"/>
        <w:ind w:firstLine="480"/>
        <w:jc w:val="both"/>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pPr>
      <w:r>
        <w:rPr>
          <w:rFonts w:ascii="Times New Roman" w:hAnsi="Times New Roman" w:cs="Times New Roman" w:eastAsia="黑体"/>
          <w:b w:val="0"/>
          <w:sz w:val="28"/>
        </w:rPr>
        <w:t>3.3.4 top-k稀疏化与对称归一化</w:t>
      </w:r>
    </w:p>
    <w:p>
      <w:pPr>
        <w:spacing w:before="0" w:after="0" w:line="300" w:lineRule="auto"/>
        <w:ind w:firstLine="480"/>
        <w:jc w:val="both"/>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max</m:t>
        </m:r>
        <m:r>
          <m:t>⁡</m:t>
        </m:r>
        <m:r>
          <m:t>(</m:t>
        </m:r>
        <m:r>
          <m:t>𝐀</m:t>
        </m:r>
        <m:r>
          <m:t>,</m:t>
        </m:r>
        <m:sSup>
          <m:sSupPr/>
          <m:e>
            <m:r>
              <m:t>𝐀</m:t>
            </m:r>
          </m:e>
          <m:sup>
            <m:r>
              <m:t>𝖳</m:t>
            </m:r>
          </m:sup>
        </m:sSup>
        <m: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𝐀</m:t>
            </m:r>
            <m:r>
              <m:t>ˆ</m:t>
            </m:r>
          </m:e>
          <m:sub>
            <m:r>
              <m:t>r</m:t>
            </m:r>
          </m:sub>
        </m:sSub>
        <m:r>
          <m:t>=</m:t>
        </m:r>
        <m:sSubSup>
          <m:sSubSupPr/>
          <m:e>
            <m:r>
              <m:t>𝐃</m:t>
            </m:r>
            <m:r>
              <m:t>~</m:t>
            </m:r>
          </m:e>
          <m:sub>
            <m:r>
              <m:t>r</m:t>
            </m:r>
          </m:sub>
          <m:sup>
            <m:r>
              <m:t>−</m:t>
            </m:r>
            <m:r>
              <m:t>1</m:t>
            </m:r>
            <m:r>
              <m:t>/</m:t>
            </m:r>
            <m:r>
              <m:t>2</m:t>
            </m:r>
          </m:sup>
        </m:sSubSup>
        <m:r>
          <m:t>(</m:t>
        </m:r>
        <m:sSub>
          <m:sSubPr/>
          <m:e>
            <m:r>
              <m:t>𝐀</m:t>
            </m:r>
          </m:e>
          <m:sub>
            <m:r>
              <m:t>r</m:t>
            </m:r>
          </m:sub>
        </m:sSub>
        <m:r>
          <m:t>+</m:t>
        </m:r>
        <m:r>
          <m:t>𝐈</m:t>
        </m:r>
        <m:r>
          <m:t>)</m:t>
        </m:r>
        <m:sSubSup>
          <m:sSubSupPr/>
          <m:e>
            <m:r>
              <m:t>𝐃</m:t>
            </m:r>
            <m:r>
              <m:t>~</m:t>
            </m:r>
          </m:e>
          <m:sub>
            <m:r>
              <m:t>r</m:t>
            </m:r>
          </m:sub>
          <m:sup>
            <m:r>
              <m:t>−</m:t>
            </m:r>
            <m:r>
              <m:t>1</m:t>
            </m:r>
            <m:r>
              <m:t>/</m:t>
            </m:r>
            <m:r>
              <m:t>2</m:t>
            </m:r>
          </m:sup>
        </m:sSubSup>
        <m:r>
          <m:t>,</m:t>
        </m:r>
        <m:r>
          <m:t>r</m:t>
        </m:r>
        <m:r>
          <m:t>∈</m:t>
        </m:r>
        <m:r>
          <m:t>{</m:t>
        </m:r>
        <m:r>
          <m:t>l</m:t>
        </m:r>
        <m:r>
          <m:t>o</m:t>
        </m:r>
        <m:r>
          <m:t>a</m:t>
        </m:r>
        <m:r>
          <m:t>d</m:t>
        </m:r>
        <m:r>
          <m:t>,</m:t>
        </m:r>
        <m:r>
          <m:t>e</m:t>
        </m:r>
        <m:r>
          <m:t>v</m:t>
        </m:r>
        <m:r>
          <m:t>e</m:t>
        </m:r>
        <m:r>
          <m:t>n</m:t>
        </m:r>
        <m:r>
          <m:t>t</m:t>
        </m:r>
        <m:r>
          <m:t>,</m:t>
        </m:r>
        <m:r>
          <m:t>p</m:t>
        </m:r>
        <m:r>
          <m:t>a</m:t>
        </m:r>
        <m:r>
          <m:t>t</m:t>
        </m:r>
        <m:r>
          <m:t>t</m:t>
        </m:r>
        <m:r>
          <m:t>e</m:t>
        </m:r>
        <m:r>
          <m:t>r</m:t>
        </m:r>
        <m:r>
          <m:t>n</m:t>
        </m:r>
        <m:r>
          <m:t>}</m:t>
        </m:r>
        <m:r>
          <m:t>.</m:t>
        </m:r>
      </m:oMath>
      <w:r>
        <w:tab/>
      </w:r>
      <w:r>
        <w:rPr>
          <w:rFonts w:ascii="Times New Roman" w:hAnsi="Times New Roman" w:cs="Times New Roman" w:eastAsia="宋体"/>
          <w:sz w:val="21"/>
        </w:rPr>
        <w:t>（3-6）</w:t>
      </w:r>
    </w:p>
    <w:p>
      <w:pPr>
        <w:spacing w:before="0" w:after="0" w:line="300" w:lineRule="auto"/>
        <w:ind w:firstLine="480"/>
        <w:jc w:val="both"/>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1"/>
                    <a:stretch>
                      <a:fillRect/>
                    </a:stretch>
                  </pic:blipFill>
                  <pic:spPr>
                    <a:xfrm>
                      <a:off x="0" y="0"/>
                      <a:ext cx="5112000" cy="198330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图3-5 LRE三类站内关系矩阵</w:t>
      </w:r>
    </w:p>
    <w:p>
      <w:pPr>
        <w:spacing w:before="0" w:after="0" w:line="300" w:lineRule="auto"/>
        <w:ind w:firstLine="480"/>
        <w:jc w:val="both"/>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pPr>
      <w:r>
        <w:rPr>
          <w:rFonts w:ascii="Times New Roman" w:hAnsi="Times New Roman" w:cs="Times New Roman" w:eastAsia="黑体"/>
          <w:b/>
          <w:sz w:val="30"/>
        </w:rPr>
        <w:t>3.4 时间基线：TCN</w:t>
      </w:r>
    </w:p>
    <w:p>
      <w:pPr>
        <w:spacing w:before="0" w:after="0" w:line="300" w:lineRule="auto"/>
        <w:ind w:firstLine="480"/>
        <w:jc w:val="both"/>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1</m:t>
        </m:r>
        <m:r>
          <m:t>+</m:t>
        </m:r>
        <m:r>
          <m:t>(</m:t>
        </m:r>
        <m:r>
          <m:t>K</m:t>
        </m:r>
        <m:r>
          <m:t>−</m:t>
        </m:r>
        <m:r>
          <m:t>1</m:t>
        </m:r>
        <m:r>
          <m:t>)</m:t>
        </m:r>
        <m:sSubSup>
          <m:sSubSupPr/>
          <m:e>
            <m:r>
              <m:t>∑</m:t>
            </m:r>
          </m:e>
          <m:sub>
            <m:r>
              <m:t>l</m:t>
            </m:r>
            <m:r>
              <m:t>=</m:t>
            </m:r>
            <m:r>
              <m:t>0</m:t>
            </m:r>
          </m:sub>
          <m:sup>
            <m:r>
              <m:t>L</m:t>
            </m:r>
            <m:r>
              <m:t>−</m:t>
            </m:r>
            <m:r>
              <m:t>1</m:t>
            </m:r>
          </m:sup>
        </m:sSubSup>
        <m:sSup>
          <m:sSupPr/>
          <m:e>
            <m:r>
              <m:t>2</m:t>
            </m:r>
          </m:e>
          <m:sup>
            <m:r>
              <m:t>l</m:t>
            </m:r>
          </m:sup>
        </m:sSup>
        <m:r>
          <m:t>=</m:t>
        </m:r>
        <m:r>
          <m:t>1</m:t>
        </m:r>
        <m:r>
          <m:t>+</m:t>
        </m:r>
        <m:r>
          <m:t>2</m:t>
        </m:r>
        <m:r>
          <m:t>(</m:t>
        </m:r>
        <m:r>
          <m:t>1</m:t>
        </m:r>
        <m:r>
          <m:t>+</m:t>
        </m:r>
        <m:r>
          <m:t>2</m:t>
        </m:r>
        <m:r>
          <m:t>+</m:t>
        </m:r>
        <m:r>
          <m:t>4</m:t>
        </m:r>
        <m:r>
          <m:t>+</m:t>
        </m:r>
        <m:r>
          <m:t>8</m:t>
        </m:r>
        <m:r>
          <m:t>+</m:t>
        </m:r>
        <m:r>
          <m:t>16</m:t>
        </m:r>
        <m:r>
          <m:t>+</m:t>
        </m:r>
        <m:r>
          <m:t>32</m:t>
        </m:r>
        <m:r>
          <m:t>)</m:t>
        </m:r>
        <m:r>
          <m:t>=</m:t>
        </m:r>
        <m:r>
          <m:t>127</m:t>
        </m:r>
        <m:r>
          <m:t>,</m:t>
        </m:r>
      </m:oMath>
      <w:r>
        <w:tab/>
      </w:r>
      <w:r>
        <w:rPr>
          <w:rFonts w:ascii="Times New Roman" w:hAnsi="Times New Roman" w:cs="Times New Roman" w:eastAsia="宋体"/>
          <w:sz w:val="21"/>
        </w:rPr>
        <w:t>（3-7）</w:t>
      </w:r>
    </w:p>
    <w:p>
      <w:pPr>
        <w:spacing w:before="0" w:after="0" w:line="300" w:lineRule="auto"/>
        <w:ind w:firstLine="480"/>
        <w:jc w:val="both"/>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ℝ</m:t>
            </m:r>
          </m:e>
          <m:sup>
            <m:r>
              <m:t>B</m:t>
            </m:r>
            <m:r>
              <m:t>×</m:t>
            </m:r>
            <m:r>
              <m:t>N</m:t>
            </m:r>
            <m:r>
              <m:t>×</m:t>
            </m:r>
            <m: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pPr>
      <w:r>
        <w:rPr>
          <w:rFonts w:ascii="Times New Roman" w:hAnsi="Times New Roman" w:cs="Times New Roman" w:eastAsia="黑体"/>
          <w:b w:val="0"/>
          <w:sz w:val="28"/>
        </w:rPr>
        <w:t>3.5.1 总体架构</w:t>
      </w:r>
    </w:p>
    <w:p>
      <w:pPr>
        <w:spacing w:before="0" w:after="0" w:line="300" w:lineRule="auto"/>
        <w:ind w:firstLine="480"/>
        <w:jc w:val="both"/>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1</m:t>
            </m:r>
            <m:r>
              <m:t>)</m:t>
            </m:r>
          </m:sup>
        </m:sSup>
        <m:r>
          <m:t>=</m:t>
        </m:r>
        <m:sSup>
          <m:sSupPr/>
          <m:e>
            <m:r>
              <m:t>𝐇</m:t>
            </m:r>
          </m:e>
          <m:sup>
            <m:r>
              <m:t>(</m:t>
            </m:r>
            <m:r>
              <m:t>0</m:t>
            </m:r>
            <m: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2</m:t>
            </m:r>
            <m:r>
              <m:t>)</m:t>
            </m:r>
          </m:sup>
        </m:sSup>
        <m:r>
          <m:t>=</m:t>
        </m:r>
        <m:sSup>
          <m:sSupPr/>
          <m:e>
            <m:r>
              <m:t>𝐇</m:t>
            </m:r>
          </m:e>
          <m:sup>
            <m:r>
              <m:t>(</m:t>
            </m:r>
            <m:r>
              <m:t>1</m:t>
            </m:r>
            <m:r>
              <m:t>,</m:t>
            </m:r>
            <m:r>
              <m:t>ref</m:t>
            </m:r>
            <m: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pPr>
      <w:r>
        <w:rPr>
          <w:rFonts w:ascii="Times New Roman" w:hAnsi="Times New Roman" w:cs="Times New Roman" w:eastAsia="黑体"/>
          <w:b w:val="0"/>
          <w:sz w:val="28"/>
        </w:rPr>
        <w:t>3.5.2 单关系消息传递</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𝐌</m:t>
            </m:r>
          </m:e>
          <m:sub>
            <m:r>
              <m:t>r</m:t>
            </m:r>
          </m:sub>
          <m:sup>
            <m:r>
              <m:t>(</m:t>
            </m:r>
            <m:r>
              <m:t>l</m:t>
            </m:r>
            <m:r>
              <m:t>)</m:t>
            </m:r>
          </m:sup>
        </m:sSubSup>
        <m:r>
          <m:t>=</m:t>
        </m:r>
        <m:sSub>
          <m:sSubPr/>
          <m:e>
            <m:r>
              <m:t>𝐀</m:t>
            </m:r>
            <m:r>
              <m:t>ˆ</m:t>
            </m:r>
          </m:e>
          <m:sub>
            <m:r>
              <m:t>r</m:t>
            </m:r>
          </m:sub>
        </m:sSub>
        <m:sSup>
          <m:sSupPr/>
          <m:e>
            <m:r>
              <m:t>𝐙</m:t>
            </m:r>
          </m:e>
          <m:sup>
            <m:r>
              <m:t>(</m:t>
            </m:r>
            <m:r>
              <m:t>l</m:t>
            </m:r>
            <m:r>
              <m:t>)</m:t>
            </m:r>
          </m:sup>
        </m:sSup>
        <m:sSubSup>
          <m:sSubSupPr/>
          <m:e>
            <m:r>
              <m:t>𝐖</m:t>
            </m:r>
          </m:e>
          <m:sub>
            <m:r>
              <m:t>r</m:t>
            </m:r>
          </m:sub>
          <m:sup>
            <m:r>
              <m:t>(</m:t>
            </m:r>
            <m:r>
              <m:t>l</m:t>
            </m:r>
            <m:r>
              <m:t>)</m:t>
            </m:r>
          </m:sup>
        </m:sSubSup>
        <m:r>
          <m:t>,</m:t>
        </m:r>
      </m:oMath>
      <w:r>
        <w:tab/>
      </w:r>
      <w:r>
        <w:rPr>
          <w:rFonts w:ascii="Times New Roman" w:hAnsi="Times New Roman" w:cs="Times New Roman" w:eastAsia="宋体"/>
          <w:sz w:val="21"/>
        </w:rPr>
        <w:t>（3-8）</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𝐖</m:t>
            </m:r>
          </m:e>
          <m:sub>
            <m:r>
              <m:t>r</m:t>
            </m:r>
          </m:sub>
          <m:sup>
            <m:r>
              <m:t>(</m:t>
            </m:r>
            <m:r>
              <m:t>l</m:t>
            </m:r>
            <m:r>
              <m:t>)</m:t>
            </m:r>
          </m:sup>
        </m:sSubSup>
        <m:r>
          <m:t>∈</m:t>
        </m:r>
        <m:sSup>
          <m:sSupPr/>
          <m:e>
            <m:r>
              <m:t>ℝ</m:t>
            </m:r>
          </m:e>
          <m:sup>
            <m:r>
              <m:t>D</m:t>
            </m:r>
            <m:r>
              <m:t>×</m:t>
            </m:r>
            <m: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pPr>
      <w:r>
        <w:rPr>
          <w:rFonts w:ascii="Times New Roman" w:hAnsi="Times New Roman" w:cs="Times New Roman" w:eastAsia="黑体"/>
          <w:b w:val="0"/>
          <w:sz w:val="28"/>
        </w:rPr>
        <w:t>3.5.3 关系级门控</w:t>
      </w:r>
    </w:p>
    <w:p>
      <w:pPr>
        <w:spacing w:before="0" w:after="0" w:line="300" w:lineRule="auto"/>
        <w:ind w:firstLine="480"/>
        <w:jc w:val="both"/>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β</m:t>
            </m:r>
          </m:e>
          <m:sub>
            <m:r>
              <m:t>r</m:t>
            </m:r>
          </m:sub>
          <m:sup>
            <m:r>
              <m:t>(</m:t>
            </m:r>
            <m:r>
              <m:t>l</m:t>
            </m:r>
            <m:r>
              <m:t>)</m:t>
            </m:r>
          </m:sup>
        </m:sSubSup>
        <m:r>
          <m:t>=</m:t>
        </m:r>
        <m:f>
          <m:num>
            <m:r>
              <m:t>exp</m:t>
            </m:r>
            <m:r>
              <m:t>⁡</m:t>
            </m:r>
            <m:r>
              <m:t>(</m:t>
            </m:r>
            <m:sSubSup>
              <m:sSubSupPr/>
              <m:e>
                <m:r>
                  <m:t>a</m:t>
                </m:r>
              </m:e>
              <m:sub>
                <m:r>
                  <m:t>r</m:t>
                </m:r>
              </m:sub>
              <m:sup>
                <m:r>
                  <m:t>(</m:t>
                </m:r>
                <m:r>
                  <m:t>l</m:t>
                </m:r>
                <m:r>
                  <m:t>)</m:t>
                </m:r>
              </m:sup>
            </m:sSubSup>
            <m:r>
              <m:t>)</m:t>
            </m:r>
          </m:num>
          <m:den>
            <m:sSubSup>
              <m:sSubSupPr/>
              <m:e>
                <m:r>
                  <m:t>∑</m:t>
                </m:r>
              </m:e>
              <m:sub>
                <m:r>
                  <m:t>s</m:t>
                </m:r>
                <m:r>
                  <m:t>=</m:t>
                </m:r>
                <m:r>
                  <m:t>1</m:t>
                </m:r>
              </m:sub>
              <m:sup>
                <m:r>
                  <m:t>3</m:t>
                </m:r>
              </m:sup>
            </m:sSubSup>
            <m:r>
              <m:t>exp</m:t>
            </m:r>
            <m:r>
              <m:t>⁡</m:t>
            </m:r>
            <m:r>
              <m:t>(</m:t>
            </m:r>
            <m:sSubSup>
              <m:sSubSupPr/>
              <m:e>
                <m:r>
                  <m:t>a</m:t>
                </m:r>
              </m:e>
              <m:sub>
                <m:r>
                  <m:t>s</m:t>
                </m:r>
              </m:sub>
              <m:sup>
                <m:r>
                  <m:t>(</m:t>
                </m:r>
                <m:r>
                  <m:t>l</m:t>
                </m:r>
                <m:r>
                  <m:t>)</m:t>
                </m:r>
              </m:sup>
            </m:sSubSup>
            <m:r>
              <m:t>)</m:t>
            </m:r>
          </m:den>
        </m:f>
        <m:r>
          <m:t>,</m:t>
        </m:r>
        <m:sSup>
          <m:sSupPr/>
          <m:e>
            <m:r>
              <m:t>𝐌</m:t>
            </m:r>
          </m:e>
          <m:sup>
            <m:r>
              <m:t>(</m:t>
            </m:r>
            <m:r>
              <m:t>l</m:t>
            </m:r>
            <m:r>
              <m:t>)</m:t>
            </m:r>
          </m:sup>
        </m:sSup>
        <m:r>
          <m:t>=</m:t>
        </m:r>
        <m:sSubSup>
          <m:sSubSupPr/>
          <m:e>
            <m:r>
              <m:t>∑</m:t>
            </m:r>
          </m:e>
          <m:sub>
            <m:r>
              <m:t>r</m:t>
            </m:r>
            <m:r>
              <m:t>=</m:t>
            </m:r>
            <m:r>
              <m:t>1</m:t>
            </m:r>
          </m:sub>
          <m:sup>
            <m:r>
              <m:t>3</m:t>
            </m:r>
          </m:sup>
        </m:sSubSup>
        <m:sSubSup>
          <m:sSubSupPr/>
          <m:e>
            <m:r>
              <m:t>β</m:t>
            </m:r>
          </m:e>
          <m:sub>
            <m:r>
              <m:t>r</m:t>
            </m:r>
          </m:sub>
          <m:sup>
            <m:r>
              <m:t>(</m:t>
            </m:r>
            <m:r>
              <m:t>l</m:t>
            </m:r>
            <m:r>
              <m:t>)</m:t>
            </m:r>
          </m:sup>
        </m:sSubSup>
        <m:sSubSup>
          <m:sSubSupPr/>
          <m:e>
            <m:r>
              <m:t>𝐌</m:t>
            </m:r>
          </m:e>
          <m:sub>
            <m:r>
              <m:t>r</m:t>
            </m:r>
          </m:sub>
          <m:sup>
            <m:r>
              <m:t>(</m:t>
            </m:r>
            <m:r>
              <m:t>l</m:t>
            </m:r>
            <m:r>
              <m:t>)</m:t>
            </m:r>
          </m:sup>
        </m:sSubSup>
        <m:r>
          <m:t>.</m:t>
        </m:r>
      </m:oMath>
      <w:r>
        <w:tab/>
      </w:r>
      <w:r>
        <w:rPr>
          <w:rFonts w:ascii="Times New Roman" w:hAnsi="Times New Roman" w:cs="Times New Roman" w:eastAsia="宋体"/>
          <w:sz w:val="21"/>
        </w:rPr>
        <w:t>（3-9）</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pPr>
      <w:r>
        <w:rPr>
          <w:rFonts w:ascii="Times New Roman" w:hAnsi="Times New Roman" w:cs="Times New Roman" w:eastAsia="黑体"/>
          <w:b w:val="0"/>
          <w:sz w:val="28"/>
        </w:rPr>
        <w:t>3.5.4 节点级门控</w:t>
      </w:r>
    </w:p>
    <w:p>
      <w:pPr>
        <w:spacing w:before="0" w:after="0" w:line="300" w:lineRule="auto"/>
        <w:ind w:firstLine="480"/>
        <w:jc w:val="both"/>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r>
          <m:t>σ</m:t>
        </m:r>
        <m:r>
          <m:t>(</m:t>
        </m:r>
        <m:r>
          <m:t>[</m:t>
        </m:r>
        <m:sSup>
          <m:sSupPr/>
          <m:e>
            <m:r>
              <m:t>𝐙</m:t>
            </m:r>
          </m:e>
          <m:sup>
            <m:r>
              <m:t>(</m:t>
            </m:r>
            <m:r>
              <m:t>l</m:t>
            </m:r>
            <m:r>
              <m:t>)</m:t>
            </m:r>
          </m:sup>
        </m:sSup>
        <m:r>
          <m:t>‖</m:t>
        </m:r>
        <m:sSup>
          <m:sSupPr/>
          <m:e>
            <m:r>
              <m:t>𝐌</m:t>
            </m:r>
          </m:e>
          <m:sup>
            <m:r>
              <m:t>(</m:t>
            </m:r>
            <m:r>
              <m:t>l</m:t>
            </m:r>
            <m:r>
              <m:t>)</m:t>
            </m:r>
          </m:sup>
        </m:sSup>
        <m:r>
          <m:t>]</m:t>
        </m:r>
        <m:sSubSup>
          <m:sSubSupPr/>
          <m:e>
            <m:r>
              <m:t>𝐖</m:t>
            </m:r>
          </m:e>
          <m:sub>
            <m:r>
              <m:t>g</m:t>
            </m:r>
          </m:sub>
          <m:sup>
            <m:r>
              <m:t>(</m:t>
            </m:r>
            <m:r>
              <m:t>l</m:t>
            </m:r>
            <m:r>
              <m:t>)</m:t>
            </m:r>
          </m:sup>
        </m:sSubSup>
        <m:r>
          <m:t>+</m:t>
        </m:r>
        <m:sSubSup>
          <m:sSubSupPr/>
          <m:e>
            <m:r>
              <m:t>𝐛</m:t>
            </m:r>
          </m:e>
          <m:sub>
            <m:r>
              <m:t>g</m:t>
            </m:r>
          </m:sub>
          <m:sup>
            <m:r>
              <m:t>(</m:t>
            </m:r>
            <m:r>
              <m:t>l</m:t>
            </m:r>
            <m:r>
              <m:t>)</m:t>
            </m:r>
          </m:sup>
        </m:sSubSup>
        <m:r>
          <m:t>)</m:t>
        </m:r>
        <m:r>
          <m:t>,</m:t>
        </m:r>
        <m:sSup>
          <m:sSupPr/>
          <m:e>
            <m:r>
              <m:t>𝐇</m:t>
            </m:r>
            <m:r>
              <m:t>~</m:t>
            </m:r>
          </m:e>
          <m:sup>
            <m:r>
              <m:t>(</m:t>
            </m:r>
            <m:r>
              <m:t>l</m:t>
            </m:r>
            <m:r>
              <m:t>)</m:t>
            </m:r>
          </m:sup>
        </m:sSup>
        <m:r>
          <m:t>=</m:t>
        </m:r>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r>
          <m:t>,</m:t>
        </m:r>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l</m:t>
            </m:r>
            <m:r>
              <m:t>)</m:t>
            </m:r>
          </m:sup>
        </m:sSup>
        <m:r>
          <m:t>=</m:t>
        </m:r>
        <m:r>
          <m:t>LayerNorm</m:t>
        </m:r>
        <m:r>
          <m:t>⁡</m:t>
        </m:r>
        <m:r>
          <m:t>[</m:t>
        </m:r>
        <m:sSup>
          <m:sSupPr/>
          <m:e>
            <m:r>
              <m:t>𝐙</m:t>
            </m:r>
          </m:e>
          <m:sup>
            <m:r>
              <m:t>(</m:t>
            </m:r>
            <m:r>
              <m:t>l</m:t>
            </m:r>
            <m:r>
              <m:t>)</m:t>
            </m:r>
          </m:sup>
        </m:sSup>
        <m:r>
          <m:t>+</m:t>
        </m:r>
        <m:r>
          <m:t>Dropout</m:t>
        </m:r>
        <m:r>
          <m:t>⁡</m:t>
        </m:r>
        <m:r>
          <m:t>(</m:t>
        </m:r>
        <m:sSup>
          <m:sSupPr/>
          <m:e>
            <m:r>
              <m:t>𝐇</m:t>
            </m:r>
            <m:r>
              <m:t>~</m:t>
            </m:r>
          </m:e>
          <m:sup>
            <m:r>
              <m:t>(</m:t>
            </m:r>
            <m:r>
              <m:t>l</m:t>
            </m:r>
            <m:r>
              <m:t>)</m:t>
            </m:r>
          </m:sup>
        </m:sSup>
        <m:r>
          <m:t>)</m:t>
        </m:r>
        <m:r>
          <m:t>]</m:t>
        </m:r>
        <m:r>
          <m:t>.</m:t>
        </m:r>
      </m:oMath>
      <w:r>
        <w:tab/>
      </w:r>
      <w:r>
        <w:rPr>
          <w:rFonts w:ascii="Times New Roman" w:hAnsi="Times New Roman" w:cs="Times New Roman" w:eastAsia="宋体"/>
          <w:sz w:val="21"/>
        </w:rPr>
        <w:t>（3-11）</w:t>
      </w:r>
    </w:p>
    <w:p>
      <w:pPr>
        <w:spacing w:before="0" w:after="0" w:line="300" w:lineRule="auto"/>
        <w:ind w:firstLine="480"/>
        <w:jc w:val="both"/>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决定“聚合哪些关系”，节点级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决定“当前节点保留多少邻域消息”。本文未对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进行单独消融，因而不对其独立增益作数值归因。</w:t>
      </w:r>
    </w:p>
    <w:p>
      <w:pPr>
        <w:spacing w:before="240" w:after="180" w:line="300" w:lineRule="auto"/>
        <w:ind w:firstLine="0"/>
        <w:jc w:val="both"/>
        <w:outlineLvl w:val="2"/>
      </w:pPr>
      <w:r>
        <w:rPr>
          <w:rFonts w:ascii="Times New Roman" w:hAnsi="Times New Roman" w:cs="Times New Roman" w:eastAsia="黑体"/>
          <w:b w:val="0"/>
          <w:sz w:val="28"/>
        </w:rPr>
        <w:t>3.5.5 关系随机失活</w:t>
      </w:r>
    </w:p>
    <w:p>
      <w:pPr>
        <w:spacing w:before="0" w:after="0" w:line="300" w:lineRule="auto"/>
        <w:ind w:firstLine="480"/>
        <w:jc w:val="both"/>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&gt;</m:t>
        </m:r>
        <m: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pPr>
      <w:r>
        <w:rPr>
          <w:rFonts w:ascii="Times New Roman" w:hAnsi="Times New Roman" w:cs="Times New Roman" w:eastAsia="黑体"/>
          <w:b w:val="0"/>
          <w:sz w:val="28"/>
        </w:rPr>
        <w:t>3.5.6 逐层关系选择与跨层融合</w:t>
      </w:r>
    </w:p>
    <w:p>
      <w:pPr>
        <w:spacing w:before="0" w:after="0" w:line="300" w:lineRule="auto"/>
        <w:ind w:firstLine="480"/>
        <w:jc w:val="both"/>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fuse</m:t>
            </m:r>
          </m:sup>
        </m:sSup>
        <m:r>
          <m:t>=</m:t>
        </m:r>
        <m:r>
          <m:t>Dropout</m:t>
        </m:r>
        <m:r>
          <m:t>⁡</m:t>
        </m:r>
        <m:r>
          <m:t>(</m:t>
        </m:r>
        <m:r>
          <m:t>GELU</m:t>
        </m:r>
        <m:r>
          <m:t>⁡</m:t>
        </m:r>
        <m:r>
          <m:t>{</m:t>
        </m:r>
        <m:r>
          <m:t>LayerNorm</m:t>
        </m:r>
        <m:r>
          <m:t>⁡</m:t>
        </m:r>
        <m:r>
          <m:t>[</m:t>
        </m:r>
        <m:sSub>
          <m:sSubPr/>
          <m:e>
            <m:r>
              <m:t>𝐖</m:t>
            </m:r>
          </m:e>
          <m:sub>
            <m:r>
              <m:t>f</m:t>
            </m:r>
          </m:sub>
        </m:sSub>
        <m:r>
          <m:t>(</m:t>
        </m:r>
        <m:sSup>
          <m:sSupPr/>
          <m:e>
            <m:r>
              <m:t>𝐇</m:t>
            </m:r>
          </m:e>
          <m:sup>
            <m:r>
              <m:t>(</m:t>
            </m:r>
            <m:r>
              <m:t>0</m:t>
            </m:r>
            <m:r>
              <m:t>)</m:t>
            </m:r>
          </m:sup>
        </m:sSup>
        <m:r>
          <m:t>‖</m:t>
        </m:r>
        <m:sSup>
          <m:sSupPr/>
          <m:e>
            <m:r>
              <m:t>𝐇</m:t>
            </m:r>
          </m:e>
          <m:sup>
            <m:r>
              <m:t>(</m:t>
            </m:r>
            <m:r>
              <m:t>1</m:t>
            </m:r>
            <m:r>
              <m:t>)</m:t>
            </m:r>
          </m:sup>
        </m:sSup>
        <m:r>
          <m:t>‖</m:t>
        </m:r>
        <m:sSup>
          <m:sSupPr/>
          <m:e>
            <m:r>
              <m:t>𝐇</m:t>
            </m:r>
          </m:e>
          <m:sup>
            <m:r>
              <m:t>(</m:t>
            </m:r>
            <m:r>
              <m:t>2</m:t>
            </m:r>
            <m:r>
              <m:t>)</m:t>
            </m:r>
          </m:sup>
        </m:sSup>
        <m:r>
          <m:t>)</m:t>
        </m:r>
        <m:r>
          <m:t>]</m:t>
        </m:r>
        <m:r>
          <m:t>}</m:t>
        </m:r>
        <m:r>
          <m:t>)</m:t>
        </m:r>
        <m:r>
          <m:t>.</m:t>
        </m:r>
      </m:oMath>
      <w:r>
        <w:tab/>
      </w:r>
      <w:r>
        <w:rPr>
          <w:rFonts w:ascii="Times New Roman" w:hAnsi="Times New Roman" w:cs="Times New Roman" w:eastAsia="宋体"/>
          <w:sz w:val="21"/>
        </w:rPr>
        <w:t>（3-12）</w:t>
      </w:r>
    </w:p>
    <w:p>
      <w:pPr>
        <w:spacing w:before="0" w:after="0" w:line="300" w:lineRule="auto"/>
        <w:ind w:firstLine="480"/>
        <w:jc w:val="both"/>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pPr>
      <w:r>
        <w:rPr>
          <w:rFonts w:ascii="Times New Roman" w:hAnsi="Times New Roman" w:cs="Times New Roman" w:eastAsia="黑体"/>
          <w:b w:val="0"/>
          <w:sz w:val="28"/>
        </w:rPr>
        <w:t>3.5.7 目标函数与训练策略</w:t>
      </w:r>
    </w:p>
    <w:p>
      <w:pPr>
        <w:spacing w:before="0" w:after="0" w:line="300" w:lineRule="auto"/>
        <w:ind w:firstLine="480"/>
        <w:jc w:val="both"/>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ℒ</m:t>
        </m:r>
        <m:r>
          <m:t>(</m:t>
        </m:r>
        <m:r>
          <m:t>θ</m:t>
        </m:r>
        <m:r>
          <m:t>)</m:t>
        </m:r>
        <m:r>
          <m:t>=</m:t>
        </m:r>
        <m:f>
          <m:num>
            <m:r>
              <m:t>1</m:t>
            </m:r>
          </m:num>
          <m:den>
            <m:r>
              <m:t>B</m:t>
            </m:r>
            <m:r>
              <m:t>P</m:t>
            </m:r>
            <m:r>
              <m:t>N</m:t>
            </m:r>
          </m:den>
        </m:f>
        <m:sSubSup>
          <m:sSubSupPr/>
          <m:e>
            <m:r>
              <m:t>∑</m:t>
            </m:r>
          </m:e>
          <m:sub>
            <m:r>
              <m:t>b</m:t>
            </m:r>
            <m:r>
              <m:t>=</m:t>
            </m:r>
            <m:r>
              <m:t>1</m:t>
            </m:r>
          </m:sub>
          <m:sup>
            <m:r>
              <m:t>B</m:t>
            </m:r>
          </m:sup>
        </m:sSubSup>
        <m:sSubSup>
          <m:sSubSupPr/>
          <m:e>
            <m:r>
              <m:t>∑</m:t>
            </m:r>
          </m:e>
          <m:sub>
            <m:r>
              <m:t>p</m:t>
            </m:r>
            <m:r>
              <m:t>=</m:t>
            </m:r>
            <m:r>
              <m:t>1</m:t>
            </m:r>
          </m:sub>
          <m:sup>
            <m:r>
              <m:t>P</m:t>
            </m:r>
          </m:sup>
        </m:sSubSup>
        <m:sSubSup>
          <m:sSubSupPr/>
          <m:e>
            <m:r>
              <m:t>∑</m:t>
            </m:r>
          </m:e>
          <m:sub>
            <m:r>
              <m:t>i</m:t>
            </m:r>
            <m:r>
              <m:t>=</m:t>
            </m:r>
            <m:r>
              <m:t>1</m:t>
            </m:r>
          </m:sub>
          <m:sup>
            <m:r>
              <m:t>N</m:t>
            </m:r>
          </m:sup>
        </m:sSubSup>
        <m:r>
          <m:t>|</m:t>
        </m:r>
        <m:sSub>
          <m:sSubPr/>
          <m:e>
            <m:r>
              <m:t>Y</m:t>
            </m:r>
            <m:r>
              <m:t>ˆ</m:t>
            </m:r>
          </m:e>
          <m:sub>
            <m:r>
              <m:t>b</m:t>
            </m:r>
            <m:r>
              <m:t>p</m:t>
            </m:r>
            <m:r>
              <m:t>i</m:t>
            </m:r>
          </m:sub>
        </m:sSub>
        <m:r>
          <m:t>−</m:t>
        </m:r>
        <m:sSub>
          <m:sSubPr/>
          <m:e>
            <m:r>
              <m:t>Y</m:t>
            </m:r>
          </m:e>
          <m:sub>
            <m:r>
              <m:t>b</m:t>
            </m:r>
            <m:r>
              <m:t>p</m:t>
            </m:r>
            <m:r>
              <m:t>i</m:t>
            </m:r>
          </m:sub>
        </m:sSub>
        <m:r>
          <m:t>|</m:t>
        </m:r>
        <m:r>
          <m:t>.</m:t>
        </m:r>
      </m:oMath>
      <w:r>
        <w:tab/>
      </w:r>
      <w:r>
        <w:rPr>
          <w:rFonts w:ascii="Times New Roman" w:hAnsi="Times New Roman" w:cs="Times New Roman" w:eastAsia="宋体"/>
          <w:sz w:val="21"/>
        </w:rPr>
        <w:t>（3-13）</w:t>
      </w:r>
    </w:p>
    <w:p>
      <w:pPr>
        <w:spacing w:before="0" w:after="0" w:line="300" w:lineRule="auto"/>
        <w:ind w:firstLine="480"/>
        <w:jc w:val="both"/>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pPr>
      <w:r>
        <w:rPr>
          <w:rFonts w:ascii="Times New Roman" w:hAnsi="Times New Roman" w:cs="Times New Roman" w:eastAsia="黑体"/>
          <w:b w:val="0"/>
          <w:sz w:val="28"/>
        </w:rPr>
        <w:t>3.5.8 与现有方法的区别</w:t>
      </w:r>
    </w:p>
    <w:p>
      <w:pPr>
        <w:spacing w:before="0" w:after="0" w:line="300" w:lineRule="auto"/>
        <w:ind w:firstLine="480"/>
        <w:jc w:val="both"/>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pPr>
      <w:r>
        <w:rPr>
          <w:rFonts w:ascii="Times New Roman" w:hAnsi="Times New Roman" w:cs="Times New Roman" w:eastAsia="黑体"/>
          <w:b w:val="0"/>
          <w:sz w:val="28"/>
        </w:rPr>
        <w:t>3.5.9 节点门控与残差更新的分工</w:t>
      </w:r>
    </w:p>
    <w:p>
      <w:pPr>
        <w:spacing w:before="0" w:after="0" w:line="300" w:lineRule="auto"/>
        <w:ind w:firstLine="480"/>
        <w:jc w:val="both"/>
      </w:pPr>
      <w:r>
        <w:rPr>
          <w:rFonts w:ascii="Times New Roman" w:hAnsi="Times New Roman" w:cs="Times New Roman" w:eastAsia="宋体"/>
          <w:b w:val="0"/>
          <w:sz w:val="24"/>
        </w:rPr>
        <w:t>MRG-GCN中存在两个层次不同的选择操作。关系级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作用于三类关系消息之间，回答“这一层更倾向于聚合哪一种统计关系”；节点级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作用于当前节点的自身状态和邻域消息之间，回答“在这一条预测样本上，该节点需要保留多少邻域信息”。如果将二者都简单称为“注意力”，容易把全局关系偏好误读为逐节点贡献，也无法说明同一关系在不同节点或不同时间窗口上为何可能产生不同的更新幅度。本文因此在公式、图示和实验解释中始终区分两种门控。</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，三类关系先分别完成邻接聚合和关系专属线性变换，得到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级权重只在关系维归一化，并在批次、节点和特征维共享；其作用是改变三类消息的混合方向，而不是对每条边单独赋予一个随样本变化的系数。这样的设计保留了关系类型的可解释标签，也使第4章可以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进行固定、交换和等权替换。替换操作只改变关系混合参数，不重新估计邻接矩阵，因此可把观察到的误差变化限定为模型内部参数敏感度。</w:t>
      </w:r>
    </w:p>
    <w:p>
      <w:pPr>
        <w:spacing w:before="0" w:after="0" w:line="300" w:lineRule="auto"/>
        <w:ind w:firstLine="480"/>
        <w:jc w:val="both"/>
      </w:pPr>
      <w:r>
        <w:rPr>
          <w:rFonts w:ascii="Times New Roman" w:hAnsi="Times New Roman" w:cs="Times New Roman" w:eastAsia="宋体"/>
          <w:b w:val="0"/>
          <w:sz w:val="24"/>
        </w:rPr>
        <w:t>关系消息融合后，节点门控将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在特征维拼接，并通过线性映射和Sigmoid生成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。门值的每个元素位于0和1之间，门控混合由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oMath>
      <w:r>
        <w:rPr>
          <w:rFonts w:ascii="Times New Roman" w:hAnsi="Times New Roman" w:cs="Times New Roman" w:eastAsia="宋体"/>
          <w:b w:val="0"/>
          <w:sz w:val="24"/>
        </w:rPr>
        <w:t>完成。门值接近1表示该位置更多保留关系消息，接近0表示更接近节点自身状态；该解释是计算意义上的插值，不等同于某一关系对真实负荷的因果贡献。由于门值同时受自身表征和融合消息影响，不能仅从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推出节点级门值。</w:t>
      </w:r>
    </w:p>
    <w:p>
      <w:pPr>
        <w:spacing w:before="0" w:after="0" w:line="300" w:lineRule="auto"/>
        <w:ind w:firstLine="480"/>
        <w:jc w:val="both"/>
      </w:pPr>
      <w:r>
        <w:rPr>
          <w:rFonts w:ascii="Times New Roman" w:hAnsi="Times New Roman" w:cs="Times New Roman" w:eastAsia="宋体"/>
          <w:b w:val="0"/>
          <w:sz w:val="24"/>
        </w:rPr>
        <w:t>残差路径位于门控混合之后。模型以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作为恒等路径，将门控结果经Dropout后与输入相加，再进行LayerNorm。该顺序有两个直接作用：当邻域消息不稳定或某一关系不适合当前节点时，输入状态仍有一条短路径可以保留；当关系消息有效时，门控更新可以在残差基准上逐步修正，而不是强制替换原状态。LayerNorm只在最后统一尺度，不承担关系选择功能。图3-6把这一顺序单独展开，避免在整体架构图中把关系级权重、节点级门值和残差更新挤在同一个框内。</w:t>
      </w:r>
    </w:p>
    <w:p>
      <w:pPr>
        <w:spacing w:before="60" w:after="60" w:line="240" w:lineRule="auto"/>
        <w:ind w:firstLine="0"/>
        <w:jc w:val="center"/>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图3-6 节点门控与残差更新细节</w:t>
      </w:r>
    </w:p>
    <w:p>
      <w:pPr>
        <w:spacing w:before="0" w:after="0" w:line="300" w:lineRule="auto"/>
        <w:ind w:firstLine="480"/>
        <w:jc w:val="both"/>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pPr>
      <w:r>
        <w:rPr>
          <w:rFonts w:ascii="Times New Roman" w:hAnsi="Times New Roman" w:cs="Times New Roman" w:eastAsia="宋体"/>
          <w:b w:val="0"/>
          <w:sz w:val="24"/>
        </w:rPr>
        <w:t>主模型将关系级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设置为层内共享参数，将节点级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设置为样本—节点—特征级张量。二者的参数量和自由度不同，也对应不同的干预问题。第4章L1干预只替换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，不把其结果推广为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的独立增益；节点门控的单独消融仍是未完成的证据项。因此，本章将节点门控描述为模型结构的一部分，第4章只报告“完整模型对关系分配存在功能依赖”，而不报告“节点门控单独贡献了多少百分点”。</w:t>
      </w:r>
    </w:p>
    <w:p>
      <w:pPr>
        <w:spacing w:before="240" w:after="180" w:line="300" w:lineRule="auto"/>
        <w:ind w:firstLine="0"/>
        <w:jc w:val="both"/>
        <w:outlineLvl w:val="2"/>
      </w:pPr>
      <w:r>
        <w:rPr>
          <w:rFonts w:ascii="Times New Roman" w:hAnsi="Times New Roman" w:cs="Times New Roman" w:eastAsia="黑体"/>
          <w:b w:val="0"/>
          <w:sz w:val="28"/>
        </w:rPr>
        <w:t>3.5.10 跨层表示的使用原则</w:t>
      </w:r>
    </w:p>
    <w:p>
      <w:pPr>
        <w:spacing w:before="0" w:after="0" w:line="300" w:lineRule="auto"/>
        <w:ind w:firstLine="480"/>
        <w:jc w:val="both"/>
      </w:pPr>
      <w:r>
        <w:rPr>
          <w:rFonts w:ascii="Times New Roman" w:hAnsi="Times New Roman" w:cs="Times New Roman" w:eastAsia="宋体"/>
          <w:b w:val="0"/>
          <w:sz w:val="24"/>
        </w:rPr>
        <w:t>双层传播并不是把所有中间状态无差别相加。第一层输出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先经过残差MLP精炼得到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，精炼目标是对第一层表示进行特征变换和尺度调整，使其适合作为第二层传播的输入。第二层再以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聚合三类关系并形成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。因此，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的语义是“第二层入口状态”，而不是一个需要与原始层状态并列保留的第三种输出。</w:t>
      </w:r>
    </w:p>
    <w:p>
      <w:pPr>
        <w:spacing w:before="0" w:after="0" w:line="300" w:lineRule="auto"/>
        <w:ind w:firstLine="480"/>
        <w:jc w:val="both"/>
      </w:pPr>
      <w:r>
        <w:rPr>
          <w:rFonts w:ascii="Times New Roman" w:hAnsi="Times New Roman" w:cs="Times New Roman" w:eastAsia="宋体"/>
          <w:b w:val="0"/>
          <w:sz w:val="24"/>
        </w:rPr>
        <w:t>最终预测表示使用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𝐇</m:t>
            </m:r>
          </m:e>
          <m:sup>
            <m:r>
              <m:t>(</m:t>
            </m:r>
            <m:r>
              <m:t>1</m:t>
            </m:r>
            <m:r>
              <m:t>)</m:t>
            </m:r>
          </m:sup>
        </m:sSup>
        <m:r>
          <m:t>‖</m:t>
        </m:r>
        <m:sSup>
          <m:sSupPr/>
          <m:e>
            <m:r>
              <m:t>𝐇</m:t>
            </m:r>
          </m:e>
          <m:sup>
            <m:r>
              <m:t>(</m:t>
            </m:r>
            <m:r>
              <m:t>2</m:t>
            </m:r>
            <m:r>
              <m:t>)</m:t>
            </m:r>
          </m:sup>
        </m:sSup>
      </m:oMath>
      <w:r>
        <w:rPr>
          <w:rFonts w:ascii="Times New Roman" w:hAnsi="Times New Roman" w:cs="Times New Roman" w:eastAsia="宋体"/>
          <w:b w:val="0"/>
          <w:sz w:val="24"/>
        </w:rPr>
        <w:t>。保留原始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而不使用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是为了让跨层融合同时包含时间骨干输出、一阶关系传播输出和二阶关系传播输出；如果将精炼状态也加入拼接，表示维度、预测头输入和参数量都会变化，且难以判断增益来自跨层信息还是额外的重复路径。本文将这一选择固定在主模型配置中，并在结构消融中以“去除跨层拼接”作为整体路径检验，而不把精炼层的局部差异单独解释为因果效果。</w:t>
      </w:r>
    </w:p>
    <w:p>
      <w:pPr>
        <w:spacing w:before="60" w:after="60" w:line="240" w:lineRule="auto"/>
        <w:ind w:firstLine="0"/>
        <w:jc w:val="center"/>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3"/>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图3-7 跨层表示路径</w:t>
      </w:r>
    </w:p>
    <w:p>
      <w:pPr>
        <w:spacing w:before="0" w:after="0" w:line="300" w:lineRule="auto"/>
        <w:ind w:firstLine="480"/>
        <w:jc w:val="both"/>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接入跨层拼接。</w:t>
      </w:r>
    </w:p>
    <w:p>
      <w:pPr>
        <w:spacing w:before="0" w:after="0" w:line="300" w:lineRule="auto"/>
        <w:ind w:firstLine="480"/>
        <w:jc w:val="both"/>
      </w:pPr>
      <w:r>
        <w:rPr>
          <w:rFonts w:ascii="Times New Roman" w:hAnsi="Times New Roman" w:cs="Times New Roman" w:eastAsia="宋体"/>
          <w:b w:val="0"/>
          <w:sz w:val="24"/>
        </w:rPr>
        <w:t>这一表示约束也决定了模型实现中的张量检查方式。每一层传播前，程序核对输入的节点数和隐藏维度；MLP精炼前后保持批次、节点和特征维度一致；第二层传播的输入指针必须指向精炼张量；预测头的输入维度则由三层原始状态拼接后的维度确定。训练和推理阶段使用同一前向顺序，不能在测试阶段临时将精炼状态替换进拼接，或将原始第一层状态错误地作为第二层输入。对这些条件的检查是结构可复核性的组成部分，而不是仅为绘图服务。</w:t>
      </w:r>
    </w:p>
    <w:p>
      <w:pPr>
        <w:spacing w:before="0" w:after="0" w:line="300" w:lineRule="auto"/>
        <w:ind w:firstLine="480"/>
        <w:jc w:val="both"/>
      </w:pPr>
      <w:r>
        <w:rPr>
          <w:rFonts w:ascii="Times New Roman" w:hAnsi="Times New Roman" w:cs="Times New Roman" w:eastAsia="宋体"/>
          <w:b w:val="0"/>
          <w:sz w:val="24"/>
        </w:rPr>
        <w:t>从信息路径看，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代表时间编码后的节点历史，</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代表一次关系传播，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代表在精炼入口上的第二次关系传播。三者进入预测头时保留了不同深度的信息。浅层状态有助于降低过平滑风险，深层状态有助于利用多跳统计联系；这是一种表示融合假设，而不是对二阶邻居一定更有价值的预设。图3-10、图3-12和图3-14的结果只能评价主模型及所检变体，不能据此断言任意层数或任意拼接方式均有效。</w:t>
      </w:r>
    </w:p>
    <w:p>
      <w:pPr>
        <w:spacing w:before="0" w:after="0" w:line="300" w:lineRule="auto"/>
        <w:ind w:firstLine="480"/>
        <w:jc w:val="both"/>
      </w:pPr>
      <w:r>
        <w:rPr>
          <w:rFonts w:ascii="Times New Roman" w:hAnsi="Times New Roman" w:cs="Times New Roman" w:eastAsia="宋体"/>
          <w:b w:val="0"/>
          <w:sz w:val="24"/>
        </w:rPr>
        <w:t>模型结构的可解释性因此来自“可命名的路径约束”而不是装饰性模块数量。关系级权重、节点级门值、残差路径和跨层拼接各自有明确的输入、输出和干预边界；图3-6和图3-7补充的是实现关系，不新增训练目标或实验结论。后续如需单独证明节点门控、精炼或跨层融合的边际贡献，应在相同数据、种子、早停和评价键下分别重训对应变体，而不能使用当前参数替换结果代替结构消融。</w:t>
      </w:r>
    </w:p>
    <w:p>
      <w:pPr>
        <w:spacing w:before="360" w:after="240" w:line="360" w:lineRule="auto"/>
        <w:ind w:firstLine="0"/>
        <w:jc w:val="both"/>
        <w:outlineLvl w:val="1"/>
      </w:pPr>
      <w:r>
        <w:rPr>
          <w:rFonts w:ascii="Times New Roman" w:hAnsi="Times New Roman" w:cs="Times New Roman" w:eastAsia="黑体"/>
          <w:b/>
          <w:sz w:val="30"/>
        </w:rPr>
        <w:t>3.6 对比实验</w:t>
      </w:r>
    </w:p>
    <w:p>
      <w:pPr>
        <w:spacing w:before="240" w:after="180" w:line="300" w:lineRule="auto"/>
        <w:ind w:firstLine="0"/>
        <w:jc w:val="both"/>
        <w:outlineLvl w:val="2"/>
      </w:pPr>
      <w:r>
        <w:rPr>
          <w:rFonts w:ascii="Times New Roman" w:hAnsi="Times New Roman" w:cs="Times New Roman" w:eastAsia="黑体"/>
          <w:b w:val="0"/>
          <w:sz w:val="28"/>
        </w:rPr>
        <w:t>3.6.1 实验协议</w:t>
      </w:r>
    </w:p>
    <w:p>
      <w:pPr>
        <w:spacing w:before="0" w:after="0" w:line="300" w:lineRule="auto"/>
        <w:ind w:firstLine="480"/>
        <w:jc w:val="both"/>
      </w:pPr>
      <w:r>
        <w:rPr>
          <w:rFonts w:ascii="Times New Roman" w:hAnsi="Times New Roman" w:cs="Times New Roman" w:eastAsia="宋体"/>
          <w:b w:val="0"/>
          <w:sz w:val="24"/>
        </w:rPr>
        <w:t>全部模型采用第2章确定的10个节点、96步输入、4步输出和7∶1.5∶1.5时间划分，并在712,360个测试预测键上评价。训练集、验证集和测试集分别包含83,103、17,807和17,809个预测起点。随机初始化模型报告三种子均值和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[84]</w:t>
      </w:r>
      <w:r>
        <w:rPr>
          <w:rFonts w:ascii="Times New Roman" w:hAnsi="Times New Roman" w:cs="Times New Roman" w:eastAsia="宋体"/>
          <w:b w:val="0"/>
          <w:sz w:val="24"/>
        </w:rPr>
        <w:t>为确定性基线，不报告种子标准差。</w:t>
      </w:r>
    </w:p>
    <w:p>
      <w:pPr>
        <w:spacing w:before="0" w:after="0" w:line="300" w:lineRule="auto"/>
        <w:ind w:firstLine="480"/>
        <w:jc w:val="both"/>
      </w:pPr>
      <w:r>
        <w:rPr>
          <w:rFonts w:ascii="Times New Roman" w:hAnsi="Times New Roman" w:cs="Times New Roman" w:eastAsia="宋体"/>
          <w:b w:val="0"/>
          <w:sz w:val="24"/>
        </w:rPr>
        <w:t>为锁定原主实验的配置与结果来源，本文将正式MRG-GCN定义为SG-EXP-003的StaticGraph运行，而不是后续可见性修订协议的替代结果。三种子预测长表、模型权重和运行配置均保存在同一夜跑目录；第四章四格诊断和本节时间块统计均从这些逐键预测重新计算。配置锁定见下方配置证据表，完整来源哈希和复核产物见outputs/analysis/SG-EXP-020-legacy-evidence-v1/。</w:t>
      </w:r>
    </w:p>
    <w:p>
      <w:pPr>
        <w:spacing w:before="60" w:after="60" w:line="240" w:lineRule="auto"/>
        <w:ind w:firstLine="0"/>
        <w:jc w:val="center"/>
      </w:pPr>
      <w:r>
        <w:rPr>
          <w:rFonts w:ascii="Times New Roman" w:hAnsi="Times New Roman" w:cs="Times New Roman" w:eastAsia="黑体"/>
          <w:b w:val="0"/>
          <w:sz w:val="21"/>
        </w:rPr>
        <w:t>原主实验配置与证据来源表</w:t>
      </w:r>
    </w:p>
    <w:tbl>
      <w:tblPr>
        <w:tblW w:type="auto" w:w="0"/>
        <w:tblLayout w:type="fixed"/>
        <w:tblLook w:firstColumn="1" w:firstRow="1" w:lastColumn="0" w:lastRow="0" w:noHBand="0" w:noVBand="1" w:val="04A0"/>
      </w:tblPr>
      <w:tblGrid>
        <w:gridCol w:w="4156"/>
        <w:gridCol w:w="4156"/>
      </w:tblGrid>
      <w:tr>
        <w:tc>
          <w:tcPr>
            <w:tcW w:type="dxa" w:w="457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457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冻结内容</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实验与模型</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SG-EXP-003，StaticGraph，三类固定统计关系</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数据与窗口</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SG-DATA-005-primary-tensor；10节点；输入96步，输出4步</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关系稀疏度</w:t>
            </w:r>
          </w:p>
        </w:tc>
        <w:tc>
          <w:tcPr>
            <w:tcW w:type="dxa" w:w="4578"/>
            <w:vAlign w:val="center"/>
            <w:tcBorders>
              <w:top w:val="nil"/>
              <w:bottom w:val="nil"/>
              <w:left w:val="nil"/>
              <w:right w:val="nil"/>
            </w:tcBorders>
          </w:tcPr>
          <w:p>
            <w:pPr>
              <w:spacing w:before="0" w:after="0" w:line="276" w:lineRule="auto"/>
              <w:ind w:firstLine="0"/>
              <w:jc w:val="left"/>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t>，无向并集后加自环并对称归一化</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训练控制</w:t>
            </w:r>
          </w:p>
        </w:tc>
        <w:tc>
          <w:tcPr>
            <w:tcW w:type="dxa" w:w="4578"/>
            <w:vAlign w:val="center"/>
            <w:tcBorders>
              <w:top w:val="nil"/>
              <w:bottom w:val="nil"/>
              <w:left w:val="nil"/>
              <w:right w:val="nil"/>
            </w:tcBorders>
          </w:tcPr>
          <w:p>
            <w:pPr>
              <w:spacing w:before="0" w:after="0" w:line="276" w:lineRule="auto"/>
              <w:ind w:firstLine="0"/>
              <w:jc w:val="left"/>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t>；批量256；最多60轮；patience=8</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随机种子</w:t>
            </w:r>
          </w:p>
        </w:tc>
        <w:tc>
          <w:tcPr>
            <w:tcW w:type="dxa" w:w="4578"/>
            <w:vAlign w:val="center"/>
            <w:tcBorders>
              <w:top w:val="nil"/>
              <w:bottom w:val="nil"/>
              <w:left w:val="nil"/>
              <w:right w:val="nil"/>
            </w:tcBorders>
          </w:tcPr>
          <w:p>
            <w:pPr>
              <w:spacing w:before="0" w:after="0" w:line="276" w:lineRule="auto"/>
              <w:ind w:firstLine="0"/>
              <w:jc w:val="left"/>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结果来源</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outputs/night_run/20260730-171821/SG-EXP-003/20260730-171821/seed-*</w:t>
            </w:r>
          </w:p>
        </w:tc>
      </w:tr>
      <w:tr>
        <w:tc>
          <w:tcPr>
            <w:tcW w:type="dxa" w:w="457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复核内容</w:t>
            </w:r>
          </w:p>
        </w:tc>
        <w:tc>
          <w:tcPr>
            <w:tcW w:type="dxa" w:w="457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预测键唯一、三种子键/真值/事件掩码一致、四格可加权还原、来源哈希冻结</w:t>
            </w:r>
          </w:p>
        </w:tc>
      </w:tr>
    </w:tbl>
    <w:p>
      <w:pPr>
        <w:spacing w:before="0" w:after="0" w:line="300" w:lineRule="auto"/>
        <w:ind w:firstLine="480"/>
        <w:jc w:val="both"/>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MAE</m:t>
        </m:r>
        <m:r>
          <m:t>⁡</m:t>
        </m:r>
        <m:r>
          <m:t>=</m:t>
        </m:r>
        <m:f>
          <m:num>
            <m:r>
              <m:t>1</m:t>
            </m:r>
          </m:num>
          <m:den>
            <m:r>
              <m:t>M</m:t>
            </m:r>
          </m:den>
        </m:f>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r>
          <m:t>,</m:t>
        </m:r>
        <m:r>
          <m:t>RMSE</m:t>
        </m:r>
        <m:r>
          <m:t>⁡</m:t>
        </m:r>
        <m:r>
          <m:t>=</m:t>
        </m:r>
        <m:rad>
          <m:radPr>
            <m:degHide m:val="1"/>
          </m:radPr>
          <m:deg/>
          <m:e>
            <m:f>
              <m:num>
                <m:r>
                  <m:t>1</m:t>
                </m:r>
              </m:num>
              <m:den>
                <m:r>
                  <m:t>M</m:t>
                </m:r>
              </m:den>
            </m:f>
            <m:sSubSup>
              <m:sSubSupPr/>
              <m:e>
                <m:r>
                  <m:t>∑</m:t>
                </m:r>
              </m:e>
              <m:sub>
                <m:r>
                  <m:t>m</m:t>
                </m:r>
                <m:r>
                  <m:t>=</m:t>
                </m:r>
                <m:r>
                  <m:t>1</m:t>
                </m:r>
              </m:sub>
              <m:sup>
                <m:r>
                  <m:t>M</m:t>
                </m:r>
              </m:sup>
            </m:sSubSup>
            <m:sSup>
              <m:sSupPr/>
              <m:e>
                <m:r>
                  <m:t>(</m:t>
                </m:r>
                <m:sSub>
                  <m:sSubPr/>
                  <m:e>
                    <m:r>
                      <m:t>y</m:t>
                    </m:r>
                    <m:r>
                      <m:t>ˆ</m:t>
                    </m:r>
                  </m:e>
                  <m:sub>
                    <m:r>
                      <m:t>m</m:t>
                    </m:r>
                  </m:sub>
                </m:sSub>
                <m:r>
                  <m:t>−</m:t>
                </m:r>
                <m:sSub>
                  <m:sSubPr/>
                  <m:e>
                    <m:r>
                      <m:t>y</m:t>
                    </m:r>
                  </m:e>
                  <m:sub>
                    <m:r>
                      <m:t>m</m:t>
                    </m:r>
                  </m:sub>
                </m:sSub>
                <m:r>
                  <m:t>)</m:t>
                </m:r>
              </m:e>
              <m:sup>
                <m:r>
                  <m:t>2</m:t>
                </m:r>
              </m:sup>
            </m:sSup>
          </m:e>
        </m:rad>
        <m: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WAPE</m:t>
        </m:r>
        <m:r>
          <m:t>⁡</m:t>
        </m:r>
        <m:r>
          <m:t>=</m:t>
        </m:r>
        <m:f>
          <m:num>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num>
          <m:den>
            <m:sSubSup>
              <m:sSubSupPr/>
              <m:e>
                <m:r>
                  <m:t>∑</m:t>
                </m:r>
              </m:e>
              <m:sub>
                <m:r>
                  <m:t>m</m:t>
                </m:r>
                <m:r>
                  <m:t>=</m:t>
                </m:r>
                <m:r>
                  <m:t>1</m:t>
                </m:r>
              </m:sub>
              <m:sup>
                <m:r>
                  <m:t>M</m:t>
                </m:r>
              </m:sup>
            </m:sSubSup>
            <m:r>
              <m:t>|</m:t>
            </m:r>
            <m:sSub>
              <m:sSubPr/>
              <m:e>
                <m:r>
                  <m:t>y</m:t>
                </m:r>
              </m:e>
              <m:sub>
                <m:r>
                  <m:t>m</m:t>
                </m:r>
              </m:sub>
            </m:sSub>
            <m:r>
              <m:t>|</m:t>
            </m:r>
          </m:den>
        </m:f>
        <m:r>
          <m:t>.</m:t>
        </m:r>
      </m:oMath>
      <w:r>
        <w:tab/>
      </w:r>
      <w:r>
        <w:rPr>
          <w:rFonts w:ascii="Times New Roman" w:hAnsi="Times New Roman" w:cs="Times New Roman" w:eastAsia="宋体"/>
          <w:sz w:val="21"/>
        </w:rPr>
        <w:t>（3-15）</w:t>
      </w:r>
    </w:p>
    <w:p>
      <w:pPr>
        <w:spacing w:before="0" w:after="0" w:line="300" w:lineRule="auto"/>
        <w:ind w:firstLine="480"/>
        <w:jc w:val="both"/>
      </w:pPr>
      <w:r>
        <w:rPr>
          <w:rFonts w:ascii="Times New Roman" w:hAnsi="Times New Roman" w:cs="Times New Roman" w:eastAsia="宋体"/>
          <w:b w:val="0"/>
          <w:sz w:val="24"/>
        </w:rPr>
        <w:t>MAE和RMSE单位均为kWh/15 min，WAPE无量纲。测试键中零负荷约占87%，MAPE易受零分母影响，故不作为主指标。表3-1汇总11个正式比较模型，并保留EventResidual作为已执行探索路线的结果记录。正式比较模型包括4个传统基线、MLP、GRU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图3-8 训练—预测—评价流程</w:t>
      </w:r>
    </w:p>
    <w:p>
      <w:pPr>
        <w:spacing w:before="0" w:after="0" w:line="300" w:lineRule="auto"/>
        <w:ind w:firstLine="480"/>
        <w:jc w:val="both"/>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pPr>
      <w:r>
        <w:rPr>
          <w:rFonts w:ascii="Times New Roman" w:hAnsi="Times New Roman" w:cs="Times New Roman" w:eastAsia="黑体"/>
          <w:b w:val="0"/>
          <w:sz w:val="28"/>
        </w:rPr>
        <w:t>3.6.2 全局指标对比</w:t>
      </w:r>
    </w:p>
    <w:p>
      <w:pPr>
        <w:spacing w:before="60" w:after="60" w:line="240" w:lineRule="auto"/>
        <w:ind w:firstLine="0"/>
        <w:jc w:val="center"/>
      </w:pPr>
      <w:r>
        <w:rPr>
          <w:rFonts w:ascii="Times New Roman" w:hAnsi="Times New Roman" w:cs="Times New Roman" w:eastAsia="黑体"/>
          <w:b w:val="0"/>
          <w:sz w:val="21"/>
        </w:rPr>
        <w:t>表3-1 全局预测指标对比</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MAE/(kWh/15 min)</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MAE标准差</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RMSE/(kWh/15 min)</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WAPE</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Persistence</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0.07828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0.23946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1.6270</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LightGBM</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0.03758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0.11998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0.7811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XGBoost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0.03873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0.12063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0.8051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ARIMA</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0.02260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0.13229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0.02112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0.10112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0.4390</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0.02965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0.00003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0.10838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0.6162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0.10831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0.6136</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0.01773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0.00054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0.10023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0.3685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0.02057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0.00029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0.09820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0.4276</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0.2902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EventResidual（探索记录）</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0.2889</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0.00023</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0.09918</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0.2860</w:t>
            </w:r>
          </w:p>
        </w:tc>
      </w:tr>
    </w:tbl>
    <w:p>
      <w:pPr>
        <w:spacing w:before="0" w:after="0" w:line="300" w:lineRule="auto"/>
        <w:ind w:firstLine="480"/>
        <w:jc w:val="both"/>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pPr>
      <w:r>
        <w:rPr>
          <w:rFonts w:ascii="Times New Roman" w:hAnsi="Times New Roman" w:cs="Times New Roman" w:eastAsia="宋体"/>
          <w:b w:val="0"/>
          <w:sz w:val="24"/>
        </w:rPr>
        <w:t>MRG-GCN的全局MAE为0.01376，较TCN、ARIMA、MLP、GWN和AGCRN分别降低53.4%、39.1%、34.8%、22.4%和33.1%。在本实验协议下，MRG-GCN完整配置的全局绝对误差低于无图时序模型及所检图模型。不同指标的最优模型并不完全相同：MRG-GCN的MAE最低，并在已报告WAPE的模型中取得最低WAPE；AGCRN的RMSE最低。因而本章不以单一模型概括全部指标排序。</w:t>
      </w:r>
    </w:p>
    <w:p>
      <w:pPr>
        <w:spacing w:before="0" w:after="0" w:line="300" w:lineRule="auto"/>
        <w:ind w:firstLine="480"/>
        <w:jc w:val="both"/>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pPr>
      <w:r>
        <w:drawing>
          <wp:inline xmlns:a="http://schemas.openxmlformats.org/drawingml/2006/main" xmlns:pic="http://schemas.openxmlformats.org/drawingml/2006/picture">
            <wp:extent cx="5112000" cy="3624272"/>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85"/>
                    <a:stretch>
                      <a:fillRect/>
                    </a:stretch>
                  </pic:blipFill>
                  <pic:spPr>
                    <a:xfrm>
                      <a:off x="0" y="0"/>
                      <a:ext cx="5112000" cy="3624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图3-9 不同模型的全局MAE</w:t>
      </w:r>
    </w:p>
    <w:p>
      <w:pPr>
        <w:spacing w:before="0" w:after="0" w:line="300" w:lineRule="auto"/>
        <w:ind w:firstLine="480"/>
        <w:jc w:val="both"/>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处较LightGBM的0.05139低55.2%。</w:t>
      </w:r>
    </w:p>
    <w:p>
      <w:pPr>
        <w:spacing w:before="60" w:after="60" w:line="240" w:lineRule="auto"/>
        <w:ind w:firstLine="0"/>
        <w:jc w:val="center"/>
      </w:pPr>
      <w:r>
        <w:drawing>
          <wp:inline xmlns:a="http://schemas.openxmlformats.org/drawingml/2006/main" xmlns:pic="http://schemas.openxmlformats.org/drawingml/2006/picture">
            <wp:extent cx="5112000" cy="2834151"/>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86"/>
                    <a:stretch>
                      <a:fillRect/>
                    </a:stretch>
                  </pic:blipFill>
                  <pic:spPr>
                    <a:xfrm>
                      <a:off x="0" y="0"/>
                      <a:ext cx="5112000" cy="283415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图3-10 不同模型的逐步长MAE</w:t>
      </w:r>
    </w:p>
    <w:p>
      <w:pPr>
        <w:spacing w:before="0" w:after="0" w:line="300" w:lineRule="auto"/>
        <w:ind w:firstLine="480"/>
        <w:jc w:val="both"/>
      </w:pPr>
      <w:r>
        <w:rPr>
          <w:rFonts w:ascii="Times New Roman" w:hAnsi="Times New Roman" w:cs="Times New Roman" w:eastAsia="宋体"/>
          <w:b w:val="0"/>
          <w:sz w:val="18"/>
        </w:rPr>
        <w:t>注：曲线为三种子均值，阴影为跨种子标准差；横轴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18"/>
        </w:rPr>
        <w:t>对应15～60 min预测提前量。</w:t>
      </w:r>
    </w:p>
    <w:p>
      <w:pPr>
        <w:spacing w:before="0" w:after="0" w:line="300" w:lineRule="auto"/>
        <w:ind w:firstLine="480"/>
        <w:jc w:val="both"/>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pPr>
      <w:r>
        <w:drawing>
          <wp:inline xmlns:a="http://schemas.openxmlformats.org/drawingml/2006/main" xmlns:pic="http://schemas.openxmlformats.org/drawingml/2006/picture">
            <wp:extent cx="5112000" cy="3890929"/>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87"/>
                    <a:stretch>
                      <a:fillRect/>
                    </a:stretch>
                  </pic:blipFill>
                  <pic:spPr>
                    <a:xfrm>
                      <a:off x="0" y="0"/>
                      <a:ext cx="5112000" cy="38909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图3-11 模型误差差的点级Bootstrap</w:t>
      </w:r>
    </w:p>
    <w:p>
      <w:pPr>
        <w:spacing w:before="0" w:after="0" w:line="300" w:lineRule="auto"/>
        <w:ind w:firstLine="480"/>
        <w:jc w:val="both"/>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spacing w:before="60" w:after="60" w:line="240" w:lineRule="auto"/>
        <w:ind w:firstLine="0"/>
        <w:jc w:val="center"/>
      </w:pPr>
      <w:r>
        <w:rPr>
          <w:rFonts w:ascii="Times New Roman" w:hAnsi="Times New Roman" w:cs="Times New Roman" w:eastAsia="黑体"/>
          <w:b w:val="0"/>
          <w:sz w:val="21"/>
        </w:rPr>
        <w:t>原主实验时间块误差差复核表</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对照（基线−MRG-GCN）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平均误差差</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1日块95%区间</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正差块</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7日块95%区间</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正差块</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0.01576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[0.01517, 0.01640]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187/187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[0.01495, 0.01662]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27/27</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0.00020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[0.00016, 0.00025]</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166/187</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[0.00015, 0.00026]</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27/27</w:t>
            </w:r>
          </w:p>
        </w:tc>
      </w:tr>
    </w:tbl>
    <w:p>
      <w:pPr>
        <w:spacing w:before="0" w:after="0" w:line="300" w:lineRule="auto"/>
        <w:ind w:firstLine="480"/>
        <w:jc w:val="both"/>
      </w:pPr>
      <w:r>
        <w:rPr>
          <w:rFonts w:ascii="Times New Roman" w:hAnsi="Times New Roman" w:cs="Times New Roman" w:eastAsia="宋体"/>
          <w:b w:val="0"/>
          <w:sz w:val="24"/>
        </w:rPr>
        <w:t>下表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完整逐块统计、每种子结果、重采样种子和源文件哈希见block_statistics.csv、block_intervals.csv和source_lock.json。</w:t>
      </w:r>
    </w:p>
    <w:p>
      <w:pPr>
        <w:spacing w:before="240" w:after="180" w:line="300" w:lineRule="auto"/>
        <w:ind w:firstLine="0"/>
        <w:jc w:val="both"/>
        <w:outlineLvl w:val="2"/>
      </w:pPr>
      <w:r>
        <w:rPr>
          <w:rFonts w:ascii="Times New Roman" w:hAnsi="Times New Roman" w:cs="Times New Roman" w:eastAsia="黑体"/>
          <w:b w:val="0"/>
          <w:sz w:val="28"/>
        </w:rPr>
        <w:t>3.6.3 分层指标对比</w:t>
      </w:r>
    </w:p>
    <w:p>
      <w:pPr>
        <w:spacing w:before="0" w:after="0" w:line="300" w:lineRule="auto"/>
        <w:ind w:firstLine="480"/>
        <w:jc w:val="both"/>
      </w:pPr>
      <w:r>
        <w:rPr>
          <w:rFonts w:ascii="Times New Roman" w:hAnsi="Times New Roman" w:cs="Times New Roman" w:eastAsia="宋体"/>
          <w:b w:val="0"/>
          <w:sz w:val="24"/>
        </w:rPr>
        <w:t>分层结果见表3-2：依据目标侧标签事件target_event划分事件与稳定窗口，并另行报告非零负荷子集。事件窗口占测试预测键的1.43%，冻结规则触发率0.43%不用于本表分层。</w:t>
      </w:r>
    </w:p>
    <w:p>
      <w:pPr>
        <w:spacing w:before="60" w:after="60" w:line="240" w:lineRule="auto"/>
        <w:ind w:firstLine="0"/>
        <w:jc w:val="center"/>
      </w:pPr>
      <w:r>
        <w:rPr>
          <w:rFonts w:ascii="Times New Roman" w:hAnsi="Times New Roman" w:cs="Times New Roman" w:eastAsia="黑体"/>
          <w:b w:val="0"/>
          <w:sz w:val="21"/>
        </w:rPr>
        <w:t>表3-2 分层MAE对比</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事件窗口</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稳定窗口</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非零负荷</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Persistence</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0.4382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0.0731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0.3640</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LightGBM</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0.3074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0.1402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XGBoost</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0.1411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ARIMA</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0.2939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0.0187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0.0909</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0.3114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0.1292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0.3042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0.1274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0.3049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0.1264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0.2732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0.0693</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0.2924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0.0995</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0.2763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0.0720</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EventResidual</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0.2760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0.0715</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0.2761</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0.0100</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0.0711</w:t>
            </w:r>
          </w:p>
        </w:tc>
      </w:tr>
    </w:tbl>
    <w:p>
      <w:pPr>
        <w:spacing w:before="0" w:after="0" w:line="300" w:lineRule="auto"/>
        <w:ind w:firstLine="480"/>
        <w:jc w:val="both"/>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pPr>
      <w:r>
        <w:drawing>
          <wp:inline xmlns:a="http://schemas.openxmlformats.org/drawingml/2006/main" xmlns:pic="http://schemas.openxmlformats.org/drawingml/2006/picture">
            <wp:extent cx="5112000" cy="2561049"/>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88"/>
                    <a:stretch>
                      <a:fillRect/>
                    </a:stretch>
                  </pic:blipFill>
                  <pic:spPr>
                    <a:xfrm>
                      <a:off x="0" y="0"/>
                      <a:ext cx="5112000" cy="25610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图3-12 不同评价窗口的MAE</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pPr>
      <w:r>
        <w:rPr>
          <w:rFonts w:ascii="Times New Roman" w:hAnsi="Times New Roman" w:cs="Times New Roman" w:eastAsia="黑体"/>
          <w:b w:val="0"/>
          <w:sz w:val="28"/>
        </w:rPr>
        <w:t>3.6.4 节点与预测步长分析</w:t>
      </w:r>
    </w:p>
    <w:p>
      <w:pPr>
        <w:spacing w:before="0" w:after="0" w:line="300" w:lineRule="auto"/>
        <w:ind w:firstLine="480"/>
        <w:jc w:val="both"/>
      </w:pPr>
      <w:r>
        <w:rPr>
          <w:rFonts w:ascii="Times New Roman" w:hAnsi="Times New Roman" w:cs="Times New Roman" w:eastAsia="宋体"/>
          <w:b w:val="0"/>
          <w:sz w:val="24"/>
        </w:rPr>
        <w:t>MRG-GCN的逐步长和逐节点误差列于表3-3。</w:t>
      </w:r>
    </w:p>
    <w:p>
      <w:pPr>
        <w:spacing w:before="60" w:after="60" w:line="240" w:lineRule="auto"/>
        <w:ind w:firstLine="0"/>
        <w:jc w:val="center"/>
      </w:pPr>
      <w:r>
        <w:rPr>
          <w:rFonts w:ascii="Times New Roman" w:hAnsi="Times New Roman" w:cs="Times New Roman" w:eastAsia="黑体"/>
          <w:b w:val="0"/>
          <w:sz w:val="21"/>
        </w:rPr>
        <w:t>表3-3 MRG-GCN逐步长与逐节点MAE</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预测步长</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t>（15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0.00432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0.02582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0.00616</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2</m:t>
              </m:r>
            </m:oMath>
            <w:r>
              <w:rPr/>
              <w:t>（30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0.01072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0.01171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0.00686</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3</m:t>
              </m:r>
            </m:oMath>
            <w:r>
              <w:rPr/>
              <w:t>（45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0.01697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0.02234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0.00642</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t>（60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0.02302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0.01863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0.01318</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0.01810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0.00839</w:t>
            </w:r>
          </w:p>
        </w:tc>
      </w:tr>
    </w:tbl>
    <w:p>
      <w:pPr>
        <w:spacing w:before="0" w:after="0" w:line="300" w:lineRule="auto"/>
        <w:ind w:firstLine="480"/>
        <w:jc w:val="both"/>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pPr>
      <w:r>
        <w:drawing>
          <wp:inline xmlns:a="http://schemas.openxmlformats.org/drawingml/2006/main" xmlns:pic="http://schemas.openxmlformats.org/drawingml/2006/picture">
            <wp:extent cx="5112000" cy="2215918"/>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89"/>
                    <a:stretch>
                      <a:fillRect/>
                    </a:stretch>
                  </pic:blipFill>
                  <pic:spPr>
                    <a:xfrm>
                      <a:off x="0" y="0"/>
                      <a:ext cx="5112000" cy="221591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图3-13 不同模型的逐节点MAE</w:t>
      </w:r>
    </w:p>
    <w:p>
      <w:pPr>
        <w:spacing w:before="0" w:after="0" w:line="300" w:lineRule="auto"/>
        <w:ind w:firstLine="480"/>
        <w:jc w:val="both"/>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pPr>
      <w:r>
        <w:rPr>
          <w:rFonts w:ascii="Times New Roman" w:hAnsi="Times New Roman" w:cs="Times New Roman" w:eastAsia="黑体"/>
          <w:b w:val="0"/>
          <w:sz w:val="28"/>
        </w:rPr>
        <w:t>3.6.5 模型效率分析</w:t>
      </w:r>
    </w:p>
    <w:p>
      <w:pPr>
        <w:spacing w:before="0" w:after="0" w:line="300" w:lineRule="auto"/>
        <w:ind w:firstLine="480"/>
        <w:jc w:val="both"/>
      </w:pPr>
      <w:r>
        <w:rPr>
          <w:rFonts w:ascii="Times New Roman" w:hAnsi="Times New Roman" w:cs="Times New Roman" w:eastAsia="宋体"/>
          <w:b w:val="0"/>
          <w:sz w:val="24"/>
        </w:rPr>
        <w:t>模型规模与正式训练耗时列于表3-4。</w:t>
      </w:r>
    </w:p>
    <w:p>
      <w:pPr>
        <w:spacing w:before="60" w:after="60" w:line="240" w:lineRule="auto"/>
        <w:ind w:firstLine="0"/>
        <w:jc w:val="center"/>
      </w:pPr>
      <w:r>
        <w:rPr>
          <w:rFonts w:ascii="Times New Roman" w:hAnsi="Times New Roman" w:cs="Times New Roman" w:eastAsia="黑体"/>
          <w:b w:val="0"/>
          <w:sz w:val="21"/>
        </w:rPr>
        <w:t>表3-4 模型规模与正式训练耗时</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可训练参数量</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单种子训练耗时均值/min</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4,068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0.02965</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4,252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51.9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0.02057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16,996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35,005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0.01396</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40,084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0.01773</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228,968</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1.3</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0.02112</w:t>
            </w:r>
          </w:p>
        </w:tc>
      </w:tr>
    </w:tbl>
    <w:p>
      <w:pPr>
        <w:spacing w:before="0" w:after="0" w:line="300" w:lineRule="auto"/>
        <w:ind w:firstLine="480"/>
        <w:jc w:val="both"/>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pPr>
      <w:r>
        <w:rPr>
          <w:rFonts w:ascii="Times New Roman" w:hAnsi="Times New Roman" w:cs="Times New Roman" w:eastAsia="宋体"/>
          <w:b w:val="0"/>
          <w:sz w:val="24"/>
        </w:rPr>
        <w:t>从结果解读角度，表3-1应先回答“在统一预测键下哪一组完整配置的误差更低”，再回答“哪些机制值得进一步诊断”。MRG-GCN的全局MAE最低，说明在旧主协议、10个节点、96步输入和4步输出的条件下，固定三关系图与双层门控结构组成的整体方案有效；它并不说明三类关系中的每一种都产生了可分离的边际收益。AdaptiveGraph和EventResidual与MRG-GCN的差距很小，且处于三种子波动量级附近，因此应将它们视为接近的头部配置，而不是给出稳定名次。</w:t>
      </w:r>
    </w:p>
    <w:p>
      <w:pPr>
        <w:spacing w:before="0" w:after="0" w:line="300" w:lineRule="auto"/>
        <w:ind w:firstLine="480"/>
        <w:jc w:val="both"/>
      </w:pPr>
      <w:r>
        <w:rPr>
          <w:rFonts w:ascii="Times New Roman" w:hAnsi="Times New Roman" w:cs="Times New Roman" w:eastAsia="宋体"/>
          <w:b w:val="0"/>
          <w:sz w:val="24"/>
        </w:rPr>
        <w:t>分层指标改变了全局排序的解释方式。事件窗口占比很低，但事件段MAE远高于稳定段；全局MAE主要由大量稳定预测键决定。因而，一个模型可以在全局指标上领先，却在事件段不占优；反过来，事件段的局部改善也未必足以改变整体指标。本文同时报告全局、事件、稳定和非零负荷子集，是为了避免用一个平均数覆盖不同难度的样本。图3-12的对数纵轴只用于展示量级，不表示误差具有对数分布，也不改变MAE的原始计算口径。</w:t>
      </w:r>
    </w:p>
    <w:p>
      <w:pPr>
        <w:spacing w:before="0" w:after="0" w:line="300" w:lineRule="auto"/>
        <w:ind w:firstLine="480"/>
        <w:jc w:val="both"/>
      </w:pPr>
      <w:r>
        <w:rPr>
          <w:rFonts w:ascii="Times New Roman" w:hAnsi="Times New Roman" w:cs="Times New Roman" w:eastAsia="宋体"/>
          <w:b w:val="0"/>
          <w:sz w:val="24"/>
        </w:rPr>
        <w:t>预测步长分析进一步说明，历史信息对近端预测更充分，提前量增加后误差逐步累积。由于每个步长共享同一批预测起点但目标时刻不同，四个步长的误差不是四个独立实验；图3-10的阴影只表示三种子离散度，不能当作预测区间。逐节点分析也具有类似限制：高负荷节点往往对应更大的绝对误差，节点间绝对MAE差异不能直接等价为相对性能差异。若需要比较节点相对误差，应另行预先登记归一化指标，而不能从当前绝对MAE图中补推结论。</w:t>
      </w:r>
    </w:p>
    <w:p>
      <w:pPr>
        <w:spacing w:before="0" w:after="0" w:line="300" w:lineRule="auto"/>
        <w:ind w:firstLine="480"/>
        <w:jc w:val="both"/>
      </w:pPr>
      <w:r>
        <w:rPr>
          <w:rFonts w:ascii="Times New Roman" w:hAnsi="Times New Roman" w:cs="Times New Roman" w:eastAsia="宋体"/>
          <w:b w:val="0"/>
          <w:sz w:val="24"/>
        </w:rPr>
        <w:t>时间块复核的意义在于检查优势是否集中在少数日期。以预测原点的日或周为单位聚合后，MRG-GCN相对TCN的误差差在本测试期内保持为正；相对AdaptiveGraph的差异则幅度很小，部分日块不为正。这一结果与三种子全局均值并不矛盾，反而说明“优于TCN”和“稳定领先AdaptiveGraph”具有不同的证据强度。时间块统计仍只来自同一场站、同一测试期，不能替代跨站或跨年份验证。</w:t>
      </w:r>
    </w:p>
    <w:p>
      <w:pPr>
        <w:spacing w:before="0" w:after="0" w:line="300" w:lineRule="auto"/>
        <w:ind w:firstLine="480"/>
        <w:jc w:val="both"/>
      </w:pPr>
      <w:r>
        <w:rPr>
          <w:rFonts w:ascii="Times New Roman" w:hAnsi="Times New Roman" w:cs="Times New Roman" w:eastAsia="宋体"/>
          <w:b w:val="0"/>
          <w:sz w:val="24"/>
        </w:rPr>
        <w:t>模型效率比较也需服从同样的边界。参数量较小不自动意味着训练时间更短，图聚合、数据布局、早停轮次和硬件都会影响运行耗时；单次正式运行记录不能支持通用速度排名。本文只把表3-4作为本实现的量级参考，不用它证明某一模型在所有设备上都更高效。对硕士论文而言，明确哪些数字是性能证据、哪些数字是工程记录，有助于降低审稿人把不同性质指标混在一起的风险。</w:t>
      </w:r>
    </w:p>
    <w:p>
      <w:pPr>
        <w:spacing w:before="240" w:after="180" w:line="300" w:lineRule="auto"/>
        <w:ind w:firstLine="0"/>
        <w:jc w:val="both"/>
        <w:outlineLvl w:val="2"/>
      </w:pPr>
      <w:r>
        <w:rPr>
          <w:rFonts w:ascii="Times New Roman" w:hAnsi="Times New Roman" w:cs="Times New Roman" w:eastAsia="黑体"/>
          <w:b w:val="0"/>
          <w:sz w:val="28"/>
        </w:rPr>
        <w:t>3.6.6 事件机制消融与归因</w:t>
      </w:r>
    </w:p>
    <w:p>
      <w:pPr>
        <w:spacing w:before="0" w:after="0" w:line="300" w:lineRule="auto"/>
        <w:ind w:firstLine="480"/>
        <w:jc w:val="both"/>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-1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pPr>
      <w:r>
        <w:rPr>
          <w:rFonts w:ascii="Times New Roman" w:hAnsi="Times New Roman" w:cs="Times New Roman" w:eastAsia="黑体"/>
          <w:b/>
          <w:sz w:val="30"/>
        </w:rPr>
        <w:t>3.7 消融实验</w:t>
      </w:r>
    </w:p>
    <w:p>
      <w:pPr>
        <w:spacing w:before="240" w:after="180" w:line="300" w:lineRule="auto"/>
        <w:ind w:firstLine="0"/>
        <w:jc w:val="both"/>
        <w:outlineLvl w:val="2"/>
      </w:pPr>
      <w:r>
        <w:rPr>
          <w:rFonts w:ascii="Times New Roman" w:hAnsi="Times New Roman" w:cs="Times New Roman" w:eastAsia="黑体"/>
          <w:b w:val="0"/>
          <w:sz w:val="28"/>
        </w:rPr>
        <w:t>3.7.1 组合配置下的结构消融证据</w:t>
      </w:r>
    </w:p>
    <w:p>
      <w:pPr>
        <w:spacing w:before="0" w:after="0" w:line="300" w:lineRule="auto"/>
        <w:ind w:firstLine="480"/>
        <w:jc w:val="both"/>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-1的正式MRG-GCN不是同一比较基准。表3-5(a)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spacing w:before="60" w:after="60" w:line="240" w:lineRule="auto"/>
        <w:ind w:firstLine="0"/>
        <w:jc w:val="center"/>
      </w:pPr>
      <w:r>
        <w:rPr>
          <w:rFonts w:ascii="Times New Roman" w:hAnsi="Times New Roman" w:cs="Times New Roman" w:eastAsia="黑体"/>
          <w:b w:val="0"/>
          <w:sz w:val="21"/>
        </w:rPr>
        <w:t>表3-5 消融与参数敏感性结果</w:t>
      </w:r>
    </w:p>
    <w:p>
      <w:pPr>
        <w:spacing w:before="0" w:after="0" w:line="300" w:lineRule="auto"/>
        <w:ind w:firstLine="480"/>
        <w:jc w:val="both"/>
      </w:pPr>
      <w:r>
        <w:rPr>
          <w:rFonts w:ascii="Times New Roman" w:hAnsi="Times New Roman" w:cs="Times New Roman" w:eastAsia="宋体"/>
          <w:b w:val="0"/>
          <w:sz w:val="24"/>
        </w:rPr>
        <w:t>（a）结构消融</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相对内部基线</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完整配置（内部基线）</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仅自适应图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0.01422</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仅固定图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0.01425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+2.5%</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门控关闭（复合变体）</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0.02648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+90.5%</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无图</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0.02960</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+113.0%</w:t>
            </w:r>
          </w:p>
        </w:tc>
      </w:tr>
    </w:tbl>
    <w:p>
      <w:pPr>
        <w:spacing w:before="60" w:after="60" w:line="240" w:lineRule="auto"/>
        <w:ind w:firstLine="0"/>
        <w:jc w:val="center"/>
      </w:pPr>
      <w:r>
        <w:drawing>
          <wp:inline xmlns:a="http://schemas.openxmlformats.org/drawingml/2006/main" xmlns:pic="http://schemas.openxmlformats.org/drawingml/2006/picture">
            <wp:extent cx="5112000" cy="2495772"/>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0"/>
                    <a:stretch>
                      <a:fillRect/>
                    </a:stretch>
                  </pic:blipFill>
                  <pic:spPr>
                    <a:xfrm>
                      <a:off x="0" y="0"/>
                      <a:ext cx="5112000" cy="24957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图3-14 结构消融结果</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注：柱高为三种子均值，误差棒为跨种子标准差。百分比均相对于消融套件的0.01390内部基线，不与表3-1主模型直接换算。</w:t>
      </w:r>
    </w:p>
    <w:p>
      <w:pPr>
        <w:spacing w:before="240" w:after="180" w:line="300" w:lineRule="auto"/>
        <w:ind w:firstLine="0"/>
        <w:jc w:val="both"/>
        <w:outlineLvl w:val="2"/>
      </w:pPr>
      <w:r>
        <w:rPr>
          <w:rFonts w:ascii="Times New Roman" w:hAnsi="Times New Roman" w:cs="Times New Roman" w:eastAsia="黑体"/>
          <w:b w:val="0"/>
          <w:sz w:val="28"/>
        </w:rPr>
        <w:t>3.7.2 门控参数干预</w:t>
      </w:r>
    </w:p>
    <w:p>
      <w:pPr>
        <w:spacing w:before="0" w:after="0" w:line="300" w:lineRule="auto"/>
        <w:ind w:firstLine="480"/>
        <w:jc w:val="both"/>
      </w:pPr>
      <w:r>
        <w:rPr>
          <w:rFonts w:ascii="Times New Roman" w:hAnsi="Times New Roman" w:cs="Times New Roman" w:eastAsia="宋体"/>
          <w:b w:val="0"/>
          <w:sz w:val="24"/>
        </w:rPr>
        <w:t>为检验模型是否依赖学习到的逐层关系分配，保持模型其余参数不变，对两层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7种仅前向干预。表3-5(b)中，等权、层间交换及固定关系组合均高于学习值基线；最小退化为95.9%，最大为233.6%。这表明模型对所学习的层间关系分配存在功能依赖，但结论仅覆盖所检7种组合，不说明学习值是整个连续权重空间的全局最优，也不构成数据层面的因果识别。这里是旧协议下的训练后参数替换，与3.7.5节在新协议中重新训练的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不同。详细权重与跨种子差异在第4章L1层分析。</w:t>
      </w:r>
    </w:p>
    <w:p>
      <w:pPr>
        <w:spacing w:before="0" w:after="0" w:line="300" w:lineRule="auto"/>
        <w:ind w:firstLine="480"/>
        <w:jc w:val="both"/>
      </w:pPr>
      <w:r>
        <w:rPr>
          <w:rFonts w:ascii="Times New Roman" w:hAnsi="Times New Roman" w:cs="Times New Roman" w:eastAsia="宋体"/>
          <w:b w:val="0"/>
          <w:sz w:val="24"/>
        </w:rPr>
        <w:t>（b）关系级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参数干预</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相对学习值</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学习值基线</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第一层学习值、第二层固定为轮廓关系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0.02695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+95.9%</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两层等权</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0.03354</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+143.8%</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层间权重交换</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0.03418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+148.4%</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两层固定为行为关系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0.03430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+149.3%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第一层固定为负荷关系、第二层学习值</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0.04106</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+198.4%</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两层固定为轮廓关系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0.04138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+200.7%</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两层固定为负荷关系</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0.04591</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+233.6%</w:t>
            </w:r>
          </w:p>
        </w:tc>
      </w:tr>
    </w:tbl>
    <w:p>
      <w:pPr>
        <w:spacing w:before="240" w:after="180" w:line="300" w:lineRule="auto"/>
        <w:ind w:firstLine="0"/>
        <w:jc w:val="both"/>
        <w:outlineLvl w:val="2"/>
      </w:pPr>
      <w:r>
        <w:rPr>
          <w:rFonts w:ascii="Times New Roman" w:hAnsi="Times New Roman" w:cs="Times New Roman" w:eastAsia="黑体"/>
          <w:b w:val="0"/>
          <w:sz w:val="28"/>
        </w:rPr>
        <w:t>3.7.3 四格诊断</w:t>
      </w:r>
    </w:p>
    <w:p>
      <w:pPr>
        <w:spacing w:before="0" w:after="0" w:line="300" w:lineRule="auto"/>
        <w:ind w:firstLine="480"/>
        <w:jc w:val="both"/>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（3-16）</w:t>
      </w:r>
    </w:p>
    <w:p>
      <w:pPr>
        <w:spacing w:before="0" w:after="0" w:line="300" w:lineRule="auto"/>
        <w:ind w:firstLine="480"/>
        <w:jc w:val="both"/>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，说明分层样本与全局预测键一致。四格诊断的目的，是区分“目标侧是否存在标签事件”和“预测时规则是否触发”对应的误差构成；二者不是分类标签与分类器输出，正文不使用误报、漏报等术语。</w:t>
      </w:r>
    </w:p>
    <w:p>
      <w:pPr>
        <w:spacing w:before="240" w:after="180" w:line="300" w:lineRule="auto"/>
        <w:ind w:firstLine="0"/>
        <w:jc w:val="both"/>
        <w:outlineLvl w:val="2"/>
      </w:pPr>
      <w:r>
        <w:rPr>
          <w:rFonts w:ascii="Times New Roman" w:hAnsi="Times New Roman" w:cs="Times New Roman" w:eastAsia="黑体"/>
          <w:b w:val="0"/>
          <w:sz w:val="28"/>
        </w:rPr>
        <w:t>3.7.4 关系子集与敏感性</w:t>
      </w:r>
    </w:p>
    <w:p>
      <w:pPr>
        <w:spacing w:before="0" w:after="0" w:line="300" w:lineRule="auto"/>
        <w:ind w:firstLine="480"/>
        <w:jc w:val="both"/>
      </w:pPr>
      <w:r>
        <w:rPr>
          <w:rFonts w:ascii="Times New Roman" w:hAnsi="Times New Roman" w:cs="Times New Roman" w:eastAsia="宋体"/>
          <w:b w:val="0"/>
          <w:sz w:val="24"/>
        </w:rPr>
        <w:t>关系子集实验采用另一套完整模型协议，基线MAE为0.01412，不与表3-5(a)或表3-1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（c）关系子集与超参数敏感性</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实验组</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组内结论</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三关系</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组内基线</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仅负荷</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与基线接近</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仅行为</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与基线接近</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仅轮廓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0.01401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数值略低</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稀疏度</w:t>
            </w:r>
          </w:p>
        </w:tc>
        <w:tc>
          <w:tcPr>
            <w:tcW w:type="dxa" w:w="2289"/>
            <w:vAlign w:val="center"/>
            <w:tcBorders>
              <w:top w:val="nil"/>
              <w:bottom w:val="nil"/>
              <w:left w:val="nil"/>
              <w:right w:val="nil"/>
            </w:tcBorders>
          </w:tcPr>
          <w:p>
            <w:pPr>
              <w:spacing w:before="0" w:after="0" w:line="276" w:lineRule="auto"/>
              <w:ind w:firstLine="0"/>
              <w:jc w:val="left"/>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组内基线</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稀疏度</w:t>
            </w:r>
          </w:p>
        </w:tc>
        <w:tc>
          <w:tcPr>
            <w:tcW w:type="dxa" w:w="2289"/>
            <w:vAlign w:val="center"/>
            <w:tcBorders>
              <w:top w:val="nil"/>
              <w:bottom w:val="nil"/>
              <w:left w:val="nil"/>
              <w:right w:val="nil"/>
            </w:tcBorders>
          </w:tcPr>
          <w:p>
            <w:pPr>
              <w:spacing w:before="0" w:after="0" w:line="276" w:lineRule="auto"/>
              <w:ind w:firstLine="0"/>
              <w:jc w:val="left"/>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0.01448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2289"/>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变化不足0.03%</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2289"/>
            <w:vAlign w:val="center"/>
            <w:tcBorders>
              <w:top w:val="nil"/>
              <w:bottom w:val="single" w:sz="12" w:color="000000"/>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变化不足0.03%</w:t>
            </w:r>
          </w:p>
        </w:tc>
      </w:tr>
    </w:tbl>
    <w:p>
      <w:pPr>
        <w:spacing w:before="240" w:after="180" w:line="300" w:lineRule="auto"/>
        <w:ind w:firstLine="0"/>
        <w:jc w:val="both"/>
        <w:outlineLvl w:val="2"/>
      </w:pPr>
      <w:r>
        <w:rPr>
          <w:rFonts w:ascii="Times New Roman" w:hAnsi="Times New Roman" w:cs="Times New Roman" w:eastAsia="黑体"/>
          <w:b w:val="0"/>
          <w:sz w:val="28"/>
        </w:rPr>
        <w:t>3.7.5 严格可见输入协议下的压力测试</w:t>
      </w:r>
    </w:p>
    <w:p>
      <w:pPr>
        <w:spacing w:before="0" w:after="0" w:line="300" w:lineRule="auto"/>
        <w:ind w:firstLine="480"/>
        <w:jc w:val="both"/>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pPr>
      <w:r>
        <w:rPr>
          <w:rFonts w:ascii="Times New Roman" w:hAnsi="Times New Roman" w:cs="Times New Roman" w:eastAsia="宋体"/>
          <w:b w:val="0"/>
          <w:sz w:val="24"/>
        </w:rPr>
        <w:t>该协议共完成12种配置、每种配置3个随机种子，训练预算和模型选择规则保持一致。结果见表3-7。为避免把完整能力基线和容量公平基线混在一起，表中同时报告可训练参数量和最优轮次/实际停止轮次。tcn_wide与mrg_full分别为32,674和32,714个可训练参数，参数差约0.12%，可作为容量匹配的无图对照；agcrn_full为199,912个参数，约为mrg_full的6.1倍，只能作为完整能力基线。</w:t>
      </w:r>
    </w:p>
    <w:p>
      <w:pPr>
        <w:spacing w:before="60" w:after="60" w:line="240" w:lineRule="auto"/>
        <w:ind w:firstLine="0"/>
        <w:jc w:val="center"/>
      </w:pPr>
      <w:r>
        <w:rPr>
          <w:rFonts w:ascii="Times New Roman" w:hAnsi="Times New Roman" w:cs="Times New Roman" w:eastAsia="黑体"/>
          <w:b w:val="0"/>
          <w:sz w:val="21"/>
        </w:rPr>
        <w:t>表3-7 严格可见输入协议下的正式结果与内部消融</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事件段MAE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平稳段MAE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参数量</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最优轮次/实际停止轮次</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agcrn_full</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0.03743±0.00022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0.3774±0.0008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0.0325±0.0002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199,912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1/1/1；9/9/9</w:t>
            </w:r>
          </w:p>
        </w:tc>
      </w:tr>
      <w:tr>
        <w:tc>
          <w:tcPr>
            <w:tcW w:type="dxa" w:w="1526"/>
            <w:vAlign w:val="center"/>
            <w:tcBorders>
              <w:top w:val="nil"/>
              <w:bottom w:val="nil"/>
              <w:left w:val="nil"/>
              <w:right w:val="nil"/>
            </w:tcBorders>
          </w:tcPr>
          <w:p>
            <w:pPr>
              <w:spacing w:before="0" w:after="0" w:line="276" w:lineRule="auto"/>
              <w:ind w:firstLine="0"/>
              <w:jc w:val="left"/>
            </w:pPr>
            <w:r>
              <w:rPr/>
              <w:t>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0.03862±0.00028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0.3812±0.0014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0.0336±0.0003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17/16/13；25/24/21</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mrg_full</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0.03890±0.00010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0.3810±0.0009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0.0339±0.0001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27/19/19；35/27/27</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mrg_no_skip</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0.03900±0.00051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0.3829±0.0019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0.0340±0.0005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30,666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60/21/39；60/29/47</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mrg_no_refine</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0.03931±0.00031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0.3805±0.0015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0.0343±0.0003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30,602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22/28/60；30/36/60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mrg_pattern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0.03948±0.00031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0.3816±0.0025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0.0345±0.0003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48/54/51；56/60/59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mrg_fixed_gate</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0.04111±0.00147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0.3825±0.0008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0.0361±0.0015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28,554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60/58/60；60/60/60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mrg_load</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0.04315±0.00073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0.3805±0.0024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0.0382±0.0008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48/21/51；56/29/59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mrg_event</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0.04559±0.00027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0.3780±0.0004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0.0407±0.0003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5/21/5；13/29/13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mrg_self_loop</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0.04610±0.00057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0.3739±0.0010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0.0413±0.0006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2/1/6；10/9/14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0.04629±0.00019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0.3751±0.0007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0.0415±0.0002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16,996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6/1/8；14/9/16</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tcn_wide</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0.04634±0.00029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0.3746±0.0019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0.0415±0.0003</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32,674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11/4/3；19/12/11</w:t>
            </w:r>
          </w:p>
        </w:tc>
      </w:tr>
    </w:tbl>
    <w:p>
      <w:pPr>
        <w:spacing w:before="0" w:after="0" w:line="300" w:lineRule="auto"/>
        <w:ind w:firstLine="480"/>
        <w:jc w:val="both"/>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pPr>
      <w:r>
        <w:rPr>
          <w:rFonts w:ascii="Times New Roman" w:hAnsi="Times New Roman" w:cs="Times New Roman" w:eastAsia="宋体"/>
          <w:b w:val="0"/>
          <w:sz w:val="24"/>
        </w:rPr>
        <w:t>在同一新协议下，mrg_full比参数量近似匹配的tcn_wide低16.1%的全局MAE，说明删除旧代理负荷输入后，站内关系路径仍保留相对纯时序路径的价值。另一方面，agcrn_full比mrg_full低3.9%，但参数量约为其6.1倍，因此该差异只作为完整能力基线结果，不解释为结构公平比较。内部消融显示，固定门值使MAE相对mrg_full上升5.68%，是所检结构消融中最明显的退化；仅去除跨层拼接和精炼分别上升0.26%和1.03%，证据强度较弱。三个单关系变体均劣于三关系融合，其中轮廓关系最好，行为关系最弱，支持关系互补性，但不支持每一类关系均有独立正增量。等权β比学习β低0.71%，且差异处于三种子波动量级，因此只能写为“未观察到可辨识的可学习β增益”。</w:t>
      </w:r>
    </w:p>
    <w:p>
      <w:pPr>
        <w:spacing w:before="0" w:after="0" w:line="300" w:lineRule="auto"/>
        <w:ind w:firstLine="480"/>
        <w:jc w:val="both"/>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-7。相关运行配置、逐运行工件、训练日志、预测文件、哈希和复核报告已归档于outputs/recovered/SG-EXP-019/及outputs/analysis/SG-EXP-019-eventtime-audit/，本节只在归档完整性和36项逐运行检查通过后引用。</w:t>
      </w:r>
    </w:p>
    <w:p>
      <w:pPr>
        <w:spacing w:before="360" w:after="240" w:line="360" w:lineRule="auto"/>
        <w:ind w:firstLine="0"/>
        <w:jc w:val="both"/>
        <w:outlineLvl w:val="1"/>
      </w:pPr>
      <w:r>
        <w:rPr>
          <w:rFonts w:ascii="Times New Roman" w:hAnsi="Times New Roman" w:cs="Times New Roman" w:eastAsia="黑体"/>
          <w:b/>
          <w:sz w:val="30"/>
        </w:rPr>
        <w:t>3.8 方法设计及证据边界</w:t>
      </w:r>
    </w:p>
    <w:p>
      <w:pPr>
        <w:spacing w:before="0" w:after="0" w:line="300" w:lineRule="auto"/>
        <w:ind w:firstLine="480"/>
        <w:jc w:val="both"/>
      </w:pPr>
      <w:r>
        <w:rPr>
          <w:rFonts w:ascii="Times New Roman" w:hAnsi="Times New Roman" w:cs="Times New Roman" w:eastAsia="宋体"/>
          <w:b w:val="0"/>
          <w:sz w:val="24"/>
        </w:rPr>
        <w:t>本章的方法设计主要体现在面向站内充电节点任务的关系构造、门控组合和统一验证协议，而非声称图卷积、TCN或门控机制本身首次出现。各组件对应的实验证据及适用边界见表3-6。</w:t>
      </w:r>
    </w:p>
    <w:p>
      <w:pPr>
        <w:spacing w:before="60" w:after="60" w:line="240" w:lineRule="auto"/>
        <w:ind w:firstLine="0"/>
        <w:jc w:val="center"/>
      </w:pPr>
      <w:r>
        <w:rPr>
          <w:rFonts w:ascii="Times New Roman" w:hAnsi="Times New Roman" w:cs="Times New Roman" w:eastAsia="黑体"/>
          <w:b w:val="0"/>
          <w:sz w:val="21"/>
        </w:rPr>
        <w:t>表3-6 方法设计组件与证据对照</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组件</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本文实现</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现有证据与边界</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LRE三关系图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训练期负荷耦合、行为共现、轮廓相似关系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MRG-GCN较无图基线更低；单关系与三关系接近，未证明三类均有独立增量</w:t>
            </w:r>
          </w:p>
        </w:tc>
      </w:tr>
      <w:tr>
        <w:tc>
          <w:tcPr>
            <w:tcW w:type="dxa" w:w="3052"/>
            <w:vAlign w:val="center"/>
            <w:tcBorders>
              <w:top w:val="nil"/>
              <w:bottom w:val="nil"/>
              <w:left w:val="nil"/>
              <w:right w:val="nil"/>
            </w:tcBorders>
          </w:tcPr>
          <w:p>
            <w:pPr>
              <w:spacing w:before="0" w:after="0" w:line="276" w:lineRule="auto"/>
              <w:ind w:firstLine="0"/>
              <w:jc w:val="left"/>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t>门控</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两层独立Softmax关系权重</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7种干预均退化；只支持对所检配置的功能依赖</w:t>
            </w:r>
          </w:p>
        </w:tc>
      </w:tr>
      <w:tr>
        <w:tc>
          <w:tcPr>
            <w:tcW w:type="dxa" w:w="3052"/>
            <w:vAlign w:val="center"/>
            <w:tcBorders>
              <w:top w:val="nil"/>
              <w:bottom w:val="nil"/>
              <w:left w:val="nil"/>
              <w:right w:val="nil"/>
            </w:tcBorders>
          </w:tcPr>
          <w:p>
            <w:pPr>
              <w:spacing w:before="0" w:after="0" w:line="276" w:lineRule="auto"/>
              <w:ind w:firstLine="0"/>
              <w:jc w:val="left"/>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t>门控</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按样本、节点和特征融合自身与邻域消息</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已纳入完整模型，未作单独消融，不报告独立增益</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双层传播与跨层融合</w:t>
            </w:r>
          </w:p>
        </w:tc>
        <w:tc>
          <w:tcPr>
            <w:tcW w:type="dxa" w:w="3052"/>
            <w:vAlign w:val="center"/>
            <w:tcBorders>
              <w:top w:val="nil"/>
              <w:bottom w:val="nil"/>
              <w:left w:val="nil"/>
              <w:right w:val="nil"/>
            </w:tcBorders>
          </w:tcPr>
          <w:p>
            <w:pPr>
              <w:spacing w:before="0" w:after="0" w:line="276" w:lineRule="auto"/>
              <w:ind w:firstLine="0"/>
              <w:jc w:val="left"/>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由完整模型结果支持，未穷举层数和融合形式</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训练时整类屏蔽并至少保留一种关系</w:t>
            </w:r>
          </w:p>
        </w:tc>
        <w:tc>
          <w:tcPr>
            <w:tcW w:type="dxa" w:w="3052"/>
            <w:vAlign w:val="center"/>
            <w:tcBorders>
              <w:top w:val="nil"/>
              <w:bottom w:val="nil"/>
              <w:left w:val="nil"/>
              <w:right w:val="nil"/>
            </w:tcBorders>
          </w:tcPr>
          <w:p>
            <w:pPr>
              <w:spacing w:before="0" w:after="0" w:line="276" w:lineRule="auto"/>
              <w:ind w:firstLine="0"/>
              <w:jc w:val="left"/>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r>
                <m:t>/</m:t>
              </m:r>
              <m:r>
                <m:t>0.4</m:t>
              </m:r>
            </m:oMath>
            <w:r>
              <w:rPr/>
              <w:t>未见实质收益，主模型关闭</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统一诊断接口</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同键评价、四格还原及参数干预</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为第4章三层机制诊断提供可复核接口，不等同于因果识别</w:t>
            </w:r>
          </w:p>
        </w:tc>
      </w:tr>
    </w:tbl>
    <w:p>
      <w:pPr>
        <w:spacing w:before="240" w:after="180" w:line="300" w:lineRule="auto"/>
        <w:ind w:firstLine="0"/>
        <w:jc w:val="both"/>
        <w:outlineLvl w:val="2"/>
      </w:pPr>
      <w:r>
        <w:rPr>
          <w:rFonts w:ascii="Times New Roman" w:hAnsi="Times New Roman" w:cs="Times New Roman" w:eastAsia="黑体"/>
          <w:b w:val="0"/>
          <w:sz w:val="28"/>
        </w:rPr>
        <w:t>3.8.1 新旧输入协议的对应问题</w:t>
      </w:r>
    </w:p>
    <w:p>
      <w:pPr>
        <w:spacing w:before="0" w:after="0" w:line="300" w:lineRule="auto"/>
        <w:ind w:firstLine="480"/>
        <w:jc w:val="both"/>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严格可见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退化。</w:t>
      </w:r>
    </w:p>
    <w:p>
      <w:pPr>
        <w:spacing w:before="0" w:after="0" w:line="300" w:lineRule="auto"/>
        <w:ind w:firstLine="480"/>
        <w:jc w:val="both"/>
      </w:pPr>
      <w:r>
        <w:rPr>
          <w:rFonts w:ascii="Times New Roman" w:hAnsi="Times New Roman" w:cs="Times New Roman" w:eastAsia="宋体"/>
          <w:b w:val="0"/>
          <w:sz w:val="24"/>
        </w:rPr>
        <w:t>旧协议具有完整基线、三种子结果和配套机制诊断，因而承担主要预测结论；新协议仅作为压力测试，报告同协议内的模型排序与组件边界。其中，mrg_full的MAE为0.03890，较容量近似匹配的tcn_wide（0.04634）低16.1%；agcrn_full为0.03743，但参数量约为前者的6.1倍，只作为完整能力基线。内部消融中，mrg_fixed_gate相对mrg_full上升5.68%，而mrg_no_refine和mrg_no_skip变化较小；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略优于学习β且差异处于种子波动量级，故不主张可学习β在新协议中产生可辨识增益。单关系模型均劣于三关系融合，但不能据此断言每类关系都有独立正增量。</w:t>
      </w:r>
    </w:p>
    <w:p>
      <w:pPr>
        <w:spacing w:before="0" w:after="0" w:line="300" w:lineRule="auto"/>
        <w:ind w:firstLine="480"/>
        <w:jc w:val="both"/>
      </w:pPr>
      <w:r>
        <w:rPr>
          <w:rFonts w:ascii="Times New Roman" w:hAnsi="Times New Roman" w:cs="Times New Roman" w:eastAsia="宋体"/>
          <w:b w:val="0"/>
          <w:sz w:val="24"/>
        </w:rPr>
        <w:t>新协议36项运行均按同一验证选择和早停规则完成并通过逐运行校验。部分变体达到最大轮次，只表明其在给定预算内未触发早停；除非日志显示验证损失仍持续下降或不同配置采用了不同选择规则，否则不据此删除运行或事后增加训练预算。若需形成新协议下的完整性能排行榜，还应补齐相同输入、调参预算、参数量控制和三种子重复的传统与深度学习基线；在此之前，不使用旧协议结果填补新协议空缺。</w:t>
      </w:r>
    </w:p>
    <w:p>
      <w:pPr>
        <w:spacing w:before="360" w:after="240" w:line="360" w:lineRule="auto"/>
        <w:ind w:firstLine="0"/>
        <w:jc w:val="both"/>
        <w:outlineLvl w:val="1"/>
      </w:pPr>
      <w:r>
        <w:rPr>
          <w:rFonts w:ascii="Times New Roman" w:hAnsi="Times New Roman" w:cs="Times New Roman" w:eastAsia="黑体"/>
          <w:b/>
          <w:sz w:val="30"/>
        </w:rPr>
        <w:t>3.9 本章小结</w:t>
      </w:r>
    </w:p>
    <w:p>
      <w:pPr>
        <w:spacing w:before="0" w:after="0" w:line="300" w:lineRule="auto"/>
        <w:ind w:firstLine="480"/>
        <w:jc w:val="both"/>
      </w:pPr>
      <w:r>
        <w:rPr>
          <w:rFonts w:ascii="Times New Roman" w:hAnsi="Times New Roman" w:cs="Times New Roman" w:eastAsia="宋体"/>
          <w:b w:val="0"/>
          <w:sz w:val="24"/>
        </w:rPr>
        <w:t>本章面向10个站内充电节点的节点代理负荷短期预测，构建LRE三种训练期统计关系，并提出以TCN为时间骨干、以关系级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为核心的双层MRG-GCN。模型在相同预测键上的全局MAE为0.01376 kWh/15 min，较TCN下降53.4%，较ARIMA下降39.1%；其MAE和WAPE最低，而RMSE最低值由AGCRN简化变体取得。头部三种图模型的MAE差距与种子波动同级，故不建立稳定排序。</w:t>
      </w:r>
    </w:p>
    <w:p>
      <w:pPr>
        <w:spacing w:before="0" w:after="0" w:line="300" w:lineRule="auto"/>
        <w:ind w:firstLine="480"/>
        <w:jc w:val="both"/>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节点级门控也缺少独立消融证据。下一章将把这些证据按干预归因、蒸馏验证和四格溯源组织为机制诊断协议。</w:t>
      </w:r>
    </w:p>
    <w:p>
      <w:pPr>
        <w:spacing w:before="0" w:after="0" w:line="300" w:lineRule="auto"/>
        <w:ind w:firstLine="480"/>
        <w:jc w:val="both"/>
      </w:pPr>
      <w:r>
        <w:rPr>
          <w:rFonts w:ascii="Times New Roman" w:hAnsi="Times New Roman" w:cs="Times New Roman" w:eastAsia="宋体"/>
          <w:b w:val="0"/>
          <w:sz w:val="24"/>
        </w:rPr>
        <w:t>为核查输入信息权限的影响，本文另按SG-DATA-006-eventtime-v1完成36项新协议运行。该组结果不替换旧主实验，也不与旧MAE直接计算增减幅度；它显示在行为可见输入下，MRG相对容量匹配TCN仍有相对优势，但完整AGCRN能力基线更低，且等权β与学习β未见可辨识差异。因此，本文将旧协议用于主要预测结论，将新协议用于可见性边界和内部设计压力测试，不把两组结果合并为一个总体排名。</w:t>
      </w:r>
    </w:p>
    <w:p>
      <w:pPr>
        <w:sectPr>
          <w:headerReference w:type="default" r:id="rId74"/>
          <w:headerReference w:type="even" r:id="rId75"/>
          <w:footerReference w:type="default" r:id="rId7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pPr>
      <w:r>
        <w:rPr>
          <w:rFonts w:ascii="Times New Roman" w:hAnsi="Times New Roman" w:cs="Times New Roman" w:eastAsia="黑体"/>
          <w:b/>
          <w:sz w:val="30"/>
        </w:rPr>
        <w:t>4.1 引言：MDP协议的定义与设计原则</w:t>
      </w:r>
    </w:p>
    <w:p>
      <w:pPr>
        <w:spacing w:before="0" w:after="0" w:line="300" w:lineRule="auto"/>
        <w:ind w:firstLine="480"/>
        <w:jc w:val="both"/>
      </w:pPr>
      <w:r>
        <w:rPr>
          <w:rFonts w:ascii="Times New Roman" w:hAnsi="Times New Roman" w:cs="Times New Roman" w:eastAsia="宋体"/>
          <w:b w:val="0"/>
          <w:sz w:val="24"/>
        </w:rPr>
        <w:t>第3章说明MRG-GCN在统一预测键上的误差表现，但预测精度本身不能回答模型如何使用关系结构，也不能说明全局误差主要来自哪些样本。能源预测中的可解释性研究常采用特征归因或权重可视化</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，这类观察能够展示模型读数，却不能检验“改变关系分配会怎样”“图结构能否被纯时序学生吸收”以及“事件样本如何影响全局误差”等问题。为此，本文构建三层机制诊断协议（mechanism diagnosis protocol，MDP），以可复核的实验操作补充事后解释。</w:t>
      </w:r>
    </w:p>
    <w:p>
      <w:pPr>
        <w:spacing w:before="0" w:after="0" w:line="300" w:lineRule="auto"/>
        <w:ind w:firstLine="480"/>
        <w:jc w:val="both"/>
      </w:pPr>
      <w:r>
        <w:rPr>
          <w:rFonts w:ascii="Times New Roman" w:hAnsi="Times New Roman" w:cs="Times New Roman" w:eastAsia="宋体"/>
          <w:b w:val="0"/>
          <w:sz w:val="24"/>
        </w:rPr>
        <w:t>MDP按由内到外的顺序设置三个层次。L1为干预归因层，提取并替换关系级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考察模型对关系分配的功能敏感度；L2为蒸馏验证层，以固定图模型为教师、纯TCN为学生，检验所选蒸馏设置能否缩小师生差距；L3为四格溯源层，以目标侧标签事件和冻结规则触发交叉分层，定位不同样本组的误差及其对全局MAE的贡献。每层均包括操作定义、诊断实验和判定边界，整体结构见图4-1，层次与证据边界汇总于表4-1。</w:t>
      </w:r>
    </w:p>
    <w:p>
      <w:pPr>
        <w:spacing w:before="0" w:after="0" w:line="300" w:lineRule="auto"/>
        <w:ind w:firstLine="480"/>
        <w:jc w:val="both"/>
      </w:pPr>
      <w:r>
        <w:rPr>
          <w:rFonts w:ascii="Times New Roman" w:hAnsi="Times New Roman" w:cs="Times New Roman" w:eastAsia="宋体"/>
          <w:b w:val="0"/>
          <w:sz w:val="24"/>
        </w:rPr>
        <w:t>MDP的作用不在于把权重可视化、蒸馏或分层统计分别包装为新方法，而在于将三类常见但彼此回答不同问题的分析操作组织为同一协议：先以L1检验内部关系分配的功能依赖，再以L2检验所检图模型收益能否被纯时序学生吸收，最后以L3检查全局误差由哪些样本构成。每层均要求明确操作对象、对照条件和可接受的结论强度；因此，MDP与只报告“移除组件后误差变化”的常规消融不同，但也不构成对现实数据生成机制的因果识别。</w:t>
      </w:r>
    </w:p>
    <w:p>
      <w:pPr>
        <w:spacing w:before="60" w:after="60" w:line="240" w:lineRule="auto"/>
        <w:ind w:firstLine="0"/>
        <w:jc w:val="center"/>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9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图4-1 三层机制诊断协议</w:t>
      </w:r>
    </w:p>
    <w:p>
      <w:pPr>
        <w:spacing w:before="0" w:after="0" w:line="300" w:lineRule="auto"/>
        <w:ind w:firstLine="480"/>
        <w:jc w:val="both"/>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spacing w:before="60" w:after="60" w:line="240" w:lineRule="auto"/>
        <w:ind w:firstLine="0"/>
        <w:jc w:val="center"/>
      </w:pPr>
      <w:r>
        <w:rPr>
          <w:rFonts w:ascii="Times New Roman" w:hAnsi="Times New Roman" w:cs="Times New Roman" w:eastAsia="黑体"/>
          <w:b w:val="0"/>
          <w:sz w:val="21"/>
        </w:rPr>
        <w:t>表4-1 MDP三层机制画像</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层次</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研究问题</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操作与证据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本文判定及边界</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L1 干预归因</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模型依赖何种关系分配？</w:t>
            </w:r>
          </w:p>
        </w:tc>
        <w:tc>
          <w:tcPr>
            <w:tcW w:type="dxa" w:w="2289"/>
            <w:vAlign w:val="center"/>
            <w:tcBorders>
              <w:top w:val="nil"/>
              <w:bottom w:val="nil"/>
              <w:left w:val="nil"/>
              <w:right w:val="nil"/>
            </w:tcBorders>
          </w:tcPr>
          <w:p>
            <w:pPr>
              <w:spacing w:before="0" w:after="0" w:line="276" w:lineRule="auto"/>
              <w:ind w:firstLine="0"/>
              <w:jc w:val="left"/>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t>观察；7种前向干预×3种子</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所检替换均退化，支持对学习关系分配的功能依赖；不覆盖连续权重空间，不作数据因果解释</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L2 蒸馏验证</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图模型收益能否被所检纯时序学生吸收？</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StaticGraph→TCN；4个蒸馏权重×3种子</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学生未弥合与教师的差距；结论仅适用于所检学生、目标和权重范围</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L3 四格溯源</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全局误差主要来自何类样本？</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目标侧标签事件×冻结规则触发；样本量加权还原</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事件窗口误差远高于稳定窗口；四格在18项正式运行中均可还原全局MAE</w:t>
            </w:r>
          </w:p>
        </w:tc>
      </w:tr>
    </w:tbl>
    <w:p>
      <w:pPr>
        <w:spacing w:before="360" w:after="240" w:line="360" w:lineRule="auto"/>
        <w:ind w:firstLine="0"/>
        <w:jc w:val="both"/>
        <w:outlineLvl w:val="1"/>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pPr>
      <w:r>
        <w:rPr>
          <w:rFonts w:ascii="Times New Roman" w:hAnsi="Times New Roman" w:cs="Times New Roman" w:eastAsia="黑体"/>
          <w:b w:val="0"/>
          <w:sz w:val="28"/>
        </w:rPr>
        <w:t>4.2.1 观察操作</w:t>
      </w:r>
    </w:p>
    <w:p>
      <w:pPr>
        <w:spacing w:before="0" w:after="0" w:line="300" w:lineRule="auto"/>
        <w:ind w:firstLine="480"/>
        <w:jc w:val="both"/>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pPr>
      <w:r>
        <w:rPr>
          <w:rFonts w:ascii="Times New Roman" w:hAnsi="Times New Roman" w:cs="Times New Roman" w:eastAsia="黑体"/>
          <w:b w:val="0"/>
          <w:sz w:val="28"/>
        </w:rPr>
        <w:t>4.2.2 干预操作</w:t>
      </w:r>
    </w:p>
    <w:p>
      <w:pPr>
        <w:spacing w:before="0" w:after="0" w:line="300" w:lineRule="auto"/>
        <w:ind w:firstLine="480"/>
        <w:jc w:val="both"/>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pPr>
      <w:r>
        <w:rPr>
          <w:rFonts w:ascii="Times New Roman" w:hAnsi="Times New Roman" w:cs="Times New Roman" w:eastAsia="黑体"/>
          <w:b w:val="0"/>
          <w:sz w:val="28"/>
        </w:rPr>
        <w:t>4.2.3 观察证据</w:t>
      </w:r>
    </w:p>
    <w:p>
      <w:pPr>
        <w:spacing w:before="0" w:after="0" w:line="300" w:lineRule="auto"/>
        <w:ind w:firstLine="480"/>
        <w:jc w:val="both"/>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spacing w:before="60" w:after="60" w:line="240" w:lineRule="auto"/>
        <w:ind w:firstLine="0"/>
        <w:jc w:val="center"/>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黑体"/>
          <w:b w:val="0"/>
          <w:sz w:val="21"/>
        </w:rPr>
        <w:t>门控权重</w:t>
      </w:r>
    </w:p>
    <w:tbl>
      <w:tblPr>
        <w:tblW w:type="auto" w:w="0"/>
        <w:tblLayout w:type="fixed"/>
        <w:tblLook w:firstColumn="1" w:firstRow="1" w:lastColumn="0" w:lastRow="0" w:noHBand="0" w:noVBand="1" w:val="04A0"/>
      </w:tblPr>
      <w:tblGrid>
        <w:gridCol w:w="1187"/>
        <w:gridCol w:w="1187"/>
        <w:gridCol w:w="1187"/>
        <w:gridCol w:w="1187"/>
        <w:gridCol w:w="1187"/>
        <w:gridCol w:w="1187"/>
        <w:gridCol w:w="1187"/>
      </w:tblGrid>
      <w:tr>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层次</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关系</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seed-2024</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seed-2025</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seed-2026</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样本标准差</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负荷耦合</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0.3386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0.3481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0.0047</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行为共现</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0.4053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0.4030</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0.3985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0.4022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0.0035</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轮廓相似</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0.2514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0.2584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0.2534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0.2544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0.0036</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负荷耦合</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0.3537</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0.3465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0.3573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0.3525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0.0055</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行为共现</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0.3026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0.3506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0.3133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0.3222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0.0252</w:t>
            </w:r>
          </w:p>
        </w:tc>
      </w:tr>
      <w:tr>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轮廓相似</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0.3437</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0.3029</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0.3294</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0.3253</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0.0207</w:t>
            </w:r>
          </w:p>
        </w:tc>
      </w:tr>
    </w:tbl>
    <w:p>
      <w:pPr>
        <w:spacing w:before="0" w:after="0" w:line="300" w:lineRule="auto"/>
        <w:ind w:firstLine="480"/>
        <w:jc w:val="both"/>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pPr>
      <w:r>
        <w:rPr>
          <w:rFonts w:ascii="Times New Roman" w:hAnsi="Times New Roman" w:cs="Times New Roman" w:eastAsia="黑体"/>
          <w:b w:val="0"/>
          <w:sz w:val="28"/>
        </w:rPr>
        <w:t>4.2.4 干预证据</w:t>
      </w:r>
    </w:p>
    <w:p>
      <w:pPr>
        <w:spacing w:before="0" w:after="0" w:line="300" w:lineRule="auto"/>
        <w:ind w:firstLine="480"/>
        <w:jc w:val="both"/>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95"/>
                    <a:stretch>
                      <a:fillRect/>
                    </a:stretch>
                  </pic:blipFill>
                  <pic:spPr>
                    <a:xfrm>
                      <a:off x="0" y="0"/>
                      <a:ext cx="5112000" cy="26455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图4-2 两层关系级β门控权重画像</w:t>
      </w:r>
    </w:p>
    <w:p>
      <w:pPr>
        <w:spacing w:before="0" w:after="0" w:line="300" w:lineRule="auto"/>
        <w:ind w:firstLine="480"/>
        <w:jc w:val="both"/>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pPr>
      <w:r>
        <w:drawing>
          <wp:inline xmlns:a="http://schemas.openxmlformats.org/drawingml/2006/main" xmlns:pic="http://schemas.openxmlformats.org/drawingml/2006/picture">
            <wp:extent cx="5112000" cy="263463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96"/>
                    <a:stretch>
                      <a:fillRect/>
                    </a:stretch>
                  </pic:blipFill>
                  <pic:spPr>
                    <a:xfrm>
                      <a:off x="0" y="0"/>
                      <a:ext cx="5112000" cy="26346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图4-3 关系级门控参数干预结果</w:t>
      </w:r>
    </w:p>
    <w:p>
      <w:pPr>
        <w:spacing w:before="0" w:after="0" w:line="300" w:lineRule="auto"/>
        <w:ind w:firstLine="480"/>
        <w:jc w:val="both"/>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pPr>
      <w:r>
        <w:rPr>
          <w:rFonts w:ascii="Times New Roman" w:hAnsi="Times New Roman" w:cs="Times New Roman" w:eastAsia="黑体"/>
          <w:b w:val="0"/>
          <w:sz w:val="28"/>
        </w:rPr>
        <w:t>4.2.5 L1判定结论</w:t>
      </w:r>
    </w:p>
    <w:p>
      <w:pPr>
        <w:spacing w:before="0" w:after="0" w:line="300" w:lineRule="auto"/>
        <w:ind w:firstLine="480"/>
        <w:jc w:val="both"/>
      </w:pPr>
      <w:r>
        <w:rPr>
          <w:rFonts w:ascii="Times New Roman" w:hAnsi="Times New Roman" w:cs="Times New Roman" w:eastAsia="宋体"/>
          <w:b w:val="0"/>
          <w:sz w:val="24"/>
        </w:rPr>
        <w:t>L1的观察和干预结果共同表明，在旧协议的训练后前向替换中，先验等权、固定单关系或层间交换均不能替代学习值。该结论限于所检7种内部参数替换，不适用于重新训练后的等权模型；它也不说明统计关系具有现实因果作用或当前权重是全局最优解。</w:t>
      </w:r>
    </w:p>
    <w:p>
      <w:pPr>
        <w:spacing w:before="360" w:after="240" w:line="360" w:lineRule="auto"/>
        <w:ind w:firstLine="0"/>
        <w:jc w:val="both"/>
        <w:outlineLvl w:val="1"/>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pPr>
      <w:r>
        <w:rPr>
          <w:rFonts w:ascii="Times New Roman" w:hAnsi="Times New Roman" w:cs="Times New Roman" w:eastAsia="黑体"/>
          <w:b w:val="0"/>
          <w:sz w:val="28"/>
        </w:rPr>
        <w:t>4.3.1 协议操作</w:t>
      </w:r>
    </w:p>
    <w:p>
      <w:pPr>
        <w:spacing w:before="0" w:after="0" w:line="300" w:lineRule="auto"/>
        <w:ind w:firstLine="480"/>
        <w:jc w:val="both"/>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ℒ</m:t>
            </m:r>
          </m:e>
          <m:sub>
            <m:r>
              <m:t>KD</m:t>
            </m:r>
          </m:sub>
        </m:sSub>
        <m:r>
          <m:t>=</m:t>
        </m:r>
        <m:sSub>
          <m:sSubPr/>
          <m:e>
            <m:r>
              <m:t>ℒ</m:t>
            </m:r>
          </m:e>
          <m:sub>
            <m:r>
              <m:t>1</m:t>
            </m:r>
          </m:sub>
        </m:sSub>
        <m:r>
          <m:t>(</m:t>
        </m:r>
        <m:sSub>
          <m:sSubPr/>
          <m:e>
            <m:r>
              <m:t>y</m:t>
            </m:r>
            <m:r>
              <m:t>ˆ</m:t>
            </m:r>
          </m:e>
          <m:sub>
            <m:r>
              <m:t>s</m:t>
            </m:r>
          </m:sub>
        </m:sSub>
        <m:r>
          <m:t>,</m:t>
        </m:r>
        <m:r>
          <m:t>y</m:t>
        </m:r>
        <m:r>
          <m:t>)</m:t>
        </m:r>
        <m:r>
          <m:t>+</m:t>
        </m:r>
        <m:r>
          <m:t>α</m:t>
        </m:r>
        <m:r>
          <m:t>MSE</m:t>
        </m:r>
        <m:r>
          <m:t>⁡</m:t>
        </m:r>
        <m:r>
          <m:t>(</m:t>
        </m:r>
        <m:sSub>
          <m:sSubPr/>
          <m:e>
            <m:r>
              <m:t>y</m:t>
            </m:r>
            <m:r>
              <m:t>ˆ</m:t>
            </m:r>
          </m:e>
          <m:sub>
            <m:r>
              <m:t>s</m:t>
            </m:r>
          </m:sub>
        </m:sSub>
        <m:r>
          <m:t>,</m:t>
        </m:r>
        <m:sSub>
          <m:sSubPr/>
          <m:e>
            <m:r>
              <m:t>y</m:t>
            </m:r>
            <m:r>
              <m:t>ˆ</m:t>
            </m:r>
          </m:e>
          <m:sub>
            <m:r>
              <m:t>t</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m:t>
        </m:r>
        <m:r>
          <m:t>0.1,0.5,1.0,2.0</m:t>
        </m:r>
        <m: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pPr>
      <w:r>
        <w:rPr>
          <w:rFonts w:ascii="Times New Roman" w:hAnsi="Times New Roman" w:cs="Times New Roman" w:eastAsia="黑体"/>
          <w:b w:val="0"/>
          <w:sz w:val="28"/>
        </w:rPr>
        <w:t>4.3.2 诊断实验</w:t>
      </w:r>
    </w:p>
    <w:p>
      <w:pPr>
        <w:spacing w:before="0" w:after="0" w:line="300" w:lineRule="auto"/>
        <w:ind w:firstLine="480"/>
        <w:jc w:val="both"/>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2</m:t>
        </m:r>
      </m:oMath>
      <w:r>
        <w:rPr>
          <w:rFonts w:ascii="Times New Roman" w:hAnsi="Times New Roman" w:cs="Times New Roman" w:eastAsia="宋体"/>
          <w:b w:val="0"/>
          <w:sz w:val="24"/>
        </w:rPr>
        <w:t>仍约为教师MAE的2.1倍。</w:t>
      </w:r>
    </w:p>
    <w:p>
      <w:pPr>
        <w:spacing w:before="60" w:after="60" w:line="240" w:lineRule="auto"/>
        <w:ind w:firstLine="0"/>
        <w:jc w:val="center"/>
      </w:pPr>
      <w:r>
        <w:rPr>
          <w:rFonts w:ascii="Times New Roman" w:hAnsi="Times New Roman" w:cs="Times New Roman" w:eastAsia="黑体"/>
          <w:b w:val="0"/>
          <w:sz w:val="21"/>
        </w:rPr>
        <w:t>表4-3 GCN→TCN知识蒸馏结果</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seed-2024</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seed-2025</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seed-2026</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均值±SD</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相对教师倍数</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0.02946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0.02920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0.02934±0.00013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0.02918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0.02931±0.00021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0.02941±0.00014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2.14×</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0.02914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0.02925</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0.02923</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0.02921±0.00006</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2.12×</w:t>
            </w:r>
          </w:p>
        </w:tc>
      </w:tr>
    </w:tbl>
    <w:p>
      <w:pPr>
        <w:spacing w:before="0" w:after="0" w:line="300" w:lineRule="auto"/>
        <w:ind w:firstLine="480"/>
        <w:jc w:val="both"/>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范围。</w:t>
      </w:r>
    </w:p>
    <w:p>
      <w:pPr>
        <w:spacing w:before="240" w:after="180" w:line="300" w:lineRule="auto"/>
        <w:ind w:firstLine="0"/>
        <w:jc w:val="both"/>
        <w:outlineLvl w:val="2"/>
      </w:pPr>
      <w:r>
        <w:rPr>
          <w:rFonts w:ascii="Times New Roman" w:hAnsi="Times New Roman" w:cs="Times New Roman" w:eastAsia="黑体"/>
          <w:b w:val="0"/>
          <w:sz w:val="28"/>
        </w:rPr>
        <w:t>4.3.3 L2判定结论</w:t>
      </w:r>
    </w:p>
    <w:p>
      <w:pPr>
        <w:spacing w:before="0" w:after="0" w:line="300" w:lineRule="auto"/>
        <w:ind w:firstLine="480"/>
        <w:jc w:val="both"/>
      </w:pPr>
      <w:r>
        <w:rPr>
          <w:rFonts w:ascii="Times New Roman" w:hAnsi="Times New Roman" w:cs="Times New Roman" w:eastAsia="宋体"/>
          <w:b w:val="0"/>
          <w:sz w:val="24"/>
        </w:rPr>
        <w:t>在本实验的TCN学生、教师预测蒸馏目标和四个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取值下，蒸馏未弥合师生差距。该结果与L1相互补充：前者说明学习关系分配对当前模型有功能影响，后者说明该预测收益未被所检纯时序学生吸收。它不支持“图结构不可替代”的全称判断；更大容量学生、不同蒸馏目标或其他训练策略仍有待检验。</w:t>
      </w:r>
    </w:p>
    <w:p>
      <w:pPr>
        <w:spacing w:before="360" w:after="240" w:line="360" w:lineRule="auto"/>
        <w:ind w:firstLine="0"/>
        <w:jc w:val="both"/>
        <w:outlineLvl w:val="1"/>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pPr>
      <w:r>
        <w:rPr>
          <w:rFonts w:ascii="Times New Roman" w:hAnsi="Times New Roman" w:cs="Times New Roman" w:eastAsia="黑体"/>
          <w:b w:val="0"/>
          <w:sz w:val="28"/>
        </w:rPr>
        <w:t>4.4.1 协议操作</w:t>
      </w:r>
    </w:p>
    <w:p>
      <w:pPr>
        <w:spacing w:before="0" w:after="0" w:line="300" w:lineRule="auto"/>
        <w:ind w:firstLine="480"/>
        <w:jc w:val="both"/>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事后评价标签，后者是预测时刻可见的规则信号；二者并非分类器的预测与真值，因而不采用混淆矩阵或分类错误术语。</w:t>
      </w:r>
    </w:p>
    <w:p>
      <w:pPr>
        <w:spacing w:before="240" w:after="180" w:line="300" w:lineRule="auto"/>
        <w:ind w:firstLine="0"/>
        <w:jc w:val="both"/>
        <w:outlineLvl w:val="2"/>
      </w:pPr>
      <w:r>
        <w:rPr>
          <w:rFonts w:ascii="Times New Roman" w:hAnsi="Times New Roman" w:cs="Times New Roman" w:eastAsia="黑体"/>
          <w:b w:val="0"/>
          <w:sz w:val="28"/>
        </w:rPr>
        <w:t>4.4.2 诊断实验</w:t>
      </w:r>
    </w:p>
    <w:p>
      <w:pPr>
        <w:spacing w:before="0" w:after="0" w:line="300" w:lineRule="auto"/>
        <w:ind w:firstLine="480"/>
        <w:jc w:val="both"/>
      </w:pPr>
      <w:r>
        <w:rPr>
          <w:rFonts w:ascii="Times New Roman" w:hAnsi="Times New Roman" w:cs="Times New Roman" w:eastAsia="宋体"/>
          <w:b w:val="0"/>
          <w:sz w:val="24"/>
        </w:rPr>
        <w:t>原主实验三种子均使用StaticGraph逐键预测重建四格，而不再使用AdaptiveGraph单种子示例。三种子在四个格中的样本量完全一致：标签事件/规则触发235个，标签事件/规则未触发9,925个，非标签事件/规则触发2,825个，非标签事件/规则未触发699,375个。三种子均值结果见表4-4，格内标准差用于描述种子波动；它们不是独立场站样本，也不用于显著性检验。</w:t>
      </w:r>
    </w:p>
    <w:p>
      <w:pPr>
        <w:spacing w:before="60" w:after="60" w:line="240" w:lineRule="auto"/>
        <w:ind w:firstLine="0"/>
        <w:jc w:val="center"/>
      </w:pPr>
      <w:r>
        <w:rPr>
          <w:rFonts w:ascii="Times New Roman" w:hAnsi="Times New Roman" w:cs="Times New Roman" w:eastAsia="黑体"/>
          <w:b w:val="0"/>
          <w:sz w:val="21"/>
        </w:rPr>
        <w:t>表4-4 原正式MRG-GCN三种子四格误差溯源</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分组</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target_event</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rule_trigger</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样本量</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占比</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MAE（均值±SD）</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标签事件/规则触发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0.21723±0.00598</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标签事件/规则未触发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9,925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1.3933%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0.27747±0.00098</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非标签事件/规则触发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0.3966%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0.07254±0.00591</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非标签事件/规则未触发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699,375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98.1772%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0.00971±0.00019</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合计</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712,360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100.0000%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0.01376±0.00023</w:t>
            </w:r>
          </w:p>
        </w:tc>
      </w:tr>
    </w:tbl>
    <w:p>
      <w:pPr>
        <w:spacing w:before="0" w:after="0" w:line="300" w:lineRule="auto"/>
        <w:ind w:firstLine="480"/>
        <w:jc w:val="both"/>
      </w:pPr>
      <w:r>
        <w:rPr>
          <w:rFonts w:ascii="Times New Roman" w:hAnsi="Times New Roman" w:cs="Times New Roman" w:eastAsia="宋体"/>
          <w:b w:val="0"/>
          <w:sz w:val="24"/>
        </w:rPr>
        <w:t>注：四格MAE为三种子均值±样本标准差；原四格RMSE和WAPE未在本次三种子锁定汇总中重建，故不填入未经核验的数值。逐种子值和误差贡献见four_cell_per_seed.csv与four_cell_summary.csv。</w:t>
      </w:r>
    </w:p>
    <w:p>
      <w:pPr>
        <w:spacing w:before="0" w:after="0" w:line="300" w:lineRule="auto"/>
        <w:ind w:firstLine="480"/>
        <w:jc w:val="both"/>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pPr>
      <w:r>
        <w:drawing>
          <wp:inline xmlns:a="http://schemas.openxmlformats.org/drawingml/2006/main" xmlns:pic="http://schemas.openxmlformats.org/drawingml/2006/picture">
            <wp:extent cx="5112000" cy="2125240"/>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97"/>
                    <a:stretch>
                      <a:fillRect/>
                    </a:stretch>
                  </pic:blipFill>
                  <pic:spPr>
                    <a:xfrm>
                      <a:off x="0" y="0"/>
                      <a:ext cx="5112000" cy="212524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图4-4 事件标签与规则触发的四格诊断</w:t>
      </w:r>
    </w:p>
    <w:p>
      <w:pPr>
        <w:spacing w:before="0" w:after="0" w:line="300" w:lineRule="auto"/>
        <w:ind w:firstLine="480"/>
        <w:jc w:val="both"/>
      </w:pPr>
      <w:r>
        <w:rPr>
          <w:rFonts w:ascii="Times New Roman" w:hAnsi="Times New Roman" w:cs="Times New Roman" w:eastAsia="宋体"/>
          <w:b w:val="0"/>
          <w:sz w:val="18"/>
        </w:rPr>
        <w:t>注：A展示原正式MRG-GCN三种子四格MAE均值、跨种子样本标准差和样本量，B以配对点线对比各格样本占比和按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MAE</m:t>
        </m:r>
      </m:oMath>
      <w:r>
        <w:rPr>
          <w:rFonts w:ascii="Times New Roman" w:hAnsi="Times New Roman" w:cs="Times New Roman" w:eastAsia="宋体"/>
          <w:b w:val="0"/>
          <w:sz w:val="18"/>
        </w:rPr>
        <w:t>计算的绝对误差贡献。四格计数来自共同预测键，三种子均值与离散度可由锁定汇总复算。</w:t>
      </w:r>
    </w:p>
    <w:p>
      <w:pPr>
        <w:spacing w:before="60" w:after="60" w:line="240" w:lineRule="auto"/>
        <w:ind w:firstLine="0"/>
        <w:jc w:val="center"/>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98"/>
                    <a:stretch>
                      <a:fillRect/>
                    </a:stretch>
                  </pic:blipFill>
                  <pic:spPr>
                    <a:xfrm>
                      <a:off x="0" y="0"/>
                      <a:ext cx="5112000" cy="217940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图4-5 不同模型的残差分布</w:t>
      </w:r>
    </w:p>
    <w:p>
      <w:pPr>
        <w:spacing w:before="0" w:after="0" w:line="300" w:lineRule="auto"/>
        <w:ind w:firstLine="480"/>
        <w:jc w:val="both"/>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pPr>
      <w:r>
        <w:drawing>
          <wp:inline xmlns:a="http://schemas.openxmlformats.org/drawingml/2006/main" xmlns:pic="http://schemas.openxmlformats.org/drawingml/2006/picture">
            <wp:extent cx="5112000" cy="289448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99"/>
                    <a:stretch>
                      <a:fillRect/>
                    </a:stretch>
                  </pic:blipFill>
                  <pic:spPr>
                    <a:xfrm>
                      <a:off x="0" y="0"/>
                      <a:ext cx="5112000" cy="289448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图4-6 误差与可见事件分数的关系</w:t>
      </w:r>
    </w:p>
    <w:p>
      <w:pPr>
        <w:spacing w:before="0" w:after="0" w:line="300" w:lineRule="auto"/>
        <w:ind w:firstLine="480"/>
        <w:jc w:val="both"/>
      </w:pPr>
      <w:r>
        <w:rPr>
          <w:rFonts w:ascii="Times New Roman" w:hAnsi="Times New Roman" w:cs="Times New Roman" w:eastAsia="宋体"/>
          <w:b w:val="0"/>
          <w:sz w:val="18"/>
        </w:rPr>
        <w:t>注：使用AdaptiveGraph的seed-2024测试预测键，按预测起点的代理事件分数分为零分数和三个非零组；非零组的分界为测试期非零分数的50%和95%分位数，仅用于描述，不用于规则拟合。点为组内MAE，标注为预测键数。零分数不等同于目标侧非事件，最高分数组也不等同于冻结规则触发组；该图不证明因果作用。</w:t>
      </w:r>
    </w:p>
    <w:p>
      <w:pPr>
        <w:spacing w:before="240" w:after="180" w:line="300" w:lineRule="auto"/>
        <w:ind w:firstLine="0"/>
        <w:jc w:val="both"/>
        <w:outlineLvl w:val="2"/>
      </w:pPr>
      <w:r>
        <w:rPr>
          <w:rFonts w:ascii="Times New Roman" w:hAnsi="Times New Roman" w:cs="Times New Roman" w:eastAsia="黑体"/>
          <w:b w:val="0"/>
          <w:sz w:val="28"/>
        </w:rPr>
        <w:t>4.4.3 还原校验</w:t>
      </w:r>
    </w:p>
    <w:p>
      <w:pPr>
        <w:spacing w:before="0" w:after="0" w:line="300" w:lineRule="auto"/>
        <w:ind w:firstLine="480"/>
        <w:jc w:val="both"/>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（4-1）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b</m:t>
        </m:r>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pPr>
      <w:r>
        <w:rPr>
          <w:rFonts w:ascii="Times New Roman" w:hAnsi="Times New Roman" w:cs="Times New Roman" w:eastAsia="黑体"/>
          <w:b w:val="0"/>
          <w:sz w:val="28"/>
        </w:rPr>
        <w:t>4.4.4 L3判定结论</w:t>
      </w:r>
    </w:p>
    <w:p>
      <w:pPr>
        <w:spacing w:before="0" w:after="0" w:line="300" w:lineRule="auto"/>
        <w:ind w:firstLine="480"/>
        <w:jc w:val="both"/>
      </w:pPr>
      <w:r>
        <w:rPr>
          <w:rFonts w:ascii="Times New Roman" w:hAnsi="Times New Roman" w:cs="Times New Roman" w:eastAsia="宋体"/>
          <w:b w:val="0"/>
          <w:sz w:val="24"/>
        </w:rPr>
        <w:t>L3表明，全局MAE主要反映占比98%以上的非标签事件/规则未触发样本，不能代表标签事件窗口的误差。规则触发与标签事件存在明显错位，故它可作为预测时可见的分层信号，却不能视为标签事件的等价替代。该诊断直接支撑第5章对规则路由分层区间的边界讨论。</w:t>
      </w:r>
    </w:p>
    <w:p>
      <w:pPr>
        <w:spacing w:before="360" w:after="240" w:line="360" w:lineRule="auto"/>
        <w:ind w:firstLine="0"/>
        <w:jc w:val="both"/>
        <w:outlineLvl w:val="1"/>
      </w:pPr>
      <w:r>
        <w:rPr>
          <w:rFonts w:ascii="Times New Roman" w:hAnsi="Times New Roman" w:cs="Times New Roman" w:eastAsia="黑体"/>
          <w:b/>
          <w:sz w:val="30"/>
        </w:rPr>
        <w:t>4.5 协议总结：MDP机制画像与可复用性</w:t>
      </w:r>
    </w:p>
    <w:p>
      <w:pPr>
        <w:spacing w:before="0" w:after="0" w:line="300" w:lineRule="auto"/>
        <w:ind w:firstLine="480"/>
        <w:jc w:val="both"/>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不是重复验证同一结论，而是依次回答“模型内部依赖什么”“所检简化学生能否吸收何种收益”“总体误差主要由何类样本贡献”。L1和L2使用主模型正式结果，L3现已改用原正式MRG-GCN三种子逐键预测；图4-5和图4-6仍保留为seed-2024的描述性补充。跨模型、跨站点复现仍属后续工作。</w:t>
      </w:r>
    </w:p>
    <w:p>
      <w:pPr>
        <w:spacing w:before="0" w:after="0" w:line="300" w:lineRule="auto"/>
        <w:ind w:firstLine="480"/>
        <w:jc w:val="both"/>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pPr>
      <w:r>
        <w:rPr>
          <w:rFonts w:ascii="Times New Roman" w:hAnsi="Times New Roman" w:cs="Times New Roman" w:eastAsia="黑体"/>
          <w:b/>
          <w:sz w:val="30"/>
        </w:rPr>
        <w:t>4.6 适用范围与外部验证要求</w:t>
      </w:r>
    </w:p>
    <w:p>
      <w:pPr>
        <w:spacing w:before="0" w:after="0" w:line="300" w:lineRule="auto"/>
        <w:ind w:firstLine="480"/>
        <w:jc w:val="both"/>
      </w:pPr>
      <w:r>
        <w:rPr>
          <w:rFonts w:ascii="Times New Roman" w:hAnsi="Times New Roman" w:cs="Times New Roman" w:eastAsia="宋体"/>
          <w:b w:val="0"/>
          <w:sz w:val="24"/>
        </w:rPr>
        <w:t>本章结论适用于本文单站10个主分析节点、既定时间切分和会话重构代理负荷的实验范围。节点标识之间的统计关系不能等同于物理充电桩、馈线连接或电气拓扑；固定LRE关系图也未覆盖季节、价格、运营策略和用户结构变化所引起的关系漂移。因而，当前证据能够支持同一数据口径下的模型比较与机制诊断，不能据此推断所有公共充电场站的误差水平或最佳关系配置。</w:t>
      </w:r>
    </w:p>
    <w:p>
      <w:pPr>
        <w:spacing w:before="0" w:after="0" w:line="300" w:lineRule="auto"/>
        <w:ind w:firstLine="480"/>
        <w:jc w:val="both"/>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1"/>
          <w:headerReference w:type="even" r:id="rId92"/>
          <w:footerReference w:type="default" r:id="rId9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pPr>
      <w:r>
        <w:rPr>
          <w:rFonts w:ascii="Times New Roman" w:hAnsi="Times New Roman" w:cs="Times New Roman" w:eastAsia="黑体"/>
          <w:b/>
          <w:sz w:val="30"/>
        </w:rPr>
        <w:t>5.1 引言</w:t>
      </w:r>
    </w:p>
    <w:p>
      <w:pPr>
        <w:spacing w:before="0" w:after="0" w:line="300" w:lineRule="auto"/>
        <w:ind w:firstLine="480"/>
        <w:jc w:val="both"/>
      </w:pPr>
      <w:r>
        <w:rPr>
          <w:rFonts w:ascii="Times New Roman" w:hAnsi="Times New Roman" w:cs="Times New Roman" w:eastAsia="宋体"/>
          <w:b w:val="0"/>
          <w:sz w:val="24"/>
        </w:rPr>
        <w:t>第3章完成站内节点负荷预测，第4章进一步分析关系分配的功能依赖和事件窗口的误差边界。本章沿这两条线索考察方向性候选结构、预测区间以及事件、稳定和节点层面的参数敏感度。</w:t>
      </w:r>
    </w:p>
    <w:p>
      <w:pPr>
        <w:spacing w:before="0" w:after="0" w:line="300" w:lineRule="auto"/>
        <w:ind w:firstLine="480"/>
        <w:jc w:val="both"/>
      </w:pPr>
      <w:r>
        <w:rPr>
          <w:rFonts w:ascii="Times New Roman" w:hAnsi="Times New Roman" w:cs="Times New Roman" w:eastAsia="宋体"/>
          <w:b w:val="0"/>
          <w:sz w:val="24"/>
        </w:rPr>
        <w:t>本章不承诺解决事件预测。第3章显示，事件窗口的MAE约为稳定窗口的28倍；第4章又表明，当前可见规则与标签事件存在错位。因此，本章只界定可见信号下的结构与覆盖边界，不把事后标签或oracle结果表述为预测时可用能力。</w:t>
      </w:r>
    </w:p>
    <w:p>
      <w:pPr>
        <w:spacing w:before="0" w:after="0" w:line="300" w:lineRule="auto"/>
        <w:ind w:firstLine="480"/>
        <w:jc w:val="both"/>
      </w:pPr>
      <w:r>
        <w:rPr>
          <w:rFonts w:ascii="Times New Roman" w:hAnsi="Times New Roman" w:cs="Times New Roman" w:eastAsia="宋体"/>
          <w:b w:val="0"/>
          <w:sz w:val="24"/>
        </w:rPr>
        <w:t>本章的功能是为主模型和MDP补充边界信息，而不是形成与第3、4章并列的第二套预测方法。方向性分析只提供可进一步检验的条件滞后依赖候选；共形分析只比较给定校准实现下的经验覆盖；分层参数替换只描述模型内部响应。三类结果均不进入主模型训练，也不改变第3章的正式点预测比较。</w:t>
      </w:r>
    </w:p>
    <w:p>
      <w:pPr>
        <w:spacing w:before="360" w:after="240" w:line="360" w:lineRule="auto"/>
        <w:ind w:firstLine="0"/>
        <w:jc w:val="both"/>
        <w:outlineLvl w:val="1"/>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pPr>
      <w:r>
        <w:drawing>
          <wp:inline xmlns:a="http://schemas.openxmlformats.org/drawingml/2006/main" xmlns:pic="http://schemas.openxmlformats.org/drawingml/2006/picture">
            <wp:extent cx="5112000" cy="2716032"/>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03"/>
                    <a:stretch>
                      <a:fillRect/>
                    </a:stretch>
                  </pic:blipFill>
                  <pic:spPr>
                    <a:xfrm>
                      <a:off x="0" y="0"/>
                      <a:ext cx="5112000" cy="27160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图5-1 TE候选生成与PCMCI+条件独立核验流程</w:t>
      </w:r>
    </w:p>
    <w:p>
      <w:pPr>
        <w:spacing w:before="0" w:after="0" w:line="300" w:lineRule="auto"/>
        <w:ind w:firstLine="480"/>
        <w:jc w:val="both"/>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注：训练期10节点负荷序列先经传递熵检验形成方向性候选，再由PCMCI+进行条件独立核验。流程用于条件滞后依赖结构发现，未进行多重比较校正，不解释为物理因果。</w:t>
      </w:r>
    </w:p>
    <w:p>
      <w:pPr>
        <w:spacing w:before="240" w:after="180" w:line="300" w:lineRule="auto"/>
        <w:ind w:firstLine="0"/>
        <w:jc w:val="both"/>
        <w:outlineLvl w:val="2"/>
      </w:pPr>
      <w:r>
        <w:rPr>
          <w:rFonts w:ascii="Times New Roman" w:hAnsi="Times New Roman" w:cs="Times New Roman" w:eastAsia="黑体"/>
          <w:b w:val="0"/>
          <w:sz w:val="28"/>
        </w:rPr>
        <w:t>5.2.1 问题与动机</w:t>
      </w:r>
    </w:p>
    <w:p>
      <w:pPr>
        <w:spacing w:before="0" w:after="0" w:line="300" w:lineRule="auto"/>
        <w:ind w:firstLine="480"/>
        <w:jc w:val="both"/>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该假设不预设其物理机制，也不将统计方向解释为因果方向。</w:t>
      </w:r>
    </w:p>
    <w:p>
      <w:pPr>
        <w:spacing w:before="240" w:after="180" w:line="300" w:lineRule="auto"/>
        <w:ind w:firstLine="0"/>
        <w:jc w:val="both"/>
        <w:outlineLvl w:val="2"/>
      </w:pPr>
      <w:r>
        <w:rPr>
          <w:rFonts w:ascii="Times New Roman" w:hAnsi="Times New Roman" w:cs="Times New Roman" w:eastAsia="黑体"/>
          <w:b w:val="0"/>
          <w:sz w:val="28"/>
        </w:rPr>
        <w:t>5.2.2 传递熵方向性检验</w:t>
      </w:r>
    </w:p>
    <w:p>
      <w:pPr>
        <w:spacing w:before="0" w:after="0" w:line="300" w:lineRule="auto"/>
        <w:ind w:firstLine="480"/>
        <w:jc w:val="both"/>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TE</m:t>
        </m:r>
        <m:r>
          <m:t>⁡</m:t>
        </m:r>
        <m:r>
          <m:t>(</m:t>
        </m:r>
        <m:r>
          <m:t>X</m:t>
        </m:r>
        <m:r>
          <m:t>→</m:t>
        </m:r>
        <m:r>
          <m:t>Y</m:t>
        </m:r>
        <m:r>
          <m:t>)</m:t>
        </m:r>
        <m:r>
          <m:t>=</m:t>
        </m:r>
        <m:r>
          <m:t>H</m:t>
        </m:r>
        <m:r>
          <m:t>(</m:t>
        </m:r>
        <m:sSub>
          <m:sSubPr/>
          <m:e>
            <m:r>
              <m:t>Y</m:t>
            </m:r>
          </m:e>
          <m:sub>
            <m:r>
              <m:t>t</m:t>
            </m:r>
            <m:r>
              <m:t>+</m:t>
            </m:r>
            <m:r>
              <m:t>1</m:t>
            </m:r>
          </m:sub>
        </m:sSub>
        <m:r>
          <m:t>|</m:t>
        </m:r>
        <m:sSub>
          <m:sSubPr/>
          <m:e>
            <m:r>
              <m:t>Y</m:t>
            </m:r>
          </m:e>
          <m:sub>
            <m:r>
              <m:t>t</m:t>
            </m:r>
          </m:sub>
        </m:sSub>
        <m:r>
          <m:t>)</m:t>
        </m:r>
        <m:r>
          <m:t>−</m:t>
        </m:r>
        <m:r>
          <m:t>H</m:t>
        </m:r>
        <m:r>
          <m:t>(</m:t>
        </m:r>
        <m:sSub>
          <m:sSubPr/>
          <m:e>
            <m:r>
              <m:t>Y</m:t>
            </m:r>
          </m:e>
          <m:sub>
            <m:r>
              <m:t>t</m:t>
            </m:r>
            <m:r>
              <m:t>+</m:t>
            </m:r>
            <m:r>
              <m:t>1</m:t>
            </m:r>
          </m:sub>
        </m:sSub>
        <m:r>
          <m:t>|</m:t>
        </m:r>
        <m:sSub>
          <m:sSubPr/>
          <m:e>
            <m:r>
              <m:t>Y</m:t>
            </m:r>
          </m:e>
          <m:sub>
            <m:r>
              <m:t>t</m:t>
            </m:r>
          </m:sub>
        </m:sSub>
        <m:r>
          <m:t>,</m:t>
        </m:r>
        <m:sSub>
          <m:sSubPr/>
          <m:e>
            <m:r>
              <m:t>X</m:t>
            </m:r>
          </m:e>
          <m:sub>
            <m:r>
              <m:t>t</m:t>
            </m:r>
          </m:sub>
        </m:sSub>
        <m:r>
          <m:t>)</m:t>
        </m:r>
        <m:r>
          <m:t>.</m:t>
        </m:r>
      </m:oMath>
      <w:r>
        <w:tab/>
      </w:r>
      <w:r>
        <w:rPr>
          <w:rFonts w:ascii="Times New Roman" w:hAnsi="Times New Roman" w:cs="Times New Roman" w:eastAsia="宋体"/>
          <w:sz w:val="21"/>
        </w:rPr>
        <w:t>（5-1）</w:t>
      </w:r>
    </w:p>
    <w:p>
      <w:pPr>
        <w:spacing w:before="0" w:after="0" w:line="300" w:lineRule="auto"/>
        <w:ind w:firstLine="480"/>
        <w:jc w:val="both"/>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&lt;</m:t>
        </m:r>
        <m: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pPr>
      <w:r>
        <w:rPr>
          <w:rFonts w:ascii="Times New Roman" w:hAnsi="Times New Roman" w:cs="Times New Roman" w:eastAsia="黑体"/>
          <w:b w:val="0"/>
          <w:sz w:val="28"/>
        </w:rPr>
        <w:t>5.2.3 传递熵存在性与方向不对称证据</w:t>
      </w:r>
    </w:p>
    <w:p>
      <w:pPr>
        <w:spacing w:before="0" w:after="0" w:line="300" w:lineRule="auto"/>
        <w:ind w:firstLine="480"/>
        <w:jc w:val="both"/>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r>
        <w:tab/>
      </w:r>
      <w:r>
        <w:rPr>
          <w:rFonts w:ascii="Times New Roman" w:hAnsi="Times New Roman" w:cs="Times New Roman" w:eastAsia="宋体"/>
          <w:sz w:val="21"/>
        </w:rPr>
        <w:t>（5-2）</w:t>
      </w:r>
    </w:p>
    <w:p>
      <w:pPr>
        <w:spacing w:before="0" w:after="0" w:line="300" w:lineRule="auto"/>
        <w:ind w:firstLine="480"/>
        <w:jc w:val="both"/>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ASYM</m:t>
        </m:r>
        <m:r>
          <m:t>⁡</m:t>
        </m:r>
        <m:r>
          <m:t>&gt;</m:t>
        </m:r>
        <m: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pPr>
      <w:r>
        <w:drawing>
          <wp:inline xmlns:a="http://schemas.openxmlformats.org/drawingml/2006/main" xmlns:pic="http://schemas.openxmlformats.org/drawingml/2006/picture">
            <wp:extent cx="5112000" cy="2740966"/>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04"/>
                    <a:stretch>
                      <a:fillRect/>
                    </a:stretch>
                  </pic:blipFill>
                  <pic:spPr>
                    <a:xfrm>
                      <a:off x="0" y="0"/>
                      <a:ext cx="5112000" cy="274096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图5-2 传递熵方向性候选结构</w:t>
      </w:r>
    </w:p>
    <w:p>
      <w:pPr>
        <w:spacing w:before="0" w:after="0" w:line="300" w:lineRule="auto"/>
        <w:ind w:firstLine="480"/>
        <w:jc w:val="both"/>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pPr>
      <w:r>
        <w:drawing>
          <wp:inline xmlns:a="http://schemas.openxmlformats.org/drawingml/2006/main" xmlns:pic="http://schemas.openxmlformats.org/drawingml/2006/picture">
            <wp:extent cx="5112000" cy="4918105"/>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05"/>
                    <a:stretch>
                      <a:fillRect/>
                    </a:stretch>
                  </pic:blipFill>
                  <pic:spPr>
                    <a:xfrm>
                      <a:off x="0" y="0"/>
                      <a:ext cx="5112000" cy="4918105"/>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图5-3 双向传递熵与方向不对称性</w:t>
      </w:r>
    </w:p>
    <w:p>
      <w:pPr>
        <w:spacing w:before="0" w:after="0" w:line="300" w:lineRule="auto"/>
        <w:ind w:firstLine="480"/>
        <w:jc w:val="both"/>
      </w:pPr>
      <w:r>
        <w:rPr>
          <w:rFonts w:ascii="Times New Roman" w:hAnsi="Times New Roman" w:cs="Times New Roman" w:eastAsia="宋体"/>
          <w:b w:val="0"/>
          <w:sz w:val="18"/>
        </w:rPr>
        <w:t>注：45个点分别对应10节点的无向节点对，横纵轴为该对两个方向的TE读数，等比例坐标中的45°虚线表示双向相等。颜色和符号区分至少一方向达到名义阈值与两方向均未达到阈值，标注给出不对称度最高的三个节点对。该图为训练期探索性统计，未作多重比较校正，不构成因果证明。</w:t>
      </w:r>
    </w:p>
    <w:p>
      <w:pPr>
        <w:spacing w:before="240" w:after="180" w:line="300" w:lineRule="auto"/>
        <w:ind w:firstLine="0"/>
        <w:jc w:val="both"/>
        <w:outlineLvl w:val="2"/>
      </w:pPr>
      <w:r>
        <w:rPr>
          <w:rFonts w:ascii="Times New Roman" w:hAnsi="Times New Roman" w:cs="Times New Roman" w:eastAsia="黑体"/>
          <w:b w:val="0"/>
          <w:sz w:val="28"/>
        </w:rPr>
        <w:t>5.2.4 有向候选边与统计关系图的互补性</w:t>
      </w:r>
    </w:p>
    <w:p>
      <w:pPr>
        <w:spacing w:before="0" w:after="0" w:line="300" w:lineRule="auto"/>
        <w:ind w:firstLine="480"/>
        <w:jc w:val="both"/>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spacing w:before="60" w:after="60" w:line="240" w:lineRule="auto"/>
        <w:ind w:firstLine="0"/>
        <w:jc w:val="center"/>
      </w:pPr>
      <w:r>
        <w:rPr>
          <w:rFonts w:ascii="Times New Roman" w:hAnsi="Times New Roman" w:cs="Times New Roman" w:eastAsia="黑体"/>
          <w:b w:val="0"/>
          <w:sz w:val="21"/>
        </w:rPr>
        <w:t>表5-1 TE候选与LRE统计关系的覆盖情况</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数值</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说明</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通过名义阈值的有向TE候选</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76/90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未做多重比较校正</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对应无向节点对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31对双向候选，14对单向候选</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至少被一类统计图覆盖的节点对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33/45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探索性比较统一采用top-k=3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未被统计图覆盖的节点对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12/45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仅指当前统计图未覆盖</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与负荷耦合图的Jaccard系数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0.444</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与行为共现图的Jaccard系数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0.489</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与轮廓相似图的Jaccard系数</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0.378</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bl>
    <w:p>
      <w:pPr>
        <w:spacing w:before="60" w:after="60" w:line="240" w:lineRule="auto"/>
        <w:ind w:firstLine="0"/>
        <w:jc w:val="center"/>
      </w:pPr>
      <w:r>
        <w:drawing>
          <wp:inline xmlns:a="http://schemas.openxmlformats.org/drawingml/2006/main" xmlns:pic="http://schemas.openxmlformats.org/drawingml/2006/picture">
            <wp:extent cx="5112000" cy="1815936"/>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06"/>
                    <a:stretch>
                      <a:fillRect/>
                    </a:stretch>
                  </pic:blipFill>
                  <pic:spPr>
                    <a:xfrm>
                      <a:off x="0" y="0"/>
                      <a:ext cx="5112000" cy="181593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图5-4 TE与统计关系权重的对应</w:t>
      </w:r>
    </w:p>
    <w:p>
      <w:pPr>
        <w:spacing w:before="0" w:after="0" w:line="300" w:lineRule="auto"/>
        <w:ind w:firstLine="480"/>
        <w:jc w:val="both"/>
      </w:pPr>
      <w:r>
        <w:rPr>
          <w:rFonts w:ascii="Times New Roman" w:hAnsi="Times New Roman" w:cs="Times New Roman" w:eastAsia="宋体"/>
          <w:b w:val="0"/>
          <w:sz w:val="18"/>
        </w:rPr>
        <w:t>注：90条有向节点对分别与三类固定统计关系权重比较，Spearman系数标注于图内。灰色叉号表示TE为零的边；该单种子、未校正的探索性比较不表达方向性因果关系。</w:t>
      </w:r>
    </w:p>
    <w:p>
      <w:pPr>
        <w:spacing w:before="240" w:after="180" w:line="300" w:lineRule="auto"/>
        <w:ind w:firstLine="0"/>
        <w:jc w:val="both"/>
        <w:outlineLvl w:val="2"/>
      </w:pPr>
      <w:r>
        <w:rPr>
          <w:rFonts w:ascii="Times New Roman" w:hAnsi="Times New Roman" w:cs="Times New Roman" w:eastAsia="黑体"/>
          <w:b w:val="0"/>
          <w:sz w:val="28"/>
        </w:rPr>
        <w:t>5.2.5 PCMCI+条件独立核验与结构发现定位</w:t>
      </w:r>
    </w:p>
    <w:p>
      <w:pPr>
        <w:spacing w:before="0" w:after="0" w:line="300" w:lineRule="auto"/>
        <w:ind w:firstLine="480"/>
        <w:jc w:val="both"/>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[86,87]</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pPr>
      <w:r>
        <w:drawing>
          <wp:inline xmlns:a="http://schemas.openxmlformats.org/drawingml/2006/main" xmlns:pic="http://schemas.openxmlformats.org/drawingml/2006/picture">
            <wp:extent cx="5112000" cy="3281272"/>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07"/>
                    <a:stretch>
                      <a:fillRect/>
                    </a:stretch>
                  </pic:blipFill>
                  <pic:spPr>
                    <a:xfrm>
                      <a:off x="0" y="0"/>
                      <a:ext cx="5112000" cy="3281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图5-5 PCMCI+条件独立核验结果</w:t>
      </w:r>
    </w:p>
    <w:p>
      <w:pPr>
        <w:spacing w:before="0" w:after="0" w:line="300" w:lineRule="auto"/>
        <w:ind w:firstLine="480"/>
        <w:jc w:val="both"/>
      </w:pPr>
      <w:r>
        <w:rPr>
          <w:rFonts w:ascii="Times New Roman" w:hAnsi="Times New Roman" w:cs="Times New Roman" w:eastAsia="宋体"/>
          <w:b w:val="0"/>
          <w:sz w:val="18"/>
        </w:rPr>
        <w:t>注：左侧有向邻接状态图以行为源节点、列为目标节点，颜色与符号区分双检验达到名义阈值的44对、仅TE达到阈值的32对和仅PCMCI+达到阈值的6对；右侧按相同节点顺序汇总82个节点间有向对的出边数。10个自回归对在两侧均排除，对角线灰色不表示待检验边。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18"/>
        </w:rPr>
        <w:t>，未进行多重比较校正。</w:t>
      </w:r>
    </w:p>
    <w:p>
      <w:pPr>
        <w:spacing w:before="0" w:after="0" w:line="300" w:lineRule="auto"/>
        <w:ind w:firstLine="480"/>
        <w:jc w:val="both"/>
      </w:pPr>
      <w:r>
        <w:rPr>
          <w:rFonts w:ascii="Times New Roman" w:hAnsi="Times New Roman" w:cs="Times New Roman" w:eastAsia="宋体"/>
          <w:b w:val="0"/>
          <w:sz w:val="24"/>
        </w:rPr>
        <w:t>本节因此定位为条件滞后依赖结构发现：TE提供候选，PCMCI+提供条件独立意义下的交叉核验。两者均不等同于物理因果边，也尚未被融入MRG-GCN参与预测。将获确认的方向性候选作为新关系输入并重新评估预测增益，属于后续工作。</w:t>
      </w:r>
    </w:p>
    <w:p>
      <w:pPr>
        <w:spacing w:before="240" w:after="180" w:line="300" w:lineRule="auto"/>
        <w:ind w:firstLine="0"/>
        <w:jc w:val="both"/>
        <w:outlineLvl w:val="2"/>
      </w:pPr>
      <w:r>
        <w:rPr>
          <w:rFonts w:ascii="Times New Roman" w:hAnsi="Times New Roman" w:cs="Times New Roman" w:eastAsia="黑体"/>
          <w:b w:val="0"/>
          <w:sz w:val="28"/>
        </w:rPr>
        <w:t>5.2.6 方向性证据的解释边界与复核路径</w:t>
      </w:r>
    </w:p>
    <w:p>
      <w:pPr>
        <w:spacing w:before="0" w:after="0" w:line="300" w:lineRule="auto"/>
        <w:ind w:firstLine="480"/>
        <w:jc w:val="both"/>
      </w:pPr>
      <w:r>
        <w:rPr>
          <w:rFonts w:ascii="Times New Roman" w:hAnsi="Times New Roman" w:cs="Times New Roman" w:eastAsia="宋体"/>
          <w:b w:val="0"/>
          <w:sz w:val="24"/>
        </w:rPr>
        <w:t>本节用于发现训练期节点序列中值得复核的条件滞后依赖，不直接为MRG-GCN新增邻接矩阵。TE与PCMCI+均使用训练期原始时间观测，但前者按有向节点对估计，后者还在多个滞后和条件变量组合下检验。因此，83,198个原始观测、83,103个监督学习预测起点和76/90条候选分别属于时间点、预测键和边三种计数口径，不能混算。</w:t>
      </w:r>
    </w:p>
    <w:p>
      <w:pPr>
        <w:spacing w:before="0" w:after="0" w:line="300" w:lineRule="auto"/>
        <w:ind w:firstLine="480"/>
        <w:jc w:val="both"/>
      </w:pPr>
      <w:r>
        <w:rPr>
          <w:rFonts w:ascii="Times New Roman" w:hAnsi="Times New Roman" w:cs="Times New Roman" w:eastAsia="宋体"/>
          <w:b w:val="0"/>
          <w:sz w:val="24"/>
        </w:rPr>
        <w:t>76/90表示通过本轮名义阈值的TE候选，不是真实方向边占比；44/76表示其中44个有向对在PCMCI+条件检验下仍达到名义阈值，32/76未获确认也不等于TE结果错误。由于两种检验均未作多重比较校正，正文统一将其称为候选。LRE覆盖比较同样只判断固定关系图是否包含相应节点对，不把未覆盖、重复覆盖或相关系数解释为物理拓扑和证据强度。</w:t>
      </w:r>
    </w:p>
    <w:p>
      <w:pPr>
        <w:spacing w:before="0" w:after="0" w:line="300" w:lineRule="auto"/>
        <w:ind w:firstLine="480"/>
        <w:jc w:val="both"/>
      </w:pPr>
      <w:r>
        <w:rPr>
          <w:rFonts w:ascii="Times New Roman" w:hAnsi="Times New Roman" w:cs="Times New Roman" w:eastAsia="宋体"/>
          <w:b w:val="0"/>
          <w:sz w:val="24"/>
        </w:rPr>
        <w:t>本研究未用方向性候选修改主模型，也未据此重新选择节点、阈值或测试窗口。后续若开展增量实验，应在训练期固定候选生成规则、在验证期选择稀疏度，并以相同容量、随机种子和预测键比较原三关系图与方向性扩展图。复核材料需保留节点顺序、训练序列哈希、分箱边界、滞后集合、置换次数、名义阈值和逐边状态；图5-2至图5-5只承担可视化，不替代逐边记录。</w:t>
      </w:r>
    </w:p>
    <w:p>
      <w:pPr>
        <w:spacing w:before="360" w:after="240" w:line="360" w:lineRule="auto"/>
        <w:ind w:firstLine="0"/>
        <w:jc w:val="both"/>
        <w:outlineLvl w:val="1"/>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pPr>
      <w:r>
        <w:rPr>
          <w:rFonts w:ascii="Times New Roman" w:hAnsi="Times New Roman" w:cs="Times New Roman" w:eastAsia="黑体"/>
          <w:b w:val="0"/>
          <w:sz w:val="28"/>
        </w:rPr>
        <w:t>5.3.1 问题与动机</w:t>
      </w:r>
    </w:p>
    <w:p>
      <w:pPr>
        <w:spacing w:before="0" w:after="0" w:line="300" w:lineRule="auto"/>
        <w:ind w:firstLine="480"/>
        <w:jc w:val="both"/>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[88,89]</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pPr>
      <w:r>
        <w:rPr>
          <w:rFonts w:ascii="Times New Roman" w:hAnsi="Times New Roman" w:cs="Times New Roman" w:eastAsia="黑体"/>
          <w:b w:val="0"/>
          <w:sz w:val="28"/>
        </w:rPr>
        <w:t>5.3.2 分层共形方法</w:t>
      </w:r>
    </w:p>
    <w:p>
      <w:pPr>
        <w:spacing w:before="0" w:after="0" w:line="300" w:lineRule="auto"/>
        <w:ind w:firstLine="480"/>
        <w:jc w:val="both"/>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m:t>
        </m:r>
        <m:r>
          <m:t>y</m:t>
        </m:r>
        <m:r>
          <m:t>−</m:t>
        </m:r>
        <m:r>
          <m:t>y</m:t>
        </m:r>
        <m:r>
          <m:t>ˆ</m:t>
        </m:r>
        <m: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stable</m:t>
        </m:r>
        <m:r>
          <m:t>,</m:t>
        </m:r>
        <m:r>
          <m:t>n</m:t>
        </m:r>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y</m:t>
        </m:r>
        <m:r>
          <m:t>ˆ</m:t>
        </m:r>
        <m:r>
          <m:t>−</m:t>
        </m:r>
        <m:r>
          <m:t>q</m:t>
        </m:r>
        <m:r>
          <m:t>,</m:t>
        </m:r>
        <m:r>
          <m:t>y</m:t>
        </m:r>
        <m:r>
          <m:t>ˆ</m:t>
        </m:r>
        <m:r>
          <m:t>+</m:t>
        </m:r>
        <m:r>
          <m:t>q</m:t>
        </m:r>
        <m:r>
          <m:t>]</m:t>
        </m:r>
        <m:r>
          <m:t>,</m:t>
        </m:r>
        <m:r>
          <m:t>q</m:t>
        </m:r>
        <m:r>
          <m:t>=</m:t>
        </m:r>
        <m:r>
          <m:t>{</m:t>
        </m:r>
        <m:m>
          <m:mr>
            <m:e>
              <m:sSub>
                <m:sSubPr/>
                <m:e>
                  <m:r>
                    <m:t>q</m:t>
                  </m:r>
                </m:e>
                <m:sub>
                  <m:r>
                    <m:t>trig</m:t>
                  </m:r>
                </m:sub>
              </m:sSub>
              <m:r>
                <m:t>,</m:t>
              </m:r>
            </m:e>
            <m:e>
              <m:r>
                <m:t>rule_trigger</m:t>
              </m:r>
              <m:r>
                <m:t>=</m:t>
              </m:r>
              <m:r>
                <m:t>1</m:t>
              </m:r>
              <m:r>
                <m:t>,</m:t>
              </m:r>
            </m:e>
          </m:mr>
          <m:mr>
            <m:e>
              <m:sSub>
                <m:sSubPr/>
                <m:e>
                  <m:r>
                    <m:t>q</m:t>
                  </m:r>
                </m:e>
                <m:sub>
                  <m:r>
                    <m:t>stable</m:t>
                  </m:r>
                  <m:r>
                    <m:t>,</m:t>
                  </m:r>
                  <m:r>
                    <m:t>n</m:t>
                  </m:r>
                </m:sub>
              </m:sSub>
              <m:r>
                <m:t>,</m:t>
              </m:r>
            </m:e>
            <m:e>
              <m:r>
                <m:t>rule_trigger</m:t>
              </m:r>
              <m:r>
                <m:t>=</m:t>
              </m:r>
              <m:r>
                <m:t>0</m:t>
              </m:r>
            </m:e>
          </m:mr>
        </m:m>
      </m:oMath>
      <w:r>
        <w:tab/>
      </w:r>
      <w:r>
        <w:rPr>
          <w:rFonts w:ascii="Times New Roman" w:hAnsi="Times New Roman" w:cs="Times New Roman" w:eastAsia="宋体"/>
          <w:sz w:val="21"/>
        </w:rPr>
        <w:t>（5-3）</w:t>
      </w:r>
    </w:p>
    <w:p>
      <w:pPr>
        <w:spacing w:before="0" w:after="0" w:line="300" w:lineRule="auto"/>
        <w:ind w:firstLine="480"/>
        <w:jc w:val="both"/>
      </w:pPr>
      <w:r>
        <w:rPr>
          <w:rFonts w:ascii="Times New Roman" w:hAnsi="Times New Roman" w:cs="Times New Roman" w:eastAsia="宋体"/>
          <w:b w:val="0"/>
          <w:sz w:val="24"/>
        </w:rPr>
        <w:t>标准校准和冻结规则路由均不依赖未来标签，可以在预测时执行；以目标侧标签事件进行分层和路由的结果仅为事后参照（oracle），因为该标签在预测时刻不可获得。可执行路径的可靠性仍须由覆盖率检验。本实现报告经验覆盖率，未实施有限样本秩修正；在校准集和测试集不满足交换性时，不声称90%的覆盖保证。分层校准和测试路由过程见图5-6。</w:t>
      </w:r>
    </w:p>
    <w:p>
      <w:pPr>
        <w:spacing w:before="60" w:after="60" w:line="240" w:lineRule="auto"/>
        <w:ind w:firstLine="0"/>
        <w:jc w:val="center"/>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0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图5-6 冻结规则路由的分层共形方法</w:t>
      </w:r>
    </w:p>
    <w:p>
      <w:pPr>
        <w:spacing w:before="0" w:after="0" w:line="300" w:lineRule="auto"/>
        <w:ind w:firstLine="480"/>
        <w:jc w:val="both"/>
      </w:pPr>
      <w:r>
        <w:rPr>
          <w:rFonts w:ascii="Times New Roman" w:hAnsi="Times New Roman" w:cs="Times New Roman" w:eastAsia="宋体"/>
          <w:b w:val="0"/>
          <w:sz w:val="18"/>
        </w:rPr>
        <w:t>注：冻结主模型在验证集上生成绝对残差，规则触发层和未触发层分别校准区间半宽；测试阶段仅依据预测时刻可见的冻结规则选择半宽并形成预测区间。目标侧标签事件不参与预测时路由。</w:t>
      </w:r>
    </w:p>
    <w:p>
      <w:pPr>
        <w:spacing w:before="240" w:after="180" w:line="300" w:lineRule="auto"/>
        <w:ind w:firstLine="0"/>
        <w:jc w:val="both"/>
        <w:outlineLvl w:val="2"/>
      </w:pPr>
      <w:r>
        <w:rPr>
          <w:rFonts w:ascii="Times New Roman" w:hAnsi="Times New Roman" w:cs="Times New Roman" w:eastAsia="黑体"/>
          <w:b w:val="0"/>
          <w:sz w:val="28"/>
        </w:rPr>
        <w:t>5.3.3 覆盖率与区间宽度结果</w:t>
      </w:r>
    </w:p>
    <w:p>
      <w:pPr>
        <w:spacing w:before="0" w:after="0" w:line="300" w:lineRule="auto"/>
        <w:ind w:firstLine="480"/>
        <w:jc w:val="both"/>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spacing w:before="60" w:after="60" w:line="240" w:lineRule="auto"/>
        <w:ind w:firstLine="0"/>
        <w:jc w:val="center"/>
      </w:pPr>
      <w:r>
        <w:rPr>
          <w:rFonts w:ascii="Times New Roman" w:hAnsi="Times New Roman" w:cs="Times New Roman" w:eastAsia="黑体"/>
          <w:b w:val="0"/>
          <w:sz w:val="21"/>
        </w:rPr>
        <w:t>表5-2 不同共形口径的经验覆盖率</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校准与路由方式</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整体覆盖率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标签事件窗口覆盖率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稳定窗口覆盖率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解释</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标准共形</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69.6%±1.7%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70.5%±1.8%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全局逐节点校准</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规则路由分层共形</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69.8%±1.8%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3.9%±0.5%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70.7%±1.8%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预测时可执行，覆盖未达标</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标签事件事后参照（oracle）</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70.1%±1.8%</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86.1%±0.0%</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69.9%±1.9%</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标签路由，预测时不可用</w:t>
            </w:r>
          </w:p>
        </w:tc>
      </w:tr>
    </w:tbl>
    <w:p>
      <w:pPr>
        <w:spacing w:before="0" w:after="0" w:line="300" w:lineRule="auto"/>
        <w:ind w:firstLine="480"/>
        <w:jc w:val="both"/>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pPr>
      <w:r>
        <w:rPr>
          <w:rFonts w:ascii="Times New Roman" w:hAnsi="Times New Roman" w:cs="Times New Roman" w:eastAsia="宋体"/>
          <w:b w:val="0"/>
          <w:sz w:val="24"/>
        </w:rPr>
        <w:t>覆盖不足与可见信号和标签事件的错位相一致。测试预测键中，规则触发仅占0.43%，而标签事件占1.43%；在seed-2024四格示例中，3,060个规则触发键中只有235个为标签事件。多数标签事件仍进入未触发层，接受由稳定残差确定的窄区间。该统计关系不能排除残差分布变化和有限样本实现的共同影响。</w:t>
      </w:r>
    </w:p>
    <w:p>
      <w:pPr>
        <w:spacing w:before="0" w:after="0" w:line="300" w:lineRule="auto"/>
        <w:ind w:firstLine="480"/>
        <w:jc w:val="both"/>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pPr>
      <w:r>
        <w:drawing>
          <wp:inline xmlns:a="http://schemas.openxmlformats.org/drawingml/2006/main" xmlns:pic="http://schemas.openxmlformats.org/drawingml/2006/picture">
            <wp:extent cx="5112000" cy="5022378"/>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09"/>
                    <a:stretch>
                      <a:fillRect/>
                    </a:stretch>
                  </pic:blipFill>
                  <pic:spPr>
                    <a:xfrm>
                      <a:off x="0" y="0"/>
                      <a:ext cx="5112000" cy="50223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图5-7 共形覆盖率比较</w:t>
      </w:r>
    </w:p>
    <w:p>
      <w:pPr>
        <w:spacing w:before="0" w:after="0" w:line="300" w:lineRule="auto"/>
        <w:ind w:firstLine="480"/>
        <w:jc w:val="both"/>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oracle仅作不可部署参照。</w:t>
      </w:r>
    </w:p>
    <w:p>
      <w:pPr>
        <w:spacing w:before="60" w:after="60" w:line="240" w:lineRule="auto"/>
        <w:ind w:firstLine="0"/>
        <w:jc w:val="center"/>
      </w:pPr>
      <w:r>
        <w:drawing>
          <wp:inline xmlns:a="http://schemas.openxmlformats.org/drawingml/2006/main" xmlns:pic="http://schemas.openxmlformats.org/drawingml/2006/picture">
            <wp:extent cx="5112000" cy="2319343"/>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0"/>
                    <a:stretch>
                      <a:fillRect/>
                    </a:stretch>
                  </pic:blipFill>
                  <pic:spPr>
                    <a:xfrm>
                      <a:off x="0" y="0"/>
                      <a:ext cx="5112000" cy="2319343"/>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图5-8 分层残差分位数与区间膨胀</w:t>
      </w:r>
    </w:p>
    <w:p>
      <w:pPr>
        <w:spacing w:before="0" w:after="0" w:line="300" w:lineRule="auto"/>
        <w:ind w:firstLine="480"/>
        <w:jc w:val="both"/>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pPr>
      <w:r>
        <w:rPr>
          <w:rFonts w:ascii="Times New Roman" w:hAnsi="Times New Roman" w:cs="Times New Roman" w:eastAsia="宋体"/>
          <w:b w:val="0"/>
          <w:sz w:val="24"/>
        </w:rPr>
        <w:t>规则路由下各节点的平均区间宽度列于表5-3。</w:t>
      </w:r>
    </w:p>
    <w:p>
      <w:pPr>
        <w:spacing w:before="60" w:after="60" w:line="240" w:lineRule="auto"/>
        <w:ind w:firstLine="0"/>
        <w:jc w:val="center"/>
      </w:pPr>
      <w:r>
        <w:rPr>
          <w:rFonts w:ascii="Times New Roman" w:hAnsi="Times New Roman" w:cs="Times New Roman" w:eastAsia="黑体"/>
          <w:b w:val="0"/>
          <w:sz w:val="21"/>
        </w:rPr>
        <w:t>表5-3 规则路由分层共形的节点级区间宽度</w:t>
      </w:r>
    </w:p>
    <w:tbl>
      <w:tblPr>
        <w:tblW w:type="auto" w:w="0"/>
        <w:tblLayout w:type="fixed"/>
        <w:tblLook w:firstColumn="1" w:firstRow="1" w:lastColumn="0" w:lastRow="0" w:noHBand="0" w:noVBand="1" w:val="04A0"/>
      </w:tblPr>
      <w:tblGrid>
        <w:gridCol w:w="756"/>
        <w:gridCol w:w="756"/>
        <w:gridCol w:w="756"/>
        <w:gridCol w:w="756"/>
        <w:gridCol w:w="756"/>
        <w:gridCol w:w="756"/>
        <w:gridCol w:w="756"/>
        <w:gridCol w:w="756"/>
        <w:gridCol w:w="756"/>
        <w:gridCol w:w="756"/>
        <w:gridCol w:w="756"/>
      </w:tblGrid>
      <w:tr>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CA-303</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CA-311</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CA-327</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CA-489</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CA-321</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CA-305</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CA-315</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CA-304</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CA-307</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CA-317</w:t>
            </w:r>
          </w:p>
        </w:tc>
      </w:tr>
      <w:tr>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区间宽度/(kWh/15 min)</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0.0105±0.0005</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0.0091±0.0001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0.0091±0.0001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0.0071±0.0001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0.0069±0.0002</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0.0064±0.0006</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0.0051±0.0001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0.0040±0.0002</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0.0028±0.0006</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0.0025±0.0002</w:t>
            </w:r>
          </w:p>
        </w:tc>
      </w:tr>
    </w:tbl>
    <w:p>
      <w:pPr>
        <w:spacing w:before="0" w:after="0" w:line="300" w:lineRule="auto"/>
        <w:ind w:firstLine="480"/>
        <w:jc w:val="both"/>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pPr>
      <w:r>
        <w:rPr>
          <w:rFonts w:ascii="Times New Roman" w:hAnsi="Times New Roman" w:cs="Times New Roman" w:eastAsia="黑体"/>
          <w:b w:val="0"/>
          <w:sz w:val="28"/>
        </w:rPr>
        <w:t>5.3.4 分布漂移与覆盖保证边界</w:t>
      </w:r>
    </w:p>
    <w:p>
      <w:pPr>
        <w:spacing w:before="0" w:after="0" w:line="300" w:lineRule="auto"/>
        <w:ind w:firstLine="480"/>
        <w:jc w:val="both"/>
      </w:pPr>
      <w:r>
        <w:rPr>
          <w:rFonts w:ascii="Times New Roman" w:hAnsi="Times New Roman" w:cs="Times New Roman" w:eastAsia="宋体"/>
          <w:b w:val="0"/>
          <w:sz w:val="24"/>
        </w:rPr>
        <w:t>本节将覆盖不足拆成两个相互关联、但不能混为一谈的环节。第一是路由信号错位：测试预测键中，标签事件占1.43%，冻结规则触发占0.43%；在seed-2024四格示例中，标签事件且规则未触发的预测键有9,925个，而两者同时出现的预测键只有235个。换言之，许多困难窗口在预测时并未进入事件层，因而仍使用稳定层的半宽。这里的9,925个样本描述的是两种口径的交叉关系，不能直接解释为规则漏报率，也不能据此断言所有事件都能由更丰富的可见输入识别。</w:t>
      </w:r>
    </w:p>
    <w:p>
      <w:pPr>
        <w:spacing w:before="0" w:after="0" w:line="300" w:lineRule="auto"/>
        <w:ind w:firstLine="480"/>
        <w:jc w:val="both"/>
      </w:pPr>
      <w:r>
        <w:rPr>
          <w:rFonts w:ascii="Times New Roman" w:hAnsi="Times New Roman" w:cs="Times New Roman" w:eastAsia="宋体"/>
          <w:b w:val="0"/>
          <w:sz w:val="24"/>
        </w:rPr>
        <w:t>第二是校准分布本身的失配：即使使用事后标签进行oracle分层，事件窗口覆盖率也只有86.1%，仍低于90%的目标；因此，事件路由不能单独解释全部覆盖缺口。验证集与测试集残差分布的变化、事件层样本稀疏、按节点与步长汇聚校准以及有限样本分位数实现，都可能共同影响结果。本实验没有通过独立校准集、滚动时间检验或预先登记的漂移统计进一步区分这些因素，故不把覆盖不足归因于某一个单一原因。</w:t>
      </w:r>
    </w:p>
    <w:p>
      <w:pPr>
        <w:spacing w:before="0" w:after="0" w:line="300" w:lineRule="auto"/>
        <w:ind w:firstLine="480"/>
        <w:jc w:val="both"/>
      </w:pPr>
      <w:r>
        <w:rPr>
          <w:rFonts w:ascii="Times New Roman" w:hAnsi="Times New Roman" w:cs="Times New Roman" w:eastAsia="宋体"/>
          <w:b w:val="0"/>
          <w:sz w:val="24"/>
        </w:rPr>
        <w:t>据此，规则路由将标签事件窗口覆盖率从1.9%提高到3.9%，应解释为“可见信号带来的有限改善”，而不是达到目标覆盖的证明；整体覆盖率约70%则说明当前区间方法未满足90%的经验目标。该结果的价值在于暴露路由与校准的失效边界，并不能称为分层共形方法本身被证伪。后续可在独立时间段上分别检验滚动自适应共形推断（ACI）</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、新的实时可见特征和更稳定的事件分层；任何改进都必须重新冻结规则、校准数据和路由口径，再进行测试期验证。</w:t>
      </w:r>
    </w:p>
    <w:p>
      <w:pPr>
        <w:spacing w:before="240" w:after="180" w:line="300" w:lineRule="auto"/>
        <w:ind w:firstLine="0"/>
        <w:jc w:val="both"/>
        <w:outlineLvl w:val="2"/>
      </w:pPr>
      <w:r>
        <w:rPr>
          <w:rFonts w:ascii="Times New Roman" w:hAnsi="Times New Roman" w:cs="Times New Roman" w:eastAsia="黑体"/>
          <w:b w:val="0"/>
          <w:sz w:val="28"/>
        </w:rPr>
        <w:t>5.3.5 覆盖失败的可复核诊断框架</w:t>
      </w:r>
    </w:p>
    <w:p>
      <w:pPr>
        <w:spacing w:before="0" w:after="0" w:line="300" w:lineRule="auto"/>
        <w:ind w:firstLine="480"/>
        <w:jc w:val="both"/>
      </w:pPr>
      <w:r>
        <w:rPr>
          <w:rFonts w:ascii="Times New Roman" w:hAnsi="Times New Roman" w:cs="Times New Roman" w:eastAsia="宋体"/>
          <w:b w:val="0"/>
          <w:sz w:val="24"/>
        </w:rPr>
        <w:t>覆盖不足可分为路由、校准和分布三个环节。路由层中，标签事件占1.43%，冻结规则触发占0.43%，且有9,925个标签事件预测键未触发规则，说明多数困难样本没有获得事件层半宽；该交叉关系不是分类器意义上的召回率或漏报率。校准层中，规则路由将事件覆盖率从1.9%提高到3.9%，仍远低于90%；oracle也仅为86.1%，说明路由错位不能解释全部缺口。分布层中，验证时间段同时承担早停、阈值冻结和残差校准，触发样本又较少，当前实验无法进一步区分样本不足与验证—测试分布变化的影响。</w:t>
      </w:r>
    </w:p>
    <w:p>
      <w:pPr>
        <w:spacing w:before="0" w:after="0" w:line="300" w:lineRule="auto"/>
        <w:ind w:firstLine="480"/>
        <w:jc w:val="both"/>
      </w:pPr>
      <w:r>
        <w:rPr>
          <w:rFonts w:ascii="Times New Roman" w:hAnsi="Times New Roman" w:cs="Times New Roman" w:eastAsia="宋体"/>
          <w:b w:val="0"/>
          <w:sz w:val="24"/>
        </w:rPr>
        <w:t>触发层采用跨节点统一半宽以缓解样本稀疏，未触发层采用逐节点半宽以保留节点差异，这是一种覆盖与宽度之间的折中。增宽区间虽可能提高覆盖，却会降低输出精度；本文未设置业务可接受宽度，也不声称当前区间可直接支持容量决策。因此，本节结论限定为：冻结规则带来有限改善，但当前数据和校准协议未达到目标覆盖。</w:t>
      </w:r>
    </w:p>
    <w:p>
      <w:pPr>
        <w:spacing w:before="0" w:after="0" w:line="300" w:lineRule="auto"/>
        <w:ind w:firstLine="480"/>
        <w:jc w:val="both"/>
      </w:pPr>
      <w:r>
        <w:rPr>
          <w:rFonts w:ascii="Times New Roman" w:hAnsi="Times New Roman" w:cs="Times New Roman" w:eastAsia="宋体"/>
          <w:b w:val="0"/>
          <w:sz w:val="24"/>
        </w:rPr>
        <w:t>后续复核应使用独立校准时段，在不查看target_event的条件下保存逐键路由及区间端点，并按整体、事件、稳定、节点、步长和时间块同时报告覆盖率与宽度。规则路由与oracle应继续并列保留，以区分可执行结果和事后参照。</w:t>
      </w:r>
    </w:p>
    <w:p>
      <w:pPr>
        <w:spacing w:before="0" w:after="0" w:line="300" w:lineRule="auto"/>
        <w:ind w:firstLine="480"/>
        <w:jc w:val="both"/>
      </w:pPr>
      <w:r>
        <w:rPr>
          <w:rFonts w:ascii="Times New Roman" w:hAnsi="Times New Roman" w:cs="Times New Roman" w:eastAsia="宋体"/>
          <w:b w:val="0"/>
          <w:sz w:val="24"/>
        </w:rPr>
        <w:t>具体复核时，可先比较校准期与测试期在各节点、各预测步长上的绝对残差分位数，再按月或周统计规则触发率、事件占比和覆盖率。若残差分位数整体上移而路由交集基本稳定，问题更可能来自分布漂移；若残差分布接近但大量标签事件仍未触发规则，则应优先改进可见信号和路由定义；若两者同时变化，则需在独立时间段重新冻结规则与分位数。该顺序能够把“路由错位”和“校准失配”转化为可分别核验的统计对象。</w:t>
      </w:r>
    </w:p>
    <w:p>
      <w:pPr>
        <w:spacing w:before="360" w:after="240" w:line="360" w:lineRule="auto"/>
        <w:ind w:firstLine="0"/>
        <w:jc w:val="both"/>
        <w:outlineLvl w:val="1"/>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pPr>
      <w:r>
        <w:rPr>
          <w:rFonts w:ascii="Times New Roman" w:hAnsi="Times New Roman" w:cs="Times New Roman" w:eastAsia="黑体"/>
          <w:b w:val="0"/>
          <w:sz w:val="28"/>
        </w:rPr>
        <w:t>5.4.1 问题与动机</w:t>
      </w:r>
    </w:p>
    <w:p>
      <w:pPr>
        <w:spacing w:before="0" w:after="0" w:line="300" w:lineRule="auto"/>
        <w:ind w:firstLine="480"/>
        <w:jc w:val="both"/>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pPr>
      <w:r>
        <w:rPr>
          <w:rFonts w:ascii="Times New Roman" w:hAnsi="Times New Roman" w:cs="Times New Roman" w:eastAsia="黑体"/>
          <w:b w:val="0"/>
          <w:sz w:val="28"/>
        </w:rPr>
        <w:t>5.4.2 分层参数干预方法</w:t>
      </w:r>
    </w:p>
    <w:p>
      <w:pPr>
        <w:spacing w:before="0" w:after="0" w:line="300" w:lineRule="auto"/>
        <w:ind w:firstLine="480"/>
        <w:jc w:val="both"/>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sSup>
          <m:sSupPr/>
          <m:e>
            <m:r>
              <m:t>MAE</m:t>
            </m:r>
          </m:e>
          <m:sup>
            <m:r>
              <m:t>(</m:t>
            </m:r>
            <m:r>
              <m:t>c</m:t>
            </m:r>
            <m:r>
              <m:t>)</m:t>
            </m:r>
          </m:sup>
        </m:sSup>
        <m:r>
          <m:t>⁡</m:t>
        </m:r>
        <m:r>
          <m:t>=</m:t>
        </m:r>
        <m:f>
          <m:num>
            <m:sSubSup>
              <m:sSubSupPr/>
              <m:e>
                <m:r>
                  <m:t>MAE</m:t>
                </m:r>
              </m:e>
              <m:sub>
                <m:r>
                  <m:t>intervention</m:t>
                </m:r>
              </m:sub>
              <m:sup>
                <m:r>
                  <m:t>(</m:t>
                </m:r>
                <m:r>
                  <m:t>c</m:t>
                </m:r>
                <m:r>
                  <m:t>)</m:t>
                </m:r>
              </m:sup>
            </m:sSubSup>
            <m:r>
              <m:t>⁡</m:t>
            </m:r>
            <m:r>
              <m:t>−</m:t>
            </m:r>
            <m:sSubSup>
              <m:sSubSupPr/>
              <m:e>
                <m:r>
                  <m:t>MAE</m:t>
                </m:r>
              </m:e>
              <m:sub>
                <m:r>
                  <m:t>learned</m:t>
                </m:r>
              </m:sub>
              <m:sup>
                <m:r>
                  <m:t>(</m:t>
                </m:r>
                <m:r>
                  <m:t>c</m:t>
                </m:r>
                <m:r>
                  <m:t>)</m:t>
                </m:r>
              </m:sup>
            </m:sSubSup>
            <m:r>
              <m:t>⁡</m:t>
            </m:r>
          </m:num>
          <m:den>
            <m:sSubSup>
              <m:sSubSupPr/>
              <m:e>
                <m:r>
                  <m:t>MAE</m:t>
                </m:r>
              </m:e>
              <m:sub>
                <m:r>
                  <m:t>learned</m:t>
                </m:r>
              </m:sub>
              <m:sup>
                <m:r>
                  <m:t>(</m:t>
                </m:r>
                <m:r>
                  <m:t>c</m:t>
                </m:r>
                <m:r>
                  <m:t>)</m:t>
                </m:r>
              </m:sup>
            </m:sSubSup>
            <m:r>
              <m:t>⁡</m:t>
            </m:r>
          </m:den>
        </m:f>
        <m:r>
          <m:t>.</m:t>
        </m:r>
      </m:oMath>
      <w:r>
        <w:tab/>
      </w:r>
      <w:r>
        <w:rPr>
          <w:rFonts w:ascii="Times New Roman" w:hAnsi="Times New Roman" w:cs="Times New Roman" w:eastAsia="宋体"/>
          <w:sz w:val="21"/>
        </w:rPr>
        <w:t>（5-4）</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可取全局、标签事件窗口、稳定窗口或节点。该量描述参数替换的功能敏感度，不是观察数据中的处理效应，也不使用CATE或严格因果效应语义。</w:t>
      </w:r>
    </w:p>
    <w:p>
      <w:pPr>
        <w:spacing w:before="240" w:after="180" w:line="300" w:lineRule="auto"/>
        <w:ind w:firstLine="0"/>
        <w:jc w:val="both"/>
        <w:outlineLvl w:val="2"/>
      </w:pPr>
      <w:r>
        <w:rPr>
          <w:rFonts w:ascii="Times New Roman" w:hAnsi="Times New Roman" w:cs="Times New Roman" w:eastAsia="黑体"/>
          <w:b w:val="0"/>
          <w:sz w:val="28"/>
        </w:rPr>
        <w:t>5.4.3 分层敏感度结果</w:t>
      </w:r>
    </w:p>
    <w:p>
      <w:pPr>
        <w:spacing w:before="0" w:after="0" w:line="300" w:lineRule="auto"/>
        <w:ind w:firstLine="480"/>
        <w:jc w:val="both"/>
      </w:pPr>
      <w:r>
        <w:rPr>
          <w:rFonts w:ascii="Times New Roman" w:hAnsi="Times New Roman" w:cs="Times New Roman" w:eastAsia="宋体"/>
          <w:b w:val="0"/>
          <w:sz w:val="24"/>
        </w:rPr>
        <w:t>三种子汇总结果见表5-4。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spacing w:before="60" w:after="60" w:line="240" w:lineRule="auto"/>
        <w:ind w:firstLine="0"/>
        <w:jc w:val="center"/>
      </w:pPr>
      <w:r>
        <w:rPr>
          <w:rFonts w:ascii="Times New Roman" w:hAnsi="Times New Roman" w:cs="Times New Roman" w:eastAsia="黑体"/>
          <w:b w:val="0"/>
          <w:sz w:val="21"/>
        </w:rPr>
        <w:t>表5-4 分层参数干预敏感度</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干预配置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第一层学习值、第二层固定为轮廓相似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+95.9%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+132.1%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两层固定为行为共现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+149.3%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+202.1%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两层学习值交换</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+199.2%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两层等权</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+143.8%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+192.9%</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第一层固定为负荷耦合、第二层学习值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+263.7%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两层固定为轮廓相似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+274.4%</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两层固定为负荷耦合</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+233.6%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+26.6%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+316.6%</w:t>
            </w:r>
          </w:p>
        </w:tc>
      </w:tr>
    </w:tbl>
    <w:p>
      <w:pPr>
        <w:spacing w:before="0" w:after="0" w:line="300" w:lineRule="auto"/>
        <w:ind w:firstLine="480"/>
        <w:jc w:val="both"/>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pPr>
      <w:r>
        <w:drawing>
          <wp:inline xmlns:a="http://schemas.openxmlformats.org/drawingml/2006/main" xmlns:pic="http://schemas.openxmlformats.org/drawingml/2006/picture">
            <wp:extent cx="5112000" cy="2805168"/>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1"/>
                    <a:stretch>
                      <a:fillRect/>
                    </a:stretch>
                  </pic:blipFill>
                  <pic:spPr>
                    <a:xfrm>
                      <a:off x="0" y="0"/>
                      <a:ext cx="5112000" cy="280516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图5-9 分层参数干预敏感度</w:t>
      </w:r>
    </w:p>
    <w:p>
      <w:pPr>
        <w:spacing w:before="0" w:after="0" w:line="300" w:lineRule="auto"/>
        <w:ind w:firstLine="480"/>
        <w:jc w:val="both"/>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pPr>
      <w:r>
        <w:rPr>
          <w:rFonts w:ascii="Times New Roman" w:hAnsi="Times New Roman" w:cs="Times New Roman" w:eastAsia="黑体"/>
          <w:b w:val="0"/>
          <w:sz w:val="28"/>
        </w:rPr>
        <w:t>5.4.4 分层参数干预结论</w:t>
      </w:r>
    </w:p>
    <w:p>
      <w:pPr>
        <w:spacing w:before="0" w:after="0" w:line="300" w:lineRule="auto"/>
        <w:ind w:firstLine="480"/>
        <w:jc w:val="both"/>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分配均优于替换配置。该结论与第4章L1的全局结果一致，并新增两点分层信息：稳定窗口的相对敏感度更高，节点间最大退化幅度不同。两点均属于模型内部参数替换下的功能响应，不能外推为现实运行中的因果效应或直接调度规则。</w:t>
      </w:r>
    </w:p>
    <w:p>
      <w:pPr>
        <w:spacing w:before="240" w:after="180" w:line="300" w:lineRule="auto"/>
        <w:ind w:firstLine="0"/>
        <w:jc w:val="both"/>
        <w:outlineLvl w:val="2"/>
      </w:pPr>
      <w:r>
        <w:rPr>
          <w:rFonts w:ascii="Times New Roman" w:hAnsi="Times New Roman" w:cs="Times New Roman" w:eastAsia="黑体"/>
          <w:b w:val="0"/>
          <w:sz w:val="28"/>
        </w:rPr>
        <w:t>5.4.5 参数敏感度到工程含义的谨慎映射</w:t>
      </w:r>
    </w:p>
    <w:p>
      <w:pPr>
        <w:spacing w:before="0" w:after="0" w:line="300" w:lineRule="auto"/>
        <w:ind w:firstLine="480"/>
        <w:jc w:val="both"/>
      </w:pPr>
      <w:r>
        <w:rPr>
          <w:rFonts w:ascii="Times New Roman" w:hAnsi="Times New Roman" w:cs="Times New Roman" w:eastAsia="宋体"/>
          <w:b w:val="0"/>
          <w:sz w:val="24"/>
        </w:rPr>
        <w:t>参数干预固定模型、输入和预测键，仅替换两层关系级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因而排除了重新训练路径差异；误差上升表示当前模型表示与替换后的关系分配不匹配，不表示现实负荷会对同类“干预”产生相同变化。分层百分比还受基线大小影响：稳定窗口基线MAE较小，可能放大相对退化；事件窗口则需结合绝对MAE和样本数判断，不能据表5-4断言稳定样本更重要。</w:t>
      </w:r>
    </w:p>
    <w:p>
      <w:pPr>
        <w:spacing w:before="0" w:after="0" w:line="300" w:lineRule="auto"/>
        <w:ind w:firstLine="480"/>
        <w:jc w:val="both"/>
      </w:pPr>
      <w:r>
        <w:rPr>
          <w:rFonts w:ascii="Times New Roman" w:hAnsi="Times New Roman" w:cs="Times New Roman" w:eastAsia="宋体"/>
          <w:b w:val="0"/>
          <w:sz w:val="24"/>
        </w:rPr>
        <w:t>逐节点最大退化也不能直接形成“关键节点”清单，因为节点负荷尺度、事件比例和连接结构不同。本节沿用第4章L1的三种子预测与干预结果，不重新训练或改变正式排名；若更换输入协议或关系图，应作为独立实验系列报告。该分析更适合作为模型压力测试：局部误差异常时，应回查构图、节点门控和数据分布，而不是直接删除某类关系。</w:t>
      </w:r>
    </w:p>
    <w:p>
      <w:pPr>
        <w:spacing w:before="0" w:after="0" w:line="300" w:lineRule="auto"/>
        <w:ind w:firstLine="480"/>
        <w:jc w:val="both"/>
      </w:pPr>
      <w:r>
        <w:rPr>
          <w:rFonts w:ascii="Times New Roman" w:hAnsi="Times New Roman" w:cs="Times New Roman" w:eastAsia="宋体"/>
          <w:b w:val="0"/>
          <w:sz w:val="24"/>
        </w:rPr>
        <w:t>后续需补充节点门控独立消融，保存逐种子、逐节点和时间块干预结果，并在外部时段或站点重复协议。当前参数替换只承担功能敏感度分析，与方向性检验和共形覆盖分别对应模型内部、输入结构和输出不确定性三个层面，三者不能合并为现实因果链条。</w:t>
      </w:r>
    </w:p>
    <w:p>
      <w:pPr>
        <w:spacing w:before="240" w:after="180" w:line="300" w:lineRule="auto"/>
        <w:ind w:firstLine="0"/>
        <w:jc w:val="both"/>
        <w:outlineLvl w:val="2"/>
      </w:pPr>
      <w:r>
        <w:rPr>
          <w:rFonts w:ascii="Times New Roman" w:hAnsi="Times New Roman" w:cs="Times New Roman" w:eastAsia="黑体"/>
          <w:b w:val="0"/>
          <w:sz w:val="28"/>
        </w:rPr>
        <w:t>5.4.6 证据层级与复现优先级</w:t>
      </w:r>
    </w:p>
    <w:p>
      <w:pPr>
        <w:spacing w:before="0" w:after="0" w:line="300" w:lineRule="auto"/>
        <w:ind w:firstLine="480"/>
        <w:jc w:val="both"/>
      </w:pPr>
      <w:r>
        <w:rPr>
          <w:rFonts w:ascii="Times New Roman" w:hAnsi="Times New Roman" w:cs="Times New Roman" w:eastAsia="宋体"/>
          <w:b w:val="0"/>
          <w:sz w:val="24"/>
        </w:rPr>
        <w:t>三项探索的证据对象不同：TE—PCMCI+针对训练期序列的条件滞后候选，分层共形针对冻结预测的经验覆盖，参数干预针对模型内部关系分配。复现时应先核对支撑主结论的逐键预测、事件掩码和四格汇总，再核对验证残差、规则输入和区间端点，最后检查逐边方向性结果和逐配置干预输出。只有时间戳、节点顺序、预测步长、掩码和模型状态等中间对象一致，最终指标才可比较。</w:t>
      </w:r>
    </w:p>
    <w:p>
      <w:pPr>
        <w:spacing w:before="0" w:after="0" w:line="300" w:lineRule="auto"/>
        <w:ind w:firstLine="480"/>
        <w:jc w:val="both"/>
      </w:pPr>
      <w:r>
        <w:rPr>
          <w:rFonts w:ascii="Times New Roman" w:hAnsi="Times New Roman" w:cs="Times New Roman" w:eastAsia="宋体"/>
          <w:b w:val="0"/>
          <w:sz w:val="24"/>
        </w:rPr>
        <w:t>后续实验宜一次只增加一个预先定义的变量或对照：方向性关系先做外部时段验证，再考虑回灌模型；区间预测先设置独立校准段，再比较路由；门控机制先完成节点门控独立消融。该顺序既保留现有主线，也避免继续堆叠无法区分来源的结果。</w:t>
      </w:r>
    </w:p>
    <w:p>
      <w:pPr>
        <w:spacing w:before="0" w:after="0" w:line="300" w:lineRule="auto"/>
        <w:ind w:firstLine="480"/>
        <w:jc w:val="both"/>
      </w:pPr>
      <w:r>
        <w:rPr>
          <w:rFonts w:ascii="Times New Roman" w:hAnsi="Times New Roman" w:cs="Times New Roman" w:eastAsia="宋体"/>
          <w:b w:val="0"/>
          <w:sz w:val="24"/>
        </w:rPr>
        <w:t>复核记录还应保存指标对应的最小中间对象。方向性分析需保留逐边统计量、滞后和名义阈值状态；共形分析需保留校准残差、逐键路由、上下界和覆盖标记；参数干预需保留原模型哈希、替换后的关系权重和逐键绝对误差。复核者据此可从中间量重算边数、覆盖率和相对MAE，而不必依赖图表中的四舍五入读数，也能判断差异来自数据、协议还是模型状态。</w:t>
      </w:r>
    </w:p>
    <w:p>
      <w:pPr>
        <w:spacing w:before="360" w:after="240" w:line="360" w:lineRule="auto"/>
        <w:ind w:firstLine="0"/>
        <w:jc w:val="both"/>
        <w:outlineLvl w:val="1"/>
      </w:pPr>
      <w:r>
        <w:rPr>
          <w:rFonts w:ascii="Times New Roman" w:hAnsi="Times New Roman" w:cs="Times New Roman" w:eastAsia="黑体"/>
          <w:b/>
          <w:sz w:val="30"/>
        </w:rPr>
        <w:t>5.5 本章小结</w:t>
      </w:r>
    </w:p>
    <w:p>
      <w:pPr>
        <w:spacing w:before="0" w:after="0" w:line="300" w:lineRule="auto"/>
        <w:ind w:firstLine="480"/>
        <w:jc w:val="both"/>
      </w:pPr>
      <w:r>
        <w:rPr>
          <w:rFonts w:ascii="Times New Roman" w:hAnsi="Times New Roman" w:cs="Times New Roman" w:eastAsia="宋体"/>
          <w:b w:val="0"/>
          <w:sz w:val="24"/>
        </w:rPr>
        <w:t>本章围绕关系方向、区间可靠性和分层参数敏感度开展了三项探索，结果汇总见表5-5。</w:t>
      </w:r>
    </w:p>
    <w:p>
      <w:pPr>
        <w:spacing w:before="0" w:after="0" w:line="300" w:lineRule="auto"/>
        <w:ind w:firstLine="480"/>
        <w:jc w:val="both"/>
      </w:pPr>
      <w:r>
        <w:rPr>
          <w:rFonts w:ascii="Times New Roman" w:hAnsi="Times New Roman" w:cs="Times New Roman" w:eastAsia="宋体"/>
          <w:b w:val="0"/>
          <w:sz w:val="24"/>
        </w:rPr>
        <w:t>本章按“输入结构—输出区间—模型参数”形成检查链：TE与PCMCI+发现方向性候选，共形分析检验可见规则下的区间覆盖，参数干预比较不同样本层面对关系替换的响应。三项分析均使用冻结数据或模型，不构成新的点预测训练，也不改变第3章排名。表5-5汇总其对象、主要观察和结论边界。</w:t>
      </w:r>
    </w:p>
    <w:p>
      <w:pPr>
        <w:spacing w:before="60" w:after="60" w:line="240" w:lineRule="auto"/>
        <w:ind w:firstLine="0"/>
        <w:jc w:val="center"/>
      </w:pPr>
      <w:r>
        <w:rPr>
          <w:rFonts w:ascii="Times New Roman" w:hAnsi="Times New Roman" w:cs="Times New Roman" w:eastAsia="黑体"/>
          <w:b w:val="0"/>
          <w:sz w:val="21"/>
        </w:rPr>
        <w:t>表5-5 第5章探索结果汇总</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问题</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操作</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主要观察</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结论边界</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统计关系能否呈现方向信息？</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TE候选与PCMCI+条件独立核验</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76/90条TE候选；44/76在PCMCI+下仍达到名义阈值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单数据集、未多重比较校正；为条件滞后依赖候选，不是物理因果边</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点预测能否给出可靠区间？</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标准共形、规则路由分层共形与oracle对比</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标签事件覆盖率1.9%→3.9%；oracle为86.1%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规则路由可在预测时执行但覆盖未达标；oracle仅为事后参照</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关系分配的影响是否分层不同？</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7种参数替换的窗口和节点汇总</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稳定窗口相对退化132.1%～316.6%，事件窗口为5.5%～35.6%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参数干预敏感度，不构成因果效应；分层汇总未保存离散度</w:t>
            </w:r>
          </w:p>
        </w:tc>
      </w:tr>
    </w:tbl>
    <w:p>
      <w:pPr>
        <w:spacing w:before="0" w:after="0" w:line="300" w:lineRule="auto"/>
        <w:ind w:firstLine="480"/>
        <w:jc w:val="both"/>
      </w:pPr>
      <w:r>
        <w:rPr>
          <w:rFonts w:ascii="Times New Roman" w:hAnsi="Times New Roman" w:cs="Times New Roman" w:eastAsia="宋体"/>
          <w:b w:val="0"/>
          <w:sz w:val="24"/>
        </w:rPr>
        <w:t>方向性分析得到无向统计图未覆盖、可进一步核验的条件滞后依赖候选；区间分析显示，当前可见规则难以将标签事件可靠地路由至宽区间；参数替换则表明，学习关系分配的影响随样本层面而变化。三项分析均不改变第3章的正式点预测结论，也没有解决事件预测难题。后续研究应在跨站数据上验证方向性结构，使用独立时间段重新校准区间，并在引入更丰富可见信号后评估事件路由与关系图更新。</w:t>
      </w:r>
    </w:p>
    <w:p>
      <w:pPr>
        <w:sectPr>
          <w:headerReference w:type="default" r:id="rId100"/>
          <w:headerReference w:type="even" r:id="rId101"/>
          <w:footerReference w:type="default" r:id="rId10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结  论</w:t>
      </w:r>
    </w:p>
    <w:p>
      <w:pPr>
        <w:spacing w:before="360" w:after="240" w:line="360" w:lineRule="auto"/>
        <w:ind w:firstLine="0"/>
        <w:jc w:val="both"/>
        <w:outlineLvl w:val="1"/>
      </w:pPr>
      <w:r>
        <w:rPr>
          <w:rFonts w:ascii="Times New Roman" w:hAnsi="Times New Roman" w:cs="Times New Roman" w:eastAsia="黑体"/>
          <w:b/>
          <w:sz w:val="30"/>
        </w:rPr>
        <w:t>研究工作总结</w:t>
      </w:r>
    </w:p>
    <w:p>
      <w:pPr>
        <w:spacing w:before="0" w:after="0" w:line="300" w:lineRule="auto"/>
        <w:ind w:firstLine="480"/>
        <w:jc w:val="both"/>
      </w:pPr>
      <w:r>
        <w:rPr>
          <w:rFonts w:ascii="Times New Roman" w:hAnsi="Times New Roman" w:cs="Times New Roman" w:eastAsia="宋体"/>
          <w:b w:val="0"/>
          <w:sz w:val="24"/>
        </w:rPr>
        <w:t>面向公共充电场站内部节点短期负荷预测中节点交互关系难以表征、全局精度难以解释以及稀有事件样本误差被平均指标掩盖的问题，本文以公开充电会话记录重构的节点代理负荷为对象，开展了模型构建、预测验证和机制诊断研究。研究在单站10个主分析节点上进行，以96个15 min时间片作为输入、4个时间步作为预测范围，并按时间顺序划分训练、验证和测试集。</w:t>
      </w:r>
    </w:p>
    <w:p>
      <w:pPr>
        <w:spacing w:before="0" w:after="0" w:line="300" w:lineRule="auto"/>
        <w:ind w:firstLine="480"/>
        <w:jc w:val="both"/>
      </w:pPr>
      <w:r>
        <w:rPr>
          <w:rFonts w:ascii="Times New Roman" w:hAnsi="Times New Roman" w:cs="Times New Roman" w:eastAsia="宋体"/>
          <w:b w:val="0"/>
          <w:sz w:val="24"/>
        </w:rPr>
        <w:t>在方法层面，本文基于训练期负荷耦合、行为共现和轮廓相似三种统计关系构建LRE多关系图，提出由TCN时间骨干、关系级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组成的MRG-GCN。为避免仅以点预测指标解释模型，本文构建三层机制诊断协议：L1通过关系权重观察与参数替换检验模型对关系分配的功能依赖，L2通过图模型到纯时序学生的知识蒸馏检验所选结构收益能否被吸收，L3以目标侧标签事件和冻结规则触发交叉分层，还原不同样本组的误差来源。</w:t>
      </w:r>
    </w:p>
    <w:p>
      <w:pPr>
        <w:spacing w:before="0" w:after="0" w:line="300" w:lineRule="auto"/>
        <w:ind w:firstLine="480"/>
        <w:jc w:val="both"/>
      </w:pPr>
      <w:r>
        <w:rPr>
          <w:rFonts w:ascii="Times New Roman" w:hAnsi="Times New Roman" w:cs="Times New Roman" w:eastAsia="宋体"/>
          <w:b w:val="0"/>
          <w:sz w:val="24"/>
        </w:rPr>
        <w:t>第5章另行开展三项预测支持探索：以TE和PCMCI+发现并交叉核验条件滞后依赖候选；以标准共形、规则路由分层共形和标签事件事后参照（oracle）比较区间覆盖边界；在窗口和节点层面分析门控参数替换后的相对误差响应。这些探索用于刻画结构理解和可靠性边界，不改变正式点预测结论，也不表述为物理因果识别或已经可部署的事件预测方案。</w:t>
      </w:r>
    </w:p>
    <w:p>
      <w:pPr>
        <w:spacing w:before="360" w:after="240" w:line="360" w:lineRule="auto"/>
        <w:ind w:firstLine="0"/>
        <w:jc w:val="both"/>
        <w:outlineLvl w:val="1"/>
      </w:pPr>
      <w:r>
        <w:rPr>
          <w:rFonts w:ascii="Times New Roman" w:hAnsi="Times New Roman" w:cs="Times New Roman" w:eastAsia="黑体"/>
          <w:b/>
          <w:sz w:val="30"/>
        </w:rPr>
        <w:t>主要研究结论</w:t>
      </w:r>
    </w:p>
    <w:p>
      <w:pPr>
        <w:spacing w:before="0" w:after="0" w:line="300" w:lineRule="auto"/>
        <w:ind w:firstLine="480"/>
        <w:jc w:val="both"/>
      </w:pPr>
      <w:r>
        <w:rPr>
          <w:rFonts w:ascii="Times New Roman" w:hAnsi="Times New Roman" w:cs="Times New Roman" w:eastAsia="宋体"/>
          <w:b w:val="0"/>
          <w:sz w:val="24"/>
        </w:rPr>
        <w:t>（1）在本文的数据口径和统一预测键上，MRG-GCN取得0.01376 kWh/15 min的全局MAE和0.2860的WAPE，较TCN的MAE下降53.4%，较ARIMA下降39.1%。其MAE最低，并在已报告WAPE的模型中取得最低WAPE，但AGCRN简化变体取得更低的RMSE；MRG-GCN、AdaptiveGraph和EventResidual三者的MAE差异与跨种子波动同级，因而不能据此建立头部模型的稳定次序。关系消融显示单关系与三关系表现接近，关系随机失活未见实质收益，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门控亦未获得独立消融证据，故本文不主张三种关系均有独立正增量。</w:t>
      </w:r>
    </w:p>
    <w:p>
      <w:pPr>
        <w:spacing w:before="0" w:after="0" w:line="300" w:lineRule="auto"/>
        <w:ind w:firstLine="480"/>
        <w:jc w:val="both"/>
      </w:pPr>
      <w:r>
        <w:rPr>
          <w:rFonts w:ascii="Times New Roman" w:hAnsi="Times New Roman" w:cs="Times New Roman" w:eastAsia="宋体"/>
          <w:b w:val="0"/>
          <w:sz w:val="24"/>
        </w:rPr>
        <w:t>（2）机制诊断为完整模型的结构解释提供了分层证据。L1中，7种关系级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均使全局MAE退化95.9%至233.6%，支持模型对所学习关系分配在所检配置内存在功能依赖。L2中，四个蒸馏权重下TCN学生的MAE均约为0.029，未弥合与StaticGraph教师0.01376之间的差距；该结论仅适用于所检学生架构、蒸馏目标和权重范围。L3中，标签事件窗口的误差约为稳定窗口的28倍，且在18项正式运行中四格加权MAE均能还原全局结果，说明全局指标不能替代对稀有困难样本的分层评价。</w:t>
      </w:r>
    </w:p>
    <w:p>
      <w:pPr>
        <w:spacing w:before="0" w:after="0" w:line="300" w:lineRule="auto"/>
        <w:ind w:firstLine="480"/>
        <w:jc w:val="both"/>
      </w:pPr>
      <w:r>
        <w:rPr>
          <w:rFonts w:ascii="Times New Roman" w:hAnsi="Times New Roman" w:cs="Times New Roman" w:eastAsia="宋体"/>
          <w:b w:val="0"/>
          <w:sz w:val="24"/>
        </w:rPr>
        <w:t>（3）第5章探索补充了模型的结构与可靠性边界。TE在90条有向节点对中得到76条名义候选，PCMCI+在条件独立检验下确认其中44条；结果仅为未作多重比较校正的条件滞后依赖候选，尚未纳入预测模型。规则路由分层共形将标签事件窗口的经验覆盖率从1.9%提高到3.9%，但仍远低于90%目标；标签事件事后参照（oracle）达到86.1%，仅说明事后可知标签条件下的参照水平，不能作为部署结果。分层参数干预表明，稳定窗口和不同节点对关系替换的相对响应不同，这一发现属于模型内部功能敏感度，而非现实过程的因果效应。</w:t>
      </w:r>
    </w:p>
    <w:p>
      <w:pPr>
        <w:spacing w:before="360" w:after="240" w:line="360" w:lineRule="auto"/>
        <w:ind w:firstLine="0"/>
        <w:jc w:val="both"/>
        <w:outlineLvl w:val="1"/>
      </w:pPr>
      <w:r>
        <w:rPr>
          <w:rFonts w:ascii="Times New Roman" w:hAnsi="Times New Roman" w:cs="Times New Roman" w:eastAsia="黑体"/>
          <w:b/>
          <w:sz w:val="30"/>
        </w:rPr>
        <w:t>工程应用意义与适用范围</w:t>
      </w:r>
    </w:p>
    <w:p>
      <w:pPr>
        <w:spacing w:before="0" w:after="0" w:line="300" w:lineRule="auto"/>
        <w:ind w:firstLine="480"/>
        <w:jc w:val="both"/>
      </w:pPr>
      <w:r>
        <w:rPr>
          <w:rFonts w:ascii="Times New Roman" w:hAnsi="Times New Roman" w:cs="Times New Roman" w:eastAsia="宋体"/>
          <w:b w:val="0"/>
          <w:sz w:val="24"/>
        </w:rPr>
        <w:t>本文结果的工程意义在于提供站内节点级的预测与诊断信息，而非直接输出调度策略。对于同类会话数据可用、节点标识稳定的场站，15 min节点代理负荷预测可作为节点关注排序、短时负荷监测和后续容量评估的输入；L3四格结果提醒运行人员，全局MAE较低并不意味着稀有困难窗口的误差同样可接受；规则路由共形结果则提示当前可见行为信号不足以为标签事件提供可靠区间。这些结论适用于本文的数据与实验口径，不能直接转换为容量节省、削峰收益或在线控制效果。</w:t>
      </w:r>
    </w:p>
    <w:p>
      <w:pPr>
        <w:spacing w:before="0" w:after="0" w:line="300" w:lineRule="auto"/>
        <w:ind w:firstLine="480"/>
        <w:jc w:val="both"/>
      </w:pPr>
      <w:r>
        <w:rPr>
          <w:rFonts w:ascii="Times New Roman" w:hAnsi="Times New Roman" w:cs="Times New Roman" w:eastAsia="宋体"/>
          <w:b w:val="0"/>
          <w:sz w:val="24"/>
        </w:rPr>
        <w:t>若要进入实际业务使用，至少需要完成三项补充验证：其一，以真实电表功率或经现场核验的量测数据明确代理负荷与物理负荷的映射；其二，在独立场站、不同运营周期和不同节点规模下重新冻结筛选、关系构图和规则阈值；其三，将预测输出与容量评估、运维告警或负荷均衡规则联用，量化其对具体业务决策的增益。本文不以现有离线结果替代上述验证。</w:t>
      </w:r>
    </w:p>
    <w:p>
      <w:pPr>
        <w:spacing w:before="360" w:after="240" w:line="360" w:lineRule="auto"/>
        <w:ind w:firstLine="0"/>
        <w:jc w:val="both"/>
        <w:outlineLvl w:val="1"/>
      </w:pPr>
      <w:r>
        <w:rPr>
          <w:rFonts w:ascii="Times New Roman" w:hAnsi="Times New Roman" w:cs="Times New Roman" w:eastAsia="黑体"/>
          <w:b/>
          <w:sz w:val="30"/>
        </w:rPr>
        <w:t>研究局限</w:t>
      </w:r>
    </w:p>
    <w:p>
      <w:pPr>
        <w:spacing w:before="0" w:after="0" w:line="300" w:lineRule="auto"/>
        <w:ind w:firstLine="480"/>
        <w:jc w:val="both"/>
      </w:pPr>
      <w:r>
        <w:rPr>
          <w:rFonts w:ascii="Times New Roman" w:hAnsi="Times New Roman" w:cs="Times New Roman" w:eastAsia="宋体"/>
          <w:b w:val="0"/>
          <w:sz w:val="24"/>
        </w:rPr>
        <w:t>本文仍存在以下局限。第一，研究基于单站会话记录重构的节点代理负荷，节点标识的统计对应关系并不等同于真实电表功率、物理充电桩或配电拓扑，结论需要在更多站点和更完整量测条件下复核。第二，LRE三关系图由训练期固定统计量得到，尚未考察关系随季节、运营策略和用户结构变化时的动态更新。第三，标签事件仅占测试预测键的1.43%，冻结规则触发仅占0.43%，两者错位限制了可见规则对困难样本的路由能力；当前共形实现报告经验覆盖率，且校准与测试之间存在分布失配，未能给出目标覆盖率保证。</w:t>
      </w:r>
    </w:p>
    <w:p>
      <w:pPr>
        <w:spacing w:before="0" w:after="0" w:line="300" w:lineRule="auto"/>
        <w:ind w:firstLine="480"/>
        <w:jc w:val="both"/>
      </w:pPr>
      <w:r>
        <w:rPr>
          <w:rFonts w:ascii="Times New Roman" w:hAnsi="Times New Roman" w:cs="Times New Roman" w:eastAsia="宋体"/>
          <w:b w:val="0"/>
          <w:sz w:val="24"/>
        </w:rPr>
        <w:t>第四，机制诊断的证据范围受实验设计限制。L1只覆盖7种离散关系替换，L2只考察单一TCN学生和四个蒸馏权重，L3的主四格已使用原正式MRG-GCN三种子预测，但图4-5和图4-6仍是seed-2024的描述性补充；节点级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尚未暴露为可单独干预的组件。第五，TE和PCMCI+均基于单数据集且未实施多重比较校正，不能解释为物理因果边；参数干预同样只描述模型对内部替换的响应。第六，点级Bootstrap和新增时间块复核均基于已固定测试期，只用于比较给定预测结果的误差差异，不能替代跨站或跨时期的外部验证。</w:t>
      </w:r>
    </w:p>
    <w:p>
      <w:pPr>
        <w:spacing w:before="360" w:after="240" w:line="360" w:lineRule="auto"/>
        <w:ind w:firstLine="0"/>
        <w:jc w:val="both"/>
        <w:outlineLvl w:val="1"/>
      </w:pPr>
      <w:r>
        <w:rPr>
          <w:rFonts w:ascii="Times New Roman" w:hAnsi="Times New Roman" w:cs="Times New Roman" w:eastAsia="黑体"/>
          <w:b/>
          <w:sz w:val="30"/>
        </w:rPr>
        <w:t>研究展望</w:t>
      </w:r>
    </w:p>
    <w:p>
      <w:pPr>
        <w:spacing w:before="0" w:after="0" w:line="300" w:lineRule="auto"/>
        <w:ind w:firstLine="480"/>
        <w:jc w:val="both"/>
      </w:pPr>
      <w:r>
        <w:rPr>
          <w:rFonts w:ascii="Times New Roman" w:hAnsi="Times New Roman" w:cs="Times New Roman" w:eastAsia="宋体"/>
          <w:b w:val="0"/>
          <w:sz w:val="24"/>
        </w:rPr>
        <w:t>后续研究可从四个方向推进。其一，扩展至多站点、多运营时段和含真实功率量测的数据，检验节点代理负荷建模、节点筛选和关系构造的外部有效性。其二，结合滚动窗口、动态邻接或在线更新机制，使关系图适应需求结构变化，并在独立测试期评估其收益。其三，将经更严格验证的方向性候选作为可选关系输入，与固定统计图及自适应图进行同键对照，而不止停留在结构发现层面。其四，引入预测时刻可见的预约、占用、价格和气象等信息，构建可部署的事件路由与自适应共形校准机制；同时开放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门控的干预和可视化接口，完善模型内部机制的可检验性。</w:t>
      </w:r>
    </w:p>
    <w:p>
      <w:pPr>
        <w:sectPr>
          <w:headerReference w:type="default" r:id="rId112"/>
          <w:headerReference w:type="even" r:id="rId113"/>
          <w:footerReference w:type="default" r:id="rId114"/>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参考文献</w:t>
      </w:r>
    </w:p>
    <w:p>
      <w:pPr>
        <w:spacing w:before="0" w:after="0" w:line="300" w:lineRule="auto"/>
        <w:ind w:left="420" w:hanging="420"/>
        <w:jc w:val="left"/>
      </w:pPr>
      <w:r>
        <w:rPr>
          <w:rFonts w:ascii="Times New Roman" w:hAnsi="Times New Roman" w:cs="Times New Roman" w:eastAsia="宋体"/>
          <w:b w:val="0"/>
          <w:sz w:val="21"/>
        </w:rPr>
        <w:t>[1] 中国电动汽车充电基础设施促进联盟. 2024年全国电动汽车充换电基础设施运行情况[EB/OL]. (2025-01-23)[2026-08-04]. https://www.evcipa.org.cn/newsinfo/8137834.html.</w:t>
      </w:r>
    </w:p>
    <w:p>
      <w:pPr>
        <w:spacing w:before="0" w:after="0" w:line="300" w:lineRule="auto"/>
        <w:ind w:left="420" w:hanging="420"/>
        <w:jc w:val="left"/>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pPr>
      <w:r>
        <w:rPr>
          <w:rFonts w:ascii="Times New Roman" w:hAnsi="Times New Roman" w:cs="Times New Roman" w:eastAsia="宋体"/>
          <w:b w:val="0"/>
          <w:sz w:val="21"/>
        </w:rPr>
        <w:t>[79] ARABZADEH M, FRANK E. A four-dimensional analysis of explainable AI in energy forecasting: a domain-specific systematic review[J]. Machine Learning and Knowledge Extraction, 2025, 7(4): 153.</w:t>
      </w:r>
    </w:p>
    <w:p>
      <w:pPr>
        <w:spacing w:before="0" w:after="0" w:line="300" w:lineRule="auto"/>
        <w:ind w:left="420" w:hanging="420"/>
        <w:jc w:val="left"/>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pPr>
      <w:r>
        <w:rPr>
          <w:rFonts w:ascii="Times New Roman" w:hAnsi="Times New Roman" w:cs="Times New Roman" w:eastAsia="宋体"/>
          <w:b w:val="0"/>
          <w:sz w:val="21"/>
        </w:rPr>
        <w:t>[84] BOX G E P, JENKINS G M. Time series analysis: forecasting and control[M]. San Francisco: Holden-Day, 1970.</w:t>
      </w:r>
    </w:p>
    <w:p>
      <w:pPr>
        <w:spacing w:before="0" w:after="0" w:line="300" w:lineRule="auto"/>
        <w:ind w:left="420" w:hanging="420"/>
        <w:jc w:val="left"/>
      </w:pPr>
      <w:r>
        <w:rPr>
          <w:rFonts w:ascii="Times New Roman" w:hAnsi="Times New Roman" w:cs="Times New Roman" w:eastAsia="宋体"/>
          <w:b w:val="0"/>
          <w:sz w:val="21"/>
        </w:rPr>
        <w:t>[85] SCHREIBER T. Measuring information transfer[J]. Physical Review Letters, 2000, 85(2): 461-464.</w:t>
      </w:r>
    </w:p>
    <w:p>
      <w:pPr>
        <w:spacing w:before="0" w:after="0" w:line="300" w:lineRule="auto"/>
        <w:ind w:left="420" w:hanging="420"/>
        <w:jc w:val="left"/>
      </w:pPr>
      <w:r>
        <w:rPr>
          <w:rFonts w:ascii="Times New Roman" w:hAnsi="Times New Roman" w:cs="Times New Roman" w:eastAsia="宋体"/>
          <w:b w:val="0"/>
          <w:sz w:val="21"/>
        </w:rPr>
        <w:t>[86] RUNGE J, NOWACK P, KRETSCHMER M, et al. Detecting and quantifying causal associations in large nonlinear time series datasets[J]. Science Advances, 2019, 5(11): eaau4996.</w:t>
      </w:r>
    </w:p>
    <w:p>
      <w:pPr>
        <w:spacing w:before="0" w:after="0" w:line="300" w:lineRule="auto"/>
        <w:ind w:left="420" w:hanging="420"/>
        <w:jc w:val="left"/>
      </w:pPr>
      <w:r>
        <w:rPr>
          <w:rFonts w:ascii="Times New Roman" w:hAnsi="Times New Roman" w:cs="Times New Roman" w:eastAsia="宋体"/>
          <w:b w:val="0"/>
          <w:sz w:val="21"/>
        </w:rPr>
        <w:t>[87]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pPr>
      <w:r>
        <w:rPr>
          <w:rFonts w:ascii="Times New Roman" w:hAnsi="Times New Roman" w:cs="Times New Roman" w:eastAsia="宋体"/>
          <w:b w:val="0"/>
          <w:sz w:val="21"/>
        </w:rPr>
        <w:t>[88] VOVK V, GAMMERMAN A, SHAFER G. Algorithmic learning in a random world[M]. New York: Springer, 2005.</w:t>
      </w:r>
    </w:p>
    <w:p>
      <w:pPr>
        <w:spacing w:before="0" w:after="0" w:line="300" w:lineRule="auto"/>
        <w:ind w:left="420" w:hanging="420"/>
        <w:jc w:val="left"/>
      </w:pPr>
      <w:r>
        <w:rPr>
          <w:rFonts w:ascii="Times New Roman" w:hAnsi="Times New Roman" w:cs="Times New Roman" w:eastAsia="宋体"/>
          <w:b w:val="0"/>
          <w:sz w:val="21"/>
        </w:rPr>
        <w:t>[89] LEI J, G'SELL M, RINALDO A, et al. Distribution-free predictive inference for regression[J]. Journal of the American Statistical Association, 2018, 113(523): 1094-1111.</w:t>
      </w:r>
    </w:p>
    <w:p>
      <w:pPr>
        <w:spacing w:before="0" w:after="0" w:line="300" w:lineRule="auto"/>
        <w:ind w:left="420" w:hanging="420"/>
        <w:jc w:val="left"/>
      </w:pPr>
      <w:r>
        <w:rPr>
          <w:rFonts w:ascii="Times New Roman" w:hAnsi="Times New Roman" w:cs="Times New Roman" w:eastAsia="宋体"/>
          <w:b w:val="0"/>
          <w:sz w:val="21"/>
        </w:rPr>
        <w:t>[90] GIBBS I, CANDÈS E. Adaptive conformal inference under distribution shift[C]//Advances in Neural Information Processing Systems. 2021, 34: 1660-1672.</w:t>
      </w:r>
    </w:p>
    <w:sectPr>
      <w:headerReference w:type="default" r:id="rId115"/>
      <w:headerReference w:type="even" r:id="rId116"/>
      <w:footerReference w:type="default" r:id="rId11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ind w:left="840" w:leftChars="400"/>
    </w:p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ind w:left="420" w:leftChars="200"/>
    </w:p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10.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11.xml"/><Relationship Id="rId54" Type="http://schemas.openxmlformats.org/officeDocument/2006/relationships/header" Target="header28.xml"/><Relationship Id="rId55" Type="http://schemas.openxmlformats.org/officeDocument/2006/relationships/header" Target="header29.xml"/><Relationship Id="rId56" Type="http://schemas.openxmlformats.org/officeDocument/2006/relationships/footer" Target="footer12.xml"/><Relationship Id="rId57" Type="http://schemas.openxmlformats.org/officeDocument/2006/relationships/image" Target="media/image7.png"/><Relationship Id="rId58" Type="http://schemas.openxmlformats.org/officeDocument/2006/relationships/image" Target="media/image8.png"/><Relationship Id="rId59" Type="http://schemas.openxmlformats.org/officeDocument/2006/relationships/header" Target="header30.xml"/><Relationship Id="rId60" Type="http://schemas.openxmlformats.org/officeDocument/2006/relationships/header" Target="header31.xml"/><Relationship Id="rId61" Type="http://schemas.openxmlformats.org/officeDocument/2006/relationships/footer" Target="footer13.xml"/><Relationship Id="rId62" Type="http://schemas.openxmlformats.org/officeDocument/2006/relationships/image" Target="media/image9.png"/><Relationship Id="rId63" Type="http://schemas.openxmlformats.org/officeDocument/2006/relationships/image" Target="media/image10.png"/><Relationship Id="rId64" Type="http://schemas.openxmlformats.org/officeDocument/2006/relationships/image" Target="media/image11.png"/><Relationship Id="rId65" Type="http://schemas.openxmlformats.org/officeDocument/2006/relationships/image" Target="media/image12.png"/><Relationship Id="rId66" Type="http://schemas.openxmlformats.org/officeDocument/2006/relationships/image" Target="media/image13.png"/><Relationship Id="rId67" Type="http://schemas.openxmlformats.org/officeDocument/2006/relationships/image" Target="media/image14.png"/><Relationship Id="rId68" Type="http://schemas.openxmlformats.org/officeDocument/2006/relationships/image" Target="media/image15.png"/><Relationship Id="rId69" Type="http://schemas.openxmlformats.org/officeDocument/2006/relationships/image" Target="media/image16.png"/><Relationship Id="rId70" Type="http://schemas.openxmlformats.org/officeDocument/2006/relationships/image" Target="media/image17.png"/><Relationship Id="rId71" Type="http://schemas.openxmlformats.org/officeDocument/2006/relationships/image" Target="media/image18.png"/><Relationship Id="rId72" Type="http://schemas.openxmlformats.org/officeDocument/2006/relationships/image" Target="media/image19.png"/><Relationship Id="rId73" Type="http://schemas.openxmlformats.org/officeDocument/2006/relationships/image" Target="media/image20.png"/><Relationship Id="rId74" Type="http://schemas.openxmlformats.org/officeDocument/2006/relationships/header" Target="header32.xml"/><Relationship Id="rId75" Type="http://schemas.openxmlformats.org/officeDocument/2006/relationships/header" Target="header33.xml"/><Relationship Id="rId76" Type="http://schemas.openxmlformats.org/officeDocument/2006/relationships/footer" Target="footer14.xml"/><Relationship Id="rId77" Type="http://schemas.openxmlformats.org/officeDocument/2006/relationships/image" Target="media/image21.png"/><Relationship Id="rId78" Type="http://schemas.openxmlformats.org/officeDocument/2006/relationships/image" Target="media/image22.png"/><Relationship Id="rId79" Type="http://schemas.openxmlformats.org/officeDocument/2006/relationships/image" Target="media/image23.png"/><Relationship Id="rId80" Type="http://schemas.openxmlformats.org/officeDocument/2006/relationships/image" Target="media/image24.png"/><Relationship Id="rId81" Type="http://schemas.openxmlformats.org/officeDocument/2006/relationships/image" Target="media/image25.png"/><Relationship Id="rId82" Type="http://schemas.openxmlformats.org/officeDocument/2006/relationships/image" Target="media/image26.png"/><Relationship Id="rId83" Type="http://schemas.openxmlformats.org/officeDocument/2006/relationships/image" Target="media/image27.png"/><Relationship Id="rId84" Type="http://schemas.openxmlformats.org/officeDocument/2006/relationships/image" Target="media/image28.png"/><Relationship Id="rId85" Type="http://schemas.openxmlformats.org/officeDocument/2006/relationships/image" Target="media/image29.png"/><Relationship Id="rId86" Type="http://schemas.openxmlformats.org/officeDocument/2006/relationships/image" Target="media/image30.png"/><Relationship Id="rId87" Type="http://schemas.openxmlformats.org/officeDocument/2006/relationships/image" Target="media/image31.png"/><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34.xml"/><Relationship Id="rId92" Type="http://schemas.openxmlformats.org/officeDocument/2006/relationships/header" Target="header35.xml"/><Relationship Id="rId93" Type="http://schemas.openxmlformats.org/officeDocument/2006/relationships/footer" Target="footer15.xml"/><Relationship Id="rId94" Type="http://schemas.openxmlformats.org/officeDocument/2006/relationships/image" Target="media/image35.png"/><Relationship Id="rId95" Type="http://schemas.openxmlformats.org/officeDocument/2006/relationships/image" Target="media/image36.png"/><Relationship Id="rId96" Type="http://schemas.openxmlformats.org/officeDocument/2006/relationships/image" Target="media/image37.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40.png"/><Relationship Id="rId100" Type="http://schemas.openxmlformats.org/officeDocument/2006/relationships/header" Target="header36.xml"/><Relationship Id="rId101" Type="http://schemas.openxmlformats.org/officeDocument/2006/relationships/header" Target="header37.xml"/><Relationship Id="rId102" Type="http://schemas.openxmlformats.org/officeDocument/2006/relationships/footer" Target="footer16.xml"/><Relationship Id="rId103" Type="http://schemas.openxmlformats.org/officeDocument/2006/relationships/image" Target="media/image41.png"/><Relationship Id="rId104" Type="http://schemas.openxmlformats.org/officeDocument/2006/relationships/image" Target="media/image42.png"/><Relationship Id="rId105" Type="http://schemas.openxmlformats.org/officeDocument/2006/relationships/image" Target="media/image43.png"/><Relationship Id="rId106" Type="http://schemas.openxmlformats.org/officeDocument/2006/relationships/image" Target="media/image44.png"/><Relationship Id="rId107" Type="http://schemas.openxmlformats.org/officeDocument/2006/relationships/image" Target="media/image45.png"/><Relationship Id="rId108" Type="http://schemas.openxmlformats.org/officeDocument/2006/relationships/image" Target="media/image46.png"/><Relationship Id="rId109" Type="http://schemas.openxmlformats.org/officeDocument/2006/relationships/image" Target="media/image47.png"/><Relationship Id="rId110" Type="http://schemas.openxmlformats.org/officeDocument/2006/relationships/image" Target="media/image48.png"/><Relationship Id="rId111" Type="http://schemas.openxmlformats.org/officeDocument/2006/relationships/image" Target="media/image49.png"/><Relationship Id="rId112" Type="http://schemas.openxmlformats.org/officeDocument/2006/relationships/header" Target="header38.xml"/><Relationship Id="rId113" Type="http://schemas.openxmlformats.org/officeDocument/2006/relationships/header" Target="header39.xml"/><Relationship Id="rId114" Type="http://schemas.openxmlformats.org/officeDocument/2006/relationships/footer" Target="footer17.xml"/><Relationship Id="rId115" Type="http://schemas.openxmlformats.org/officeDocument/2006/relationships/header" Target="header40.xml"/><Relationship Id="rId116" Type="http://schemas.openxmlformats.org/officeDocument/2006/relationships/header" Target="header41.xml"/><Relationship Id="rId117" Type="http://schemas.openxmlformats.org/officeDocument/2006/relationships/footer" Target="footer1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