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与预测时刻可见的冻结规则触发采用不同口径。在此基础上，按负荷耦合、行为共现和轮廓相似构建LRE三关系图，并提出以时间卷积网络为骨干、融合关系级和节点级门控的多关系门控图卷积网络（MRG-GCN）。在相同预测键和三个随机种子的重复实验下，MRG-GCN的全局MAE为0.01376 kWh/15 min，较TCN无图基线降低53.4%，较ARIMA降低39.1%；其MAE最低，并在已报告WAPE的模型中取得最低WAPE。</w:t>
      </w:r>
    </w:p>
    <w:p>
      <w:pPr>
        <w:spacing w:before="0" w:after="0" w:line="300" w:lineRule="auto"/>
        <w:ind w:firstLine="480"/>
        <w:jc w:val="both"/>
      </w:pPr>
      <w:r>
        <w:rPr>
          <w:rFonts w:ascii="Times New Roman" w:hAnsi="Times New Roman" w:cs="Times New Roman" w:eastAsia="宋体"/>
          <w:b w:val="0"/>
          <w:sz w:val="24"/>
        </w:rPr>
        <w:t>三层机制诊断协议依次考察关系分配、结构知识吸收和误差样本构成。L1中，在三种子均值口径下，所检七种关系级门控替换的MAE均高于学习值基线，支持模型对学习关系分配存在功能依赖。L2中，在给定学生架构、蒸馏目标和权重范围内，纯时序学生未弥合与图模型之间的误差差距。L3中，标签事件窗口仅占测试预测键的1.43%，其误差明显高于稳定窗口；冻结规则触发率仅为0.43%，反映了预测时刻可见信息的限制。论文还探索方向性候选结构、规则路由分层共形区间和分层参数敏感度；这些结果不表述为已经可部署的事件预测方案。</w:t>
      </w:r>
    </w:p>
    <w:p>
      <w:pPr>
        <w:spacing w:before="0" w:after="0" w:line="300" w:lineRule="auto"/>
        <w:ind w:firstLine="480"/>
        <w:jc w:val="both"/>
      </w:pPr>
      <w:r>
        <w:rPr>
          <w:rFonts w:ascii="Times New Roman" w:hAnsi="Times New Roman" w:cs="Times New Roman" w:eastAsia="宋体"/>
          <w:b w:val="0"/>
          <w:sz w:val="24"/>
        </w:rPr>
        <w:t>本文在站内节点尺度构建语义可区分的多关系图预测模型，并通过协议化诊断分析模型内部结构、能力边界与误差样本构成。研究结论仅适用于由会话记录重构的节点代理负荷口径，相关实现和评价协议可供同类场站研究复核。</w:t>
      </w:r>
    </w:p>
    <w:p>
      <w:pPr>
        <w:spacing w:before="0" w:after="0" w:line="300" w:lineRule="auto"/>
        <w:ind w:firstLine="0"/>
        <w:jc w:val="both"/>
      </w:pPr>
      <w:r>
        <w:rPr>
          <w:rFonts w:ascii="Times New Roman" w:hAnsi="Times New Roman" w:cs="Times New Roman" w:eastAsia="宋体"/>
          <w:b/>
          <w:sz w:val="24"/>
        </w:rPr>
        <w:t>关键词：充电节点短期负荷预测；多关系图卷积；机制诊断；事件窗口；共形预测区间</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event labels are explicitly distinguished from frozen rule triggers observable at forecast time. Second,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 Under identical forecast keys and three random seeds, MRG-GCN achieves a global MAE of 0.01376 kWh/15 min, reducing MAE by 53.4% relative to the graph-free TCN and by 39.1% relative to ARIMA. It attains the lowest MAE and the lowest WAPE among models for which WAPE is available.</w:t>
      </w:r>
    </w:p>
    <w:p>
      <w:pPr>
        <w:spacing w:before="0" w:after="0" w:line="300" w:lineRule="auto"/>
        <w:ind w:firstLine="480"/>
        <w:jc w:val="both"/>
      </w:pPr>
      <w:r>
        <w:rPr>
          <w:rFonts w:ascii="Times New Roman" w:hAnsi="Times New Roman" w:cs="Times New Roman" w:eastAsia="Times New Roman"/>
          <w:b w:val="0"/>
          <w:sz w:val="24"/>
        </w:rPr>
        <w:t>The thesis further develops a three-layer mechanism diagnosis protocol comprising parameter-intervention attribution, knowledge-distillation validation, and four-cell event error tracing. When averaged across the three random seeds, all seven examined replacements of relation-level gates yield higher MAE than the learned-weight baseline, supporting a functional dependence on learned relation allocation. Under the examined student architecture, distillation target, and weights, a purely temporal student does not close the error gap to the graph model. The four-cell diagnosis shows that labeled event windows account for only 1.43% of test forecast keys but have substantially higher error than stable windows; the frozen rule-trigger rate is only 0.43%, revealing the boundary imposed by forecast-time observable information. Finally, directional candidate structure discovery, rule-routed conformal intervals, and stratified parameter sensitivity are explored as forecasting-support evidence only, rather than as a deployable event-prediction solution.</w:t>
      </w:r>
    </w:p>
    <w:p>
      <w:pPr>
        <w:spacing w:before="0" w:after="0" w:line="300" w:lineRule="auto"/>
        <w:ind w:firstLine="480"/>
        <w:jc w:val="both"/>
      </w:pPr>
      <w:r>
        <w:rPr>
          <w:rFonts w:ascii="Times New Roman" w:hAnsi="Times New Roman" w:cs="Times New Roman" w:eastAsia="Times New Roman"/>
          <w:b w:val="0"/>
          <w:sz w:val="24"/>
        </w:rPr>
        <w:t>The contribution of this thesis is a within-station, distinguishable multi-relational graph forecasting model together with a protocol that connects internal model structure, model-capability boundaries, and the sample composition of error. The conclusions are limited to proxy loads reconstructed from charging-session records and provide a reproducible path for multi-node short-term forecasting and mechanism analysis at charging stations.</w:t>
      </w:r>
    </w:p>
    <w:p>
      <w:pPr>
        <w:spacing w:before="0" w:after="0" w:line="300" w:lineRule="auto"/>
        <w:ind w:firstLine="0"/>
        <w:jc w:val="both"/>
      </w:pPr>
      <w:r>
        <w:rPr>
          <w:rFonts w:ascii="Times New Roman" w:hAnsi="Times New Roman" w:cs="Times New Roman" w:eastAsia="Times New Roman"/>
          <w:b/>
          <w:sz w:val="24"/>
        </w:rPr>
        <w:t>Keywords: short-term charging-node load forecasting; multi-relational graph convolution; mechanism diagnosis; event window; conformal prediction interval</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30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10</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19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3.1 引言</w:t>
      </w:r>
      <w:r>
        <w:tab/>
      </w:r>
      <w:r>
        <w:rPr>
          <w:rFonts w:ascii="Times New Roman" w:hAnsi="Times New Roman" w:cs="Times New Roman" w:eastAsia="宋体"/>
          <w:b w:val="0"/>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28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29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38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3.7.5 严格可见输入协议下的压力测试</w:t>
      </w:r>
      <w:r>
        <w:tab/>
      </w:r>
      <w:r>
        <w:rPr>
          <w:rFonts w:ascii="Times New Roman" w:hAnsi="Times New Roman" w:cs="Times New Roman" w:eastAsia="宋体"/>
          <w:b w:val="0"/>
          <w:sz w:val="24"/>
        </w:rPr>
        <w:t>48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55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56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56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56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57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58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5.1 引言</w:t>
      </w:r>
      <w:r>
        <w:tab/>
      </w:r>
      <w:r>
        <w:rPr>
          <w:rFonts w:ascii="Times New Roman" w:hAnsi="Times New Roman" w:cs="Times New Roman" w:eastAsia="宋体"/>
          <w:b w:val="0"/>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65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66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67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69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5.3.5 覆盖失败的可复核诊断框架</w:t>
      </w:r>
      <w:r>
        <w:tab/>
      </w:r>
      <w:r>
        <w:rPr>
          <w:rFonts w:ascii="Times New Roman" w:hAnsi="Times New Roman" w:cs="Times New Roman" w:eastAsia="宋体"/>
          <w:b w:val="0"/>
          <w:sz w:val="24"/>
        </w:rPr>
        <w:t>72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75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5.5 本章小结</w:t>
      </w:r>
      <w:r>
        <w:tab/>
      </w:r>
      <w:r>
        <w:rPr>
          <w:rFonts w:ascii="Times New Roman" w:hAnsi="Times New Roman" w:cs="Times New Roman" w:eastAsia="宋体"/>
          <w:b w:val="0"/>
          <w:sz w:val="24"/>
        </w:rPr>
        <w:t>75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结  论</w:t>
      </w:r>
      <w:r>
        <w:tab/>
      </w:r>
      <w:r>
        <w:rPr>
          <w:rFonts w:ascii="Times New Roman" w:hAnsi="Times New Roman" w:cs="Times New Roman" w:eastAsia="宋体"/>
          <w:b/>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工程应用意义与适用范围</w:t>
      </w:r>
      <w:r>
        <w:tab/>
      </w:r>
      <w:r>
        <w:rPr>
          <w:rFonts w:ascii="Times New Roman" w:hAnsi="Times New Roman" w:cs="Times New Roman" w:eastAsia="宋体"/>
          <w:b w:val="0"/>
          <w:sz w:val="24"/>
        </w:rPr>
        <w:t>78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研究局限</w:t>
      </w:r>
      <w:r>
        <w:tab/>
      </w:r>
      <w:r>
        <w:rPr>
          <w:rFonts w:ascii="Times New Roman" w:hAnsi="Times New Roman" w:cs="Times New Roman" w:eastAsia="宋体"/>
          <w:b w:val="0"/>
          <w:sz w:val="24"/>
        </w:rPr>
        <w:t>78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研究展望</w:t>
      </w:r>
      <w:r>
        <w:tab/>
      </w:r>
      <w:r>
        <w:rPr>
          <w:rFonts w:ascii="Times New Roman" w:hAnsi="Times New Roman" w:cs="Times New Roman" w:eastAsia="宋体"/>
          <w:b w:val="0"/>
          <w:sz w:val="24"/>
        </w:rPr>
        <w:t>79</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参考文献</w:t>
      </w:r>
      <w:r>
        <w:tab/>
      </w:r>
      <w:r>
        <w:rPr>
          <w:rFonts w:ascii="Times New Roman" w:hAnsi="Times New Roman" w:cs="Times New Roman" w:eastAsia="宋体"/>
          <w:b/>
          <w:sz w:val="24"/>
        </w:rPr>
        <w:t>80</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周期性变化外，充电节点还会出现由接入、离站、活跃会话变化或负荷跳变构成的稀疏行为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只能依据运行过程中可见的行为信号识别。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在电动汽车充电场景中，图模型主要用于描述充电站之间或区域之间的空间联系。国内研究已探索动态自适应图、差异化耦合关系和GCN—循环网络组合等方案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；学位论文则涉及充电站群多图融合、图注意力预测、负荷时空预测以及图结构与有序充放电联合应用</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。近年的国际研究进一步采用多图、图注意力或多关系结构，将地理邻近、交通联系、时序相关和自适应关系纳入预测模型</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。因此，本文不把“使用多关系图”本身作为独立的新颖性主张。</w:t>
      </w:r>
    </w:p>
    <w:p>
      <w:pPr>
        <w:spacing w:before="0" w:after="0" w:line="300" w:lineRule="auto"/>
        <w:ind w:firstLine="480"/>
        <w:jc w:val="both"/>
      </w:pPr>
      <w:r>
        <w:rPr>
          <w:rFonts w:ascii="Times New Roman" w:hAnsi="Times New Roman" w:cs="Times New Roman" w:eastAsia="宋体"/>
          <w:b w:val="0"/>
          <w:sz w:val="24"/>
        </w:rPr>
        <w:t>从研究粒度看，上述方法大多以充电站或区域为图节点，关系设计服务于站间空间传播；在本次检索及全文对标范围内，直接以单个场站内部充电节点为图节点，并同时按照负荷耦合、行为共现和日内轮廓构造可区分统计关系的研究相对有限。另一方面，已有多图方法多关注预测性能，较少进一步检验不同关系在不同传播层中的分配是否具有稳定的功能依赖。本文据此将研究重点收敛为“站内节点粒度的关系语义设计、双层门控融合及其机制诊断”，而不是泛化地宣称多图方法本身具有首创性。</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在所检文献范围内，将充电行为突变窗口同时作为规则识别对象、独立评价单元和误差溯源单元的研究仍较少。尤其是，目标侧标签事件与预测时可见的规则触发并非同一概念，两者之间的错位会限制事件路由和分层区间预测的效果。因此，本文不预设事件机制必然改善点预测，而是通过冻结规则、双口径统计和四格诊断明确可见信息边界，并评估事件窗口中的预测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为检验解释结论，相关研究引入了参数干预、知识蒸馏和分层误差分析。参数干预通过替换或屏蔽模型内部组件，比较干预前后的输出变化，从功能角度补充观察式解释</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；知识蒸馏通过教师输出约束学生模型，为检验结构知识能否由更简单模型吸收提供了检验手段</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；事件列联与价值加权误差分解则表明，将总体误差按条件拆分有助于识别不同样本的贡献</w:t>
      </w:r>
      <w:r>
        <w:rPr>
          <w:rFonts w:ascii="Times New Roman" w:hAnsi="Times New Roman" w:cs="Times New Roman" w:eastAsia="宋体"/>
          <w:b w:val="0"/>
          <w:sz w:val="24"/>
          <w:vertAlign w:val="superscript"/>
        </w:rPr>
        <w:t>[82]</w:t>
      </w:r>
      <w:r>
        <w:rPr>
          <w:rFonts w:ascii="Times New Roman" w:hAnsi="Times New Roman" w:cs="Times New Roman" w:eastAsia="宋体"/>
          <w:b w:val="0"/>
          <w:sz w:val="24"/>
        </w:rPr>
        <w:t>。这些方法分别回答“模型使用了什么”“复杂结构能否被替代”和“误差来自哪里”等问题，但在负荷预测研究中通常分散使用。</w:t>
      </w:r>
    </w:p>
    <w:p>
      <w:pPr>
        <w:spacing w:before="0" w:after="0" w:line="300" w:lineRule="auto"/>
        <w:ind w:firstLine="480"/>
        <w:jc w:val="both"/>
      </w:pPr>
      <w:r>
        <w:rPr>
          <w:rFonts w:ascii="Times New Roman" w:hAnsi="Times New Roman" w:cs="Times New Roman" w:eastAsia="宋体"/>
          <w:b w:val="0"/>
          <w:sz w:val="24"/>
        </w:rPr>
        <w:t>基于此，本文把机制解释组织为三层机制诊断协议（Mechanism Diagnosis Protocol，MDP）：先观察并干预多关系门控分配，再通过图模型向纯时序模型的知识蒸馏检验所检配置下的师生差距，最后利用事件标签与规则触发形成四格，并按样本量还原全局误差。相关操作在既有研究中多被分别使用；本文将其组织为统一诊断流程，并明确各层的判定条件和误差还原要求，不把单项分析工具表述为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现有工作已为充电负荷时间建模、多节点关系学习和预测解释提供方法基础，但面向站内节点级短期预测仍有四项问题需要解决。</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工作主要服务于站间或区域级空间传播，站内节点场景常采用单一相关关系或直接学习隐式邻接。单一图难以同时保留负荷同步、行为共现和日内轮廓等不同统计语义，而纯自适应图的边权又不易与场站行为含义对应。需要说明的是，多关系表示并不预设每一类关系都必然带来独立性能增益，其价值还需要通过关系子集实验和机制诊断加以检验。</w:t>
      </w:r>
    </w:p>
    <w:p>
      <w:pPr>
        <w:spacing w:before="0" w:after="0" w:line="300" w:lineRule="auto"/>
        <w:ind w:firstLine="480"/>
        <w:jc w:val="both"/>
      </w:pPr>
      <w:r>
        <w:rPr>
          <w:rFonts w:ascii="Times New Roman" w:hAnsi="Times New Roman" w:cs="Times New Roman" w:eastAsia="宋体"/>
          <w:b w:val="0"/>
          <w:sz w:val="24"/>
        </w:rPr>
        <w:t>（2）模型解释缺少从观察到验证的完整证据链。现有研究较多使用注意力、门控权重或特征贡献进行观察式解释，常规消融也主要回答移除某个组件后性能是否变化，但较少继续检验学习到的关系分配是否具有功能依赖、图结构知识能否由纯时序模型吸收以及误差能否被严格归属。因而有必要建立包含操作定义、诊断实验和判定准则的协议化分析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事件标签和预测时可见规则属于不同信息条件，将其作为模型输入、事后修正依据或预测区间路由信号，对应的任务并不相同。现有研究对阈值冻结、未来信息隔离、规则触发与标签事件错位及负结果披露的讨论相对有限，容易把使用事后标签得到的参照结果误写成预测时可执行的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包含大量稳定或零负荷样本，少量行为突变窗口的高误差可能被全局平均指标稀释。若缺少事件、稳定和规则触发等分层口径，以及分层结果向全局误差的样本量加权还原，就难以判断模型改进作用于哪些样本，也难以为后续不确定性分析提供可靠依据。</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以单站多充电节点的节点代理负荷为对象，目标有二：构建利用站内多类统计关系的短期预测模型；建立可复核的诊断流程，分析模型依赖的关系、复杂结构被简单模型吸收的可能性及全局误差的样本来源。第5章进一步考察方向性候选结构、事件窗口区间覆盖和门控分配的分层敏感度，这些内容属于预测支持探索，不作为事件预测已经解决的证据。</w:t>
      </w:r>
    </w:p>
    <w:p>
      <w:pPr>
        <w:spacing w:before="0" w:after="0" w:line="300" w:lineRule="auto"/>
        <w:ind w:firstLine="480"/>
        <w:jc w:val="both"/>
      </w:pPr>
      <w:r>
        <w:rPr>
          <w:rFonts w:ascii="Times New Roman" w:hAnsi="Times New Roman" w:cs="Times New Roman" w:eastAsia="宋体"/>
          <w:b w:val="0"/>
          <w:sz w:val="24"/>
        </w:rPr>
        <w:t>本文面向场站精细化运行提供节点级预测与误差分层信息，不直接替代电表功率、执行在线调度或估算容量优化收益。预测结果可辅助识别重点节点与时间窗口，四格诊断用于定位被全局平均值掩盖的困难样本，区间分析用于检验可见规则下的覆盖能力。上述信息仍需结合真实功率量测、场站约束和现场决策规则，才能评价其业务价值。</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（1）充电行为数据重构与特征分析。对原始充电会话记录进行字段审计和节点标识核对，按照15 min粒度重构节点代理负荷；仅依据训练集和验证集完成节点可用性筛选及质量门禁，测试集不参与节点选择。分析节点负荷的稀疏性、异质性、周期性和事件分量，为关系构建、模型输入和分层评价提供数据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构建多关系门控图卷积网络（Multi-Relational Gated Graph Convolutional Network，MRG-GCN），通过关系级β门控、节点级G门控、关系随机失活（relation dropout）和逐层关系选择完成跨节点信息融合。采用统一预测键、三种子（2024、2025、2026）、多模型对比和消融实验评价其预测性能及结构贡献。</w:t>
      </w:r>
    </w:p>
    <w:p>
      <w:pPr>
        <w:spacing w:before="0" w:after="0" w:line="300" w:lineRule="auto"/>
        <w:ind w:firstLine="480"/>
        <w:jc w:val="both"/>
      </w:pPr>
      <w:r>
        <w:rPr>
          <w:rFonts w:ascii="Times New Roman" w:hAnsi="Times New Roman" w:cs="Times New Roman" w:eastAsia="宋体"/>
          <w:b w:val="0"/>
          <w:sz w:val="24"/>
        </w:rPr>
        <w:t>（3）三层机制诊断协议。围绕“关系分配是否具有功能依赖、图结构知识能否被纯时序模型吸收、全局误差来自何处”三个问题，构建由L1干预归因、L2蒸馏验证和L3四格溯源组成的机制诊断协议MDP。每一层均给出方法定义、诊断实验和判定准则，并通过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采用传递熵和PCMCI+分析统计关系图未表达的方向性候选及条件滞后依赖；采用分层共形方法比较标准路径、冻结规则路由与标签事件事后参照（oracle），识别事件窗口的覆盖边界；再将门控参数干预扩展到事件、稳定和节点层面，分析不同样本条件下的分层参数干预敏感度。上述结果均按探索性结构发现、经验覆盖或分层参数干预敏感度解释，不升级为物理因果或可部署事件预测结论。</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数据重构与特征分析—多关系图预测—三层机制诊断—结构分析与预测支持探索”的路线开展研究，总体技术路线如图1-2所示。图中同时标出方法贡献与机制诊断贡献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第一阶段为数据重构与特征分析。首先对原始会话记录进行字段、时间和节点标识审计，将离散会话按15 min时间片重构为节点代理负荷张量；随后依据训练集和验证集建立节点筛选门槛与质量门禁，冻结10个主分析节点；最后分析负荷稀疏性、节点差异、周期模式、事件四分量及输入特征，为模型设计和评价口径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和对称归一化后形成模型的固定关系输入；使用TCN提取历史窗口的时间表示，再通过双层多关系门控图卷积进行跨节点传播，并由预测头输出未来4个时间步的节点代理负荷。该阶段在统一数据划分、预测键和评价指标下完成传统方法、时序模型、图模型和自适应图对照，并通过结构消融、关系子集和参数干预分析模型组件。</w:t>
      </w:r>
    </w:p>
    <w:p>
      <w:pPr>
        <w:spacing w:before="0" w:after="0" w:line="300" w:lineRule="auto"/>
        <w:ind w:firstLine="480"/>
        <w:jc w:val="both"/>
      </w:pPr>
      <w:r>
        <w:rPr>
          <w:rFonts w:ascii="Times New Roman" w:hAnsi="Times New Roman" w:cs="Times New Roman" w:eastAsia="宋体"/>
          <w:b w:val="0"/>
          <w:sz w:val="24"/>
        </w:rPr>
        <w:t>第三阶段为MDP三层机制诊断。L1从已训练模型中提取逐层关系门控权重，并对关系分配实施固定、交换和等权参数干预；L2以MRG-GCN为教师、TCN为学生开展知识蒸馏，检验所检学生架构和蒸馏设置能否弥合师生差距；L3按照目标侧标签事件与冻结规则触发构建四格，通过样本量加权还原全局MAE，定位事件窗口和稳定窗口对总体误差的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首先采用传递熵和PCMCI+分析节点间方向性候选和条件滞后依赖，考察其与固定统计关系图的互补性；其次采用分层共形预测比较全局校准、冻结规则路由和标签事件事后参照（oracle），分析事件窗口的经验覆盖率及区间宽度；最后对门控参数干预结果进行窗口和节点分层，刻画不同条件下的分层参数干预敏感度。</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keepNext/>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非在线电表功率序列；原始归档SHA-256已记录</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这一比例是输入可见性风险的暴露统计，不是对MAE乐观偏差的估计；本文因此不把旧结果表述为在线部署性能。两套协议的输入契约、目标定义和可回答问题见下方协议对照表，协议文件、来源哈希和独立验证产物分别归档于docs/thesis/SG-DATA-006-visibility-audit-and-protocol.md和outputs/visibility/。</w:t>
      </w:r>
    </w:p>
    <w:p>
      <w:pPr>
        <w:keepNext/>
        <w:spacing w:before="60" w:after="60" w:line="240" w:lineRule="auto"/>
        <w:ind w:firstLine="0"/>
        <w:jc w:val="center"/>
      </w:pPr>
      <w:r>
        <w:rPr>
          <w:rFonts w:ascii="Times New Roman" w:hAnsi="Times New Roman" w:cs="Times New Roman" w:eastAsia="黑体"/>
          <w:b w:val="0"/>
          <w:sz w:val="21"/>
        </w:rPr>
        <w:t>数据协议回答范围表</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仍为事后代理目标；严格按事件时刻切分</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更严格可见行为输入下的稳健性与协议敏感性</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keepNext/>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keepNext/>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keepNext/>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keepNext/>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keepNext/>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pPr>
      <w:r>
        <w:rPr>
          <w:rFonts w:ascii="Times New Roman" w:hAnsi="Times New Roman" w:cs="Times New Roman" w:eastAsia="宋体"/>
          <w:b w:val="0"/>
          <w:sz w:val="24"/>
        </w:rPr>
        <w:t>为锁定原主实验的配置与结果来源，本文将正式MRG-GCN定义为SG-EXP-003的StaticGraph运行，而不是后续可见性修订协议的替代结果。三种子预测长表、模型权重和运行配置均保存在同一夜跑目录；第四章四格诊断和本节时间块统计均从这些逐键预测重新计算。配置锁定见下方配置证据表，完整来源哈希和复核产物见outputs/analysis/SG-EXP-020-legacy-evidence-v1/。</w:t>
      </w:r>
    </w:p>
    <w:p>
      <w:pPr>
        <w:keepNext/>
        <w:spacing w:before="60" w:after="60" w:line="240" w:lineRule="auto"/>
        <w:ind w:firstLine="0"/>
        <w:jc w:val="center"/>
      </w:pPr>
      <w:r>
        <w:rPr>
          <w:rFonts w:ascii="Times New Roman" w:hAnsi="Times New Roman" w:cs="Times New Roman" w:eastAsia="黑体"/>
          <w:b w:val="0"/>
          <w:sz w:val="21"/>
        </w:rPr>
        <w:t>原主实验配置与证据来源表</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随机种子</w:t>
            </w:r>
          </w:p>
        </w:tc>
        <w:tc>
          <w:tcPr>
            <w:tcW w:type="dxa" w:w="4156"/>
            <w:vAlign w:val="center"/>
            <w:tcBorders>
              <w:top w:val="nil"/>
              <w:bottom w:val="nil"/>
              <w:left w:val="nil"/>
              <w:right w:val="nil"/>
            </w:tcBorders>
          </w:tcPr>
          <w:p>
            <w:pPr>
              <w:spacing w:before="0" w:after="0" w:line="240" w:lineRule="auto"/>
              <w:ind w:firstLine="0"/>
              <w:jc w:val="center"/>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结果来源</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outputs/night_run/20260730-171821/SG-EXP-003/20260730-171821/seed-*</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复核内容</w:t>
            </w:r>
          </w:p>
        </w:tc>
        <w:tc>
          <w:tcPr>
            <w:tcW w:type="dxa" w:w="41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预测键唯一、三种子键/真值/事件掩码一致、四格可加权还原、来源哈希冻结</w:t>
            </w:r>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keepNext/>
        <w:spacing w:before="60" w:after="60" w:line="240" w:lineRule="auto"/>
        <w:ind w:firstLine="0"/>
        <w:jc w:val="center"/>
      </w:pPr>
      <w:r>
        <w:rPr>
          <w:rFonts w:ascii="Times New Roman" w:hAnsi="Times New Roman" w:cs="Times New Roman" w:eastAsia="黑体"/>
          <w:b w:val="0"/>
          <w:sz w:val="21"/>
        </w:rPr>
        <w:t>表3-1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keepNext/>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完整逐块统计、每种子结果、重采样种子和源文件哈希见block_statistics.csv、block_intervals.csv和source_lock.json。</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keepNext/>
        <w:spacing w:before="60" w:after="60" w:line="240" w:lineRule="auto"/>
        <w:ind w:firstLine="0"/>
        <w:jc w:val="center"/>
      </w:pPr>
      <w:r>
        <w:rPr>
          <w:rFonts w:ascii="Times New Roman" w:hAnsi="Times New Roman" w:cs="Times New Roman" w:eastAsia="黑体"/>
          <w:b w:val="0"/>
          <w:sz w:val="21"/>
        </w:rPr>
        <w:t>表3-2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keepNext/>
        <w:spacing w:before="60" w:after="60" w:line="240" w:lineRule="auto"/>
        <w:ind w:firstLine="0"/>
        <w:jc w:val="center"/>
      </w:pPr>
      <w:r>
        <w:rPr>
          <w:rFonts w:ascii="Times New Roman" w:hAnsi="Times New Roman" w:cs="Times New Roman" w:eastAsia="黑体"/>
          <w:b w:val="0"/>
          <w:sz w:val="21"/>
        </w:rPr>
        <w:t>表3-3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keepNext/>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keepNext/>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这里是旧协议下的训练后参数替换，与3.7.5节在新协议中重新训练的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不同。详细权重与跨种子差异在第4章L1层分析。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相对学习值</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学习值基线</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第一层学习值、第二层固定为轮廓关系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0.02695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+95.9%</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两层等权</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0.03354</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+143.8%</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层间权重交换</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0.03418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+148.4%</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两层固定为行为关系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0.03430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+149.3%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第一层固定为负荷关系、第二层学习值</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0.04106</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+198.4%</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两层固定为轮廓关系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0.04138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+200.7%</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两层固定为负荷关系</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0.04591</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keepNext/>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0.03743±0.00022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0.3774±0.0008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0.0325±0.0002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Pr/>
              <w:t>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0.03862±0.00028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0.3812±0.0014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0.0336±0.0003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0.03890±0.00010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0.3810±0.0009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0.0339±0.0001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0.03900±0.00051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0.3829±0.0019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0.0340±0.0005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mrg_no_refine</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0.03931±0.00031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0.3805±0.0015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0.0343±0.0003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0.03948±0.00031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0.3816±0.0025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0.0345±0.0003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mrg_fixed_gate</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0.04111±0.00147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0.3825±0.0008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0.0361±0.0015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0.04315±0.00073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0.3805±0.0024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0.0382±0.0008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0.04559±0.00027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0.3780±0.0004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0.0407±0.0003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mrg_self_loop</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0.04610±0.00057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0.3739±0.0010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0.0413±0.0006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0.04629±0.00019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0.3751±0.0007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0.0415±0.0002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0.04634±0.00029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0.3746±0.0019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0.0415±0.0003</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显示，固定门值使MAE相对mrg_full上升5.68%，是所检结构消融中最明显的退化；仅去除跨层拼接和精炼分别上升0.26%和1.03%，证据强度较弱。三个单关系变体均劣于三关系融合，其中轮廓关系最好，行为关系最弱，支持关系互补性，但不支持每一类关系均有独立正增量。等权β比学习β低0.71%，且差异处于三种子波动量级，因此只能写为“未观察到可辨识的可学习β增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相关运行配置、逐运行工件、训练日志、预测文件、哈希和复核报告已归档于outputs/recovered/SG-EXP-019/及outputs/analysis/SG-EXP-019-eventtime-audit/，本节只在归档完整性和36项逐运行检查通过后引用。</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keepNext/>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MRG-GCN较无图基线更低；单关系与三关系接近，未证明三类均有独立增量</w:t>
            </w:r>
          </w:p>
        </w:tc>
      </w:tr>
      <w:tr>
        <w:trPr>
          <w:cantSplit/>
        </w:trPr>
        <w:tc>
          <w:tcPr>
            <w:tcW w:type="dxa" w:w="2770"/>
            <w:vAlign w:val="center"/>
            <w:tcBorders>
              <w:top w:val="nil"/>
              <w:bottom w:val="nil"/>
              <w:left w:val="nil"/>
              <w:right w:val="nil"/>
            </w:tcBorders>
          </w:tcPr>
          <w:p>
            <w:pPr>
              <w:spacing w:before="0" w:after="0" w:line="240" w:lineRule="auto"/>
              <w:ind w:firstLine="0"/>
              <w:jc w:val="center"/>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7种干预均退化；只支持对所检配置的功能依赖</w:t>
            </w:r>
          </w:p>
        </w:tc>
      </w:tr>
      <w:tr>
        <w:trPr>
          <w:cantSplit/>
        </w:trPr>
        <w:tc>
          <w:tcPr>
            <w:tcW w:type="dxa" w:w="2770"/>
            <w:vAlign w:val="center"/>
            <w:tcBorders>
              <w:top w:val="nil"/>
              <w:bottom w:val="nil"/>
              <w:left w:val="nil"/>
              <w:right w:val="nil"/>
            </w:tcBorders>
          </w:tcPr>
          <w:p>
            <w:pPr>
              <w:spacing w:before="0" w:after="0" w:line="240" w:lineRule="auto"/>
              <w:ind w:firstLine="0"/>
              <w:jc w:val="center"/>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已纳入完整模型，未作单独消融，不报告独立增益</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由完整模型结果支持，未穷举层数和融合形式</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严格可见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pPr>
      <w:r>
        <w:rPr>
          <w:rFonts w:ascii="Times New Roman" w:hAnsi="Times New Roman" w:cs="Times New Roman" w:eastAsia="宋体"/>
          <w:b w:val="0"/>
          <w:sz w:val="24"/>
        </w:rPr>
        <w:t>旧协议具有完整基线、三种子结果和配套机制诊断，因而承担主要预测结论；新协议仅作为压力测试，报告同协议内的模型排序与组件边界。其中，mrg_full的MAE为0.03890，较容量近似匹配的tcn_wide（0.04634）低16.1%；agcrn_full为0.03743，但参数量约为前者的6.1倍，只作为完整能力基线。内部消融中，mrg_fixed_gate相对mrg_full上升5.68%，而mrg_no_refine和mrg_no_skip变化较小；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略优于学习β且差异处于种子波动量级，故不主张可学习β在新协议中产生可辨识增益。单关系模型均劣于三关系融合，但不能据此断言每类关系都有独立正增量。</w:t>
      </w:r>
    </w:p>
    <w:p>
      <w:pPr>
        <w:spacing w:before="0" w:after="0" w:line="300" w:lineRule="auto"/>
        <w:ind w:firstLine="480"/>
        <w:jc w:val="both"/>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结果不替换旧主实验，也不与旧MAE直接计算增减幅度；它显示在行为可见输入下，MRG相对容量匹配TCN仍有相对优势，但完整AGCRN能力基线更低，且等权β与学习β未见可辨识差异。因此，本文将旧协议用于主要预测结论，将新协议用于可见性边界和内部设计压力测试，不把两组结果合并为一个总体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第3章给出了MRG-GCN在共同预测键上的误差表现，但预测精度不能说明模型如何使用关系结构，也不能揭示全局误差的样本构成。特征归因或权重可视化能够展示模型读数</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，却无法直接回答关系分配改变后的响应、图模型信息能否被纯时序学生吸收，以及事件样本如何贡献总体误差。针对这三个问题，本文构建三层机制诊断协议（mechanism diagnosis protocol，MDP），以明确的操作和判定边界补充观察式解释。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MDP并非将权重可视化、蒸馏和分层统计重新命名，而是以统一的操作对象、对照条件和判定强度组织三类证据。相较于只报告“移除组件后的误差变化”，该协议增加了结构可吸收性和误差样本归属检查，但不承担现实数据生成机制的因果识别。</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keepNext/>
        <w:spacing w:before="60" w:after="60" w:line="240" w:lineRule="auto"/>
        <w:ind w:firstLine="0"/>
        <w:jc w:val="center"/>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观察；7种前向干预×3种子</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所检替换均退化，支持对学习关系分配的功能依赖；不覆盖连续权重空间，不作数据因果解释</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keepNext/>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旧协议的训练后前向替换中，先验等权、固定单关系或层间交换均不能替代学习值。该结论限于所检7种内部参数替换，不适用于重新训练后的等权模型；它也不说明统计关系具有现实因果作用或当前权重是全局最优解。</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keepNext/>
        <w:spacing w:before="60" w:after="60" w:line="240" w:lineRule="auto"/>
        <w:ind w:firstLine="0"/>
        <w:jc w:val="center"/>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0.02934±0.00013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0.02931±0.00021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0.02941±0.00014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0.02921±0.00006</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原主实验三种子均使用StaticGraph逐键预测重建四格，而不再使用AdaptiveGraph单种子示例。三种子在四个格中的样本量完全一致：标签事件/规则触发235个，标签事件/规则未触发9,925个，非标签事件/规则触发2,825个，非标签事件/规则未触发699,375个。三种子均值结果见表4-4，格内标准差用于描述种子波动；它们不是独立场站样本，也不用于显著性检验。</w:t>
      </w:r>
    </w:p>
    <w:p>
      <w:pPr>
        <w:keepNext/>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0.21723±0.00598</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0.27747±0.00098</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0.07254±0.00591</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0.00971±0.00019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注：四格MAE为三种子均值±样本标准差；原四格RMSE和WAPE未在本次三种子锁定汇总中重建，故不填入未经核验的数值。逐种子值和误差贡献见four_cell_per_seed.csv与four_cell_summary.csv。</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不是重复验证同一结论，而是依次回答“模型内部依赖什么”“所检简化学生能否吸收何种收益”“总体误差主要由何类样本贡献”。L1和L2使用主模型正式结果，L3现已改用原正式MRG-GCN三种子逐键预测；图4-5和图4-6仍保留为seed-2024的描述性补充。跨模型、跨站点复现仍属后续工作。</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结论适用于本文单站10个主分析节点、既定时间切分和会话重构代理负荷的实验范围。节点标识之间的统计关系不能等同于物理充电桩、馈线连接或电气拓扑；固定LRE关系图也未覆盖季节、价格、运营策略和用户结构变化所引起的关系漂移。因而，当前证据能够支持同一数据口径下的模型比较与机制诊断，不能据此推断所有公共充电场站的误差水平或最佳关系配置。</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pPr>
      <w:r>
        <w:rPr>
          <w:rFonts w:ascii="Times New Roman" w:hAnsi="Times New Roman" w:cs="Times New Roman" w:eastAsia="宋体"/>
          <w:b w:val="0"/>
          <w:sz w:val="24"/>
        </w:rPr>
        <w:t>事件窗口MAE约为稳定窗口的28倍，而冻结规则与标签事件存在明显错位。因此，本章不另建一套点预测模型，也不把事后标签或oracle结果写成预测时能力；三项分析均不进入主模型训练，目的在于说明现有结果在哪些条件下成立、又在哪些位置失效。</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注：训练期10节点负荷序列先经传递熵检验形成方向性候选，再由PCMCI+进行条件独立核验。流程用于条件滞后依赖结构发现，未进行多重比较校正，不解释为物理因果。</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该假设不预设其物理机制，也不将统计方向解释为因果方向。</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不构成因果证明。</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keepNext/>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注：90条有向节点对分别与三类固定统计关系权重比较，Spearman系数标注于图内。灰色叉号表示TE为零的边；该单种子、未校正的探索性比较不表达方向性因果关系。</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因此定位为条件滞后依赖结构发现：TE提供候选，PCMCI+提供条件独立意义下的交叉核验。两者均不等同于物理因果边，也尚未被融入MRG-GCN参与预测。将获确认的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[88,89]</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keepNext/>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预测时可执行，覆盖未达标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oracle仅作不可部署参照。</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keepNext/>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rPr>
          <w:cantSplit/>
          <w:tblHeader w:val="true"/>
        </w:trPr>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CA-303</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CA-311</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CA-327</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CA-489</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CA-321</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CA-305</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CA-315</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CA-304</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CA-307</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CA-317</w:t>
            </w:r>
          </w:p>
        </w:tc>
      </w:tr>
      <w:tr>
        <w:trPr>
          <w:cantSplit/>
        </w:trPr>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区间宽度/(kWh/15 min)</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0.0105±0.0005</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0.0091±0.0001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0.0091±0.0001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0.0071±0.0001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0.0069±0.0002</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0.0064±0.0006</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0.0051±0.0001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0.0040±0.0002</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0.0028±0.0006</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本节将覆盖不足拆成两个相互关联、但不能混为一谈的环节。第一是路由信号错位：测试预测键中，标签事件占1.43%，冻结规则触发占0.43%；在seed-2024四格示例中，标签事件且规则未触发的预测键有9,925个，而两者同时出现的预测键只有235个。换言之，许多困难窗口在预测时并未进入事件层，因而仍使用稳定层的半宽。这里的9,925个样本描述的是两种口径的交叉关系，不能直接解释为规则漏报率，也不能据此断言所有事件都能由更丰富的可见输入识别。</w:t>
      </w:r>
    </w:p>
    <w:p>
      <w:pPr>
        <w:spacing w:before="0" w:after="0" w:line="300" w:lineRule="auto"/>
        <w:ind w:firstLine="480"/>
        <w:jc w:val="both"/>
      </w:pPr>
      <w:r>
        <w:rPr>
          <w:rFonts w:ascii="Times New Roman" w:hAnsi="Times New Roman" w:cs="Times New Roman" w:eastAsia="宋体"/>
          <w:b w:val="0"/>
          <w:sz w:val="24"/>
        </w:rPr>
        <w:t>第二是校准分布本身的失配：即使使用事后标签进行oracle分层，事件窗口覆盖率也只有86.1%，仍低于90%的目标；因此，事件路由不能单独解释全部覆盖缺口。验证集与测试集残差分布的变化、事件层样本稀疏、按节点与步长汇聚校准以及有限样本分位数实现，都可能共同影响结果。本实验没有通过独立校准集、滚动时间检验或预先登记的漂移统计进一步区分这些因素，故不把覆盖不足归因于某一个单一原因。</w:t>
      </w:r>
    </w:p>
    <w:p>
      <w:pPr>
        <w:spacing w:before="0" w:after="0" w:line="300" w:lineRule="auto"/>
        <w:ind w:firstLine="480"/>
        <w:jc w:val="both"/>
      </w:pPr>
      <w:r>
        <w:rPr>
          <w:rFonts w:ascii="Times New Roman" w:hAnsi="Times New Roman" w:cs="Times New Roman" w:eastAsia="宋体"/>
          <w:b w:val="0"/>
          <w:sz w:val="24"/>
        </w:rPr>
        <w:t>据此，规则路由将标签事件窗口覆盖率从1.9%提高到3.9%，应解释为“可见信号带来的有限改善”，而不是达到目标覆盖的证明；整体覆盖率约70%则说明当前区间方法未满足90%的经验目标。该结果的价值在于暴露路由与校准的失效边界，并不能称为分层共形方法本身被证伪。后续可在独立时间段上分别检验滚动自适应共形推断（ACI）</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、新的实时可见特征和更稳定的事件分层；任何改进都必须重新冻结规则、校准数据和路由口径，再进行测试期验证。</w:t>
      </w:r>
    </w:p>
    <w:p>
      <w:pPr>
        <w:spacing w:before="240" w:after="180" w:line="300" w:lineRule="auto"/>
        <w:ind w:firstLine="0"/>
        <w:jc w:val="both"/>
        <w:outlineLvl w:val="2"/>
      </w:pPr>
      <w:r>
        <w:rPr>
          <w:rFonts w:ascii="Times New Roman" w:hAnsi="Times New Roman" w:cs="Times New Roman" w:eastAsia="黑体"/>
          <w:b w:val="0"/>
          <w:sz w:val="28"/>
        </w:rPr>
        <w:t>5.3.5 覆盖失败的可复核诊断框架</w:t>
      </w:r>
    </w:p>
    <w:p>
      <w:pPr>
        <w:spacing w:before="0" w:after="0" w:line="300" w:lineRule="auto"/>
        <w:ind w:firstLine="480"/>
        <w:jc w:val="both"/>
      </w:pPr>
      <w:r>
        <w:rPr>
          <w:rFonts w:ascii="Times New Roman" w:hAnsi="Times New Roman" w:cs="Times New Roman" w:eastAsia="宋体"/>
          <w:b w:val="0"/>
          <w:sz w:val="24"/>
        </w:rPr>
        <w:t>覆盖不足可分为路由、校准和分布三个环节。路由层中，标签事件占1.43%，冻结规则触发占0.43%，且有9,925个标签事件预测键未触发规则，说明多数困难样本没有获得事件层半宽；该交叉关系不是分类器意义上的召回率或漏报率。校准层中，规则路由将事件覆盖率从1.9%提高到3.9%，仍远低于90%；oracle也仅为86.1%，说明路由错位不能解释全部缺口。分布层中，验证时间段同时承担早停、阈值冻结和残差校准，触发样本又较少，当前实验无法进一步区分样本不足与验证—测试分布变化的影响。</w:t>
      </w:r>
    </w:p>
    <w:p>
      <w:pPr>
        <w:spacing w:before="0" w:after="0" w:line="300" w:lineRule="auto"/>
        <w:ind w:firstLine="480"/>
        <w:jc w:val="both"/>
      </w:pPr>
      <w:r>
        <w:rPr>
          <w:rFonts w:ascii="Times New Roman" w:hAnsi="Times New Roman" w:cs="Times New Roman" w:eastAsia="宋体"/>
          <w:b w:val="0"/>
          <w:sz w:val="24"/>
        </w:rPr>
        <w:t>触发层采用跨节点统一半宽以缓解样本稀疏，未触发层采用逐节点半宽以保留节点差异，这是一种覆盖与宽度之间的折中。增宽区间虽可能提高覆盖，却会降低输出精度；本文未设置业务可接受宽度，也不声称当前区间可直接支持容量决策。因此，本节结论限定为：冻结规则带来有限改善，但当前数据和校准协议未达到目标覆盖。</w:t>
      </w:r>
    </w:p>
    <w:p>
      <w:pPr>
        <w:spacing w:before="0" w:after="0" w:line="300" w:lineRule="auto"/>
        <w:ind w:firstLine="480"/>
        <w:jc w:val="both"/>
      </w:pPr>
      <w:r>
        <w:rPr>
          <w:rFonts w:ascii="Times New Roman" w:hAnsi="Times New Roman" w:cs="Times New Roman" w:eastAsia="宋体"/>
          <w:b w:val="0"/>
          <w:sz w:val="24"/>
        </w:rPr>
        <w:t>后续复核应使用独立校准时段，在不查看target_event的条件下保存逐键路由及区间端点，并按整体、事件、稳定、节点、步长和时间块同时报告覆盖率与宽度。规则路由与oracle应继续并列保留，以区分可执行结果和事后参照。</w:t>
      </w:r>
    </w:p>
    <w:p>
      <w:pPr>
        <w:spacing w:before="0" w:after="0" w:line="300" w:lineRule="auto"/>
        <w:ind w:firstLine="480"/>
        <w:jc w:val="both"/>
      </w:pPr>
      <w:r>
        <w:rPr>
          <w:rFonts w:ascii="Times New Roman" w:hAnsi="Times New Roman" w:cs="Times New Roman" w:eastAsia="宋体"/>
          <w:b w:val="0"/>
          <w:sz w:val="24"/>
        </w:rPr>
        <w:t>具体复核时，可先比较校准期与测试期在各节点、各预测步长上的绝对残差分位数，再按月或周统计规则触发率、事件占比和覆盖率。若残差分位数整体上移而路由交集基本稳定，问题更可能来自分布漂移；若残差分布接近但大量标签事件仍未触发规则，则应优先改进可见信号和路由定义；若两者同时变化，则需在独立时间段重新冻结规则与分位数。该顺序能够把“路由错位”和“校准失配”转化为可分别核验的统计对象。</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可取全局、标签事件窗口、稳定窗口或节点。该量描述参数替换的功能敏感度，不是观察数据中的处理效应，也不使用CATE或严格因果效应语义。</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keepNext/>
        <w:spacing w:before="60" w:after="60" w:line="240" w:lineRule="auto"/>
        <w:ind w:firstLine="0"/>
        <w:jc w:val="center"/>
      </w:pPr>
      <w:r>
        <w:rPr>
          <w:rFonts w:ascii="Times New Roman" w:hAnsi="Times New Roman" w:cs="Times New Roman" w:eastAsia="黑体"/>
          <w:b w:val="0"/>
          <w:sz w:val="21"/>
        </w:rPr>
        <w:t>表5-4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该结论与第4章L1的全局结果一致，并新增两点分层信息：稳定窗口的相对敏感度更高，节点间最大退化幅度不同。两点均属于模型内部参数替换下的功能响应，不能外推为现实运行中的因果效应或直接调度规则。</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-4断言稳定样本更重要。</w:t>
      </w:r>
    </w:p>
    <w:p>
      <w:pPr>
        <w:spacing w:before="0" w:after="0" w:line="300" w:lineRule="auto"/>
        <w:ind w:firstLine="480"/>
        <w:jc w:val="both"/>
      </w:pPr>
      <w:r>
        <w:rPr>
          <w:rFonts w:ascii="Times New Roman" w:hAnsi="Times New Roman" w:cs="Times New Roman" w:eastAsia="宋体"/>
          <w:b w:val="0"/>
          <w:sz w:val="24"/>
        </w:rPr>
        <w:t>逐节点最大退化也不能直接形成“关键节点”清单，因为节点负荷尺度、事件比例和连接结构不同。本节沿用第4章L1的三种子预测与干预结果，不重新训练或改变正式排名；若更换输入协议或关系图，应作为独立实验系列报告。该分析更适合作为模型压力测试：局部误差异常时，应回查构图、节点门控和数据分布，而不是直接删除某类关系。</w:t>
      </w:r>
    </w:p>
    <w:p>
      <w:pPr>
        <w:spacing w:before="0" w:after="0" w:line="300" w:lineRule="auto"/>
        <w:ind w:firstLine="480"/>
        <w:jc w:val="both"/>
      </w:pPr>
      <w:r>
        <w:rPr>
          <w:rFonts w:ascii="Times New Roman" w:hAnsi="Times New Roman" w:cs="Times New Roman" w:eastAsia="宋体"/>
          <w:b w:val="0"/>
          <w:sz w:val="24"/>
        </w:rPr>
        <w:t>后续需补充节点门控独立消融，保存逐种子、逐节点和时间块干预结果，并在外部时段或站点重复协议。当前参数替换只承担功能敏感度分析，与方向性检验和共形覆盖分别对应模型内部、输入结构和输出不确定性三个层面，三者不能合并为现实因果链条。</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pPr>
      <w:r>
        <w:rPr>
          <w:rFonts w:ascii="Times New Roman" w:hAnsi="Times New Roman" w:cs="Times New Roman" w:eastAsia="宋体"/>
          <w:b w:val="0"/>
          <w:sz w:val="24"/>
        </w:rPr>
        <w:t>后续实验宜一次只增加一个预先定义的变量或对照：方向性关系先做外部时段验证，再考虑回灌模型；区间预测先设置独立校准段，再比较路由；门控机制先完成节点门控独立消融。该顺序既保留现有主线，也避免继续堆叠无法区分来源的结果。</w:t>
      </w:r>
    </w:p>
    <w:p>
      <w:pPr>
        <w:spacing w:before="0" w:after="0" w:line="300" w:lineRule="auto"/>
        <w:ind w:firstLine="480"/>
        <w:jc w:val="both"/>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本章围绕关系方向、区间可靠性和分层参数敏感度开展了三项探索，结果汇总见表5-5。</w:t>
      </w:r>
    </w:p>
    <w:p>
      <w:pPr>
        <w:spacing w:before="0" w:after="0" w:line="300" w:lineRule="auto"/>
        <w:ind w:firstLine="480"/>
        <w:jc w:val="both"/>
      </w:pPr>
      <w:r>
        <w:rPr>
          <w:rFonts w:ascii="Times New Roman" w:hAnsi="Times New Roman" w:cs="Times New Roman" w:eastAsia="宋体"/>
          <w:b w:val="0"/>
          <w:sz w:val="24"/>
        </w:rPr>
        <w:t>本章按“输入结构—输出区间—模型参数”形成检查链：TE与PCMCI+发现方向性候选，共形分析检验可见规则下的区间覆盖，参数干预比较不同样本层面对关系替换的响应。三项分析均使用冻结数据或模型，不构成新的点预测训练，也不改变第3章排名。表5-5汇总其对象、主要观察和结论边界。</w:t>
      </w:r>
    </w:p>
    <w:p>
      <w:pPr>
        <w:keepNext/>
        <w:spacing w:before="60" w:after="60" w:line="240" w:lineRule="auto"/>
        <w:ind w:firstLine="0"/>
        <w:jc w:val="center"/>
      </w:pPr>
      <w:r>
        <w:rPr>
          <w:rFonts w:ascii="Times New Roman" w:hAnsi="Times New Roman" w:cs="Times New Roman" w:eastAsia="黑体"/>
          <w:b w:val="0"/>
          <w:sz w:val="21"/>
        </w:rPr>
        <w:t>表5-5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标准共形、规则路由分层共形与oracle对比</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规则路由可在预测时执行但覆盖未达标；oracle仅为事后参照</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关系分配的影响是否分层不同？</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7种参数替换的窗口和节点汇总</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得到无向统计图未覆盖、可进一步核验的条件滞后依赖候选；区间分析显示，当前可见规则难以将标签事件可靠地路由至宽区间；参数替换则表明，学习关系分配的影响随样本层面而变化。三项分析均不改变第3章的正式点预测结论，也没有解决事件预测难题。后续研究应在跨站数据上验证方向性结构，使用独立时间段重新校准区间，并在引入更丰富可见信号后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研究工作总结</w:t>
      </w:r>
    </w:p>
    <w:p>
      <w:pPr>
        <w:spacing w:before="0" w:after="0" w:line="300" w:lineRule="auto"/>
        <w:ind w:firstLine="480"/>
        <w:jc w:val="both"/>
      </w:pPr>
      <w:r>
        <w:rPr>
          <w:rFonts w:ascii="Times New Roman" w:hAnsi="Times New Roman" w:cs="Times New Roman" w:eastAsia="宋体"/>
          <w:b w:val="0"/>
          <w:sz w:val="24"/>
        </w:rPr>
        <w:t>本文针对公共充电场站节点交互关系难以表征、预测收益来源不清和稀有事件误差易被平均指标掩盖的问题，以公开充电会话记录重构的节点代理负荷为对象，开展模型构建、预测验证与机制诊断。实验覆盖单站10个主分析节点，输入为96个15 min时间片，预测范围为未来4步，数据按时间顺序划分为训练、验证和测试集。</w:t>
      </w:r>
    </w:p>
    <w:p>
      <w:pPr>
        <w:spacing w:before="0" w:after="0" w:line="300" w:lineRule="auto"/>
        <w:ind w:firstLine="480"/>
        <w:jc w:val="both"/>
      </w:pPr>
      <w:r>
        <w:rPr>
          <w:rFonts w:ascii="Times New Roman" w:hAnsi="Times New Roman" w:cs="Times New Roman" w:eastAsia="宋体"/>
          <w:b w:val="0"/>
          <w:sz w:val="24"/>
        </w:rPr>
        <w:t>在方法层面，本文基于训练期负荷耦合、行为共现和轮廓相似三种统计关系构建LRE三关系图，提出由TCN时间骨干、关系级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组成的MRG-GCN。为避免仅以点预测指标解释模型，本文构建三层机制诊断协议：L1通过关系权重观察与参数替换检验模型对关系分配的功能依赖，L2通过图模型到纯时序学生的知识蒸馏检验所选结构收益能否被吸收，L3以目标侧标签事件和冻结规则触发交叉分层，还原不同样本组的误差来源。</w:t>
      </w:r>
    </w:p>
    <w:p>
      <w:pPr>
        <w:spacing w:before="0" w:after="0" w:line="300" w:lineRule="auto"/>
        <w:ind w:firstLine="480"/>
        <w:jc w:val="both"/>
      </w:pPr>
      <w:r>
        <w:rPr>
          <w:rFonts w:ascii="Times New Roman" w:hAnsi="Times New Roman" w:cs="Times New Roman" w:eastAsia="宋体"/>
          <w:b w:val="0"/>
          <w:sz w:val="24"/>
        </w:rPr>
        <w:t>第5章另行开展三项预测支持探索：以TE和PCMCI+发现并交叉核验条件滞后依赖候选；以标准共形、规则路由分层共形和标签事件事后参照（oracle）比较区间覆盖边界；在窗口和节点层面分析门控参数替换后的相对误差响应。这些探索用于刻画结构理解和可靠性边界，不改变正式点预测结论，也不表述为物理因果识别或已经可部署的事件预测方案。</w:t>
      </w:r>
    </w:p>
    <w:p>
      <w:pPr>
        <w:spacing w:before="360" w:after="240" w:line="360" w:lineRule="auto"/>
        <w:ind w:firstLine="0"/>
        <w:jc w:val="both"/>
        <w:outlineLvl w:val="1"/>
      </w:pPr>
      <w:r>
        <w:rPr>
          <w:rFonts w:ascii="Times New Roman" w:hAnsi="Times New Roman" w:cs="Times New Roman" w:eastAsia="黑体"/>
          <w:b/>
          <w:sz w:val="30"/>
        </w:rPr>
        <w:t>主要研究结论</w:t>
      </w:r>
    </w:p>
    <w:p>
      <w:pPr>
        <w:spacing w:before="0" w:after="0" w:line="300" w:lineRule="auto"/>
        <w:ind w:firstLine="480"/>
        <w:jc w:val="both"/>
      </w:pPr>
      <w:r>
        <w:rPr>
          <w:rFonts w:ascii="Times New Roman" w:hAnsi="Times New Roman" w:cs="Times New Roman" w:eastAsia="宋体"/>
          <w:b w:val="0"/>
          <w:sz w:val="24"/>
        </w:rPr>
        <w:t>（1）在本文的数据口径和统一预测键上，MRG-GCN取得0.01376 kWh/15 min的全局MAE和0.2860的WAPE，较TCN的MAE下降53.4%，较ARIMA下降39.1%。其MAE最低，并在已报告WAPE的模型中取得最低WAPE，但AGCRN简化变体取得更低的RMSE；MRG-GCN、AdaptiveGraph和EventResidual三者的MAE差异与跨种子波动同级，因而不能据此建立头部模型的稳定次序。关系消融显示单关系与三关系表现接近，关系随机失活未见实质收益，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门控亦未获得独立消融证据，故本文不主张三种关系均有独立正增量。</w:t>
      </w:r>
    </w:p>
    <w:p>
      <w:pPr>
        <w:spacing w:before="0" w:after="0" w:line="300" w:lineRule="auto"/>
        <w:ind w:firstLine="480"/>
        <w:jc w:val="both"/>
      </w:pPr>
      <w:r>
        <w:rPr>
          <w:rFonts w:ascii="Times New Roman" w:hAnsi="Times New Roman" w:cs="Times New Roman" w:eastAsia="宋体"/>
          <w:b w:val="0"/>
          <w:sz w:val="24"/>
        </w:rPr>
        <w:t>（2）机制诊断为完整模型的结构解释提供了分层证据。L1中，7种关系级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均使全局MAE退化95.9%至233.6%，支持模型对所学习关系分配在所检配置内存在功能依赖。L2中，四个蒸馏权重下TCN学生的MAE均约为0.029，未弥合与StaticGraph教师0.01376之间的差距；该结论仅适用于所检学生架构、蒸馏目标和权重范围。L3中，标签事件窗口的误差约为稳定窗口的28倍，且在18项正式运行中四格加权MAE均能还原全局结果，说明全局指标不能替代对稀有困难样本的分层评价。</w:t>
      </w:r>
    </w:p>
    <w:p>
      <w:pPr>
        <w:spacing w:before="0" w:after="0" w:line="300" w:lineRule="auto"/>
        <w:ind w:firstLine="480"/>
        <w:jc w:val="both"/>
      </w:pPr>
      <w:r>
        <w:rPr>
          <w:rFonts w:ascii="Times New Roman" w:hAnsi="Times New Roman" w:cs="Times New Roman" w:eastAsia="宋体"/>
          <w:b w:val="0"/>
          <w:sz w:val="24"/>
        </w:rPr>
        <w:t>（3）第5章补充了模型的结构与可靠性边界。TE在90条有向节点对中得到76条名义候选，其中44条在PCMCI+条件独立检验下仍达到名义阈值；这些边均未作多重比较校正，也未纳入预测模型。规则路由分层共形将标签事件窗口的经验覆盖率从1.9%提高到3.9%，但仍远低于90%目标；标签事件事后参照（oracle）达到86.1%，只表示标签事后可知时的参照水平，不能作为部署结果。分层参数干预显示，稳定窗口和不同节点对关系替换的相对响应不同，这属于模型内部功能敏感度，而非现实过程的因果效应。</w:t>
      </w:r>
    </w:p>
    <w:p>
      <w:pPr>
        <w:spacing w:before="360" w:after="240" w:line="360" w:lineRule="auto"/>
        <w:ind w:firstLine="0"/>
        <w:jc w:val="both"/>
        <w:outlineLvl w:val="1"/>
      </w:pPr>
      <w:r>
        <w:rPr>
          <w:rFonts w:ascii="Times New Roman" w:hAnsi="Times New Roman" w:cs="Times New Roman" w:eastAsia="黑体"/>
          <w:b/>
          <w:sz w:val="30"/>
        </w:rPr>
        <w:t>工程应用意义与适用范围</w:t>
      </w:r>
    </w:p>
    <w:p>
      <w:pPr>
        <w:spacing w:before="0" w:after="0" w:line="300" w:lineRule="auto"/>
        <w:ind w:firstLine="480"/>
        <w:jc w:val="both"/>
      </w:pPr>
      <w:r>
        <w:rPr>
          <w:rFonts w:ascii="Times New Roman" w:hAnsi="Times New Roman" w:cs="Times New Roman" w:eastAsia="宋体"/>
          <w:b w:val="0"/>
          <w:sz w:val="24"/>
        </w:rPr>
        <w:t>本文结果的工程意义在于提供站内节点级的预测与诊断信息，而非直接输出调度策略。对于同类会话数据可用、节点标识稳定的场站，15 min节点代理负荷预测可作为节点关注排序、短时负荷监测和后续容量评估的输入；L3四格结果提醒运行人员，全局MAE较低并不意味着稀有困难窗口的误差同样可接受；规则路由共形结果则提示当前可见行为信号不足以为标签事件提供可靠区间。这些结论适用于本文的数据与实验口径，不能直接转换为容量节省、削峰收益或在线控制效果。</w:t>
      </w:r>
    </w:p>
    <w:p>
      <w:pPr>
        <w:spacing w:before="0" w:after="0" w:line="300" w:lineRule="auto"/>
        <w:ind w:firstLine="480"/>
        <w:jc w:val="both"/>
      </w:pPr>
      <w:r>
        <w:rPr>
          <w:rFonts w:ascii="Times New Roman" w:hAnsi="Times New Roman" w:cs="Times New Roman" w:eastAsia="宋体"/>
          <w:b w:val="0"/>
          <w:sz w:val="24"/>
        </w:rPr>
        <w:t>若要进入实际业务使用，至少需要完成三项补充验证：其一，以真实电表功率或经现场核验的量测数据明确代理负荷与物理负荷的映射；其二，在独立场站、不同运营周期和不同节点规模下重新冻结筛选、关系构图和规则阈值；其三，将预测输出与容量评估、运维告警或负荷均衡规则联用，量化其对具体业务决策的增益。本文不以现有离线结果替代上述验证。</w:t>
      </w:r>
    </w:p>
    <w:p>
      <w:pPr>
        <w:spacing w:before="360" w:after="240" w:line="360" w:lineRule="auto"/>
        <w:ind w:firstLine="0"/>
        <w:jc w:val="both"/>
        <w:outlineLvl w:val="1"/>
      </w:pPr>
      <w:r>
        <w:rPr>
          <w:rFonts w:ascii="Times New Roman" w:hAnsi="Times New Roman" w:cs="Times New Roman" w:eastAsia="黑体"/>
          <w:b/>
          <w:sz w:val="30"/>
        </w:rPr>
        <w:t>研究局限</w:t>
      </w:r>
    </w:p>
    <w:p>
      <w:pPr>
        <w:spacing w:before="0" w:after="0" w:line="300" w:lineRule="auto"/>
        <w:ind w:firstLine="480"/>
        <w:jc w:val="both"/>
      </w:pPr>
      <w:r>
        <w:rPr>
          <w:rFonts w:ascii="Times New Roman" w:hAnsi="Times New Roman" w:cs="Times New Roman" w:eastAsia="宋体"/>
          <w:b w:val="0"/>
          <w:sz w:val="24"/>
        </w:rPr>
        <w:t>本文仍存在以下局限。第一，研究基于单站会话记录重构的节点代理负荷，节点标识的统计对应关系并不等同于真实电表功率、物理充电桩或配电拓扑，结论需要在更多站点和更完整量测条件下复核。第二，LRE三关系图由训练期固定统计量得到，尚未考察关系随季节、运营策略和用户结构变化时的动态更新。第三，标签事件仅占测试预测键的1.43%，冻结规则触发仅占0.43%，两者错位限制了可见规则对困难样本的路由能力；当前共形实现报告经验覆盖率，且校准与测试之间存在分布失配，未能给出目标覆盖率保证。</w:t>
      </w:r>
    </w:p>
    <w:p>
      <w:pPr>
        <w:spacing w:before="0" w:after="0" w:line="300" w:lineRule="auto"/>
        <w:ind w:firstLine="480"/>
        <w:jc w:val="both"/>
      </w:pPr>
      <w:r>
        <w:rPr>
          <w:rFonts w:ascii="Times New Roman" w:hAnsi="Times New Roman" w:cs="Times New Roman" w:eastAsia="宋体"/>
          <w:b w:val="0"/>
          <w:sz w:val="24"/>
        </w:rPr>
        <w:t>第四，机制诊断的证据范围受实验设计限制。L1只覆盖7种离散关系替换，L2只考察单一TCN学生和四个蒸馏权重，L3的主四格已使用原正式MRG-GCN三种子预测，但图4-5和图4-6仍是seed-2024的描述性补充；节点级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未暴露为可单独干预的组件。第五，TE和PCMCI+均基于单数据集且未实施多重比较校正，不能解释为物理因果边；参数干预同样只描述模型对内部替换的响应。第六，点级Bootstrap和新增时间块复核均基于已固定测试期，只用于比较给定预测结果的误差差异，不能替代跨站或跨时期的外部验证。</w:t>
      </w:r>
    </w:p>
    <w:p>
      <w:pPr>
        <w:spacing w:before="360" w:after="240" w:line="360" w:lineRule="auto"/>
        <w:ind w:firstLine="0"/>
        <w:jc w:val="both"/>
        <w:outlineLvl w:val="1"/>
      </w:pPr>
      <w:r>
        <w:rPr>
          <w:rFonts w:ascii="Times New Roman" w:hAnsi="Times New Roman" w:cs="Times New Roman" w:eastAsia="黑体"/>
          <w:b/>
          <w:sz w:val="30"/>
        </w:rPr>
        <w:t>研究展望</w:t>
      </w:r>
    </w:p>
    <w:p>
      <w:pPr>
        <w:spacing w:before="0" w:after="0" w:line="300" w:lineRule="auto"/>
        <w:ind w:firstLine="480"/>
        <w:jc w:val="both"/>
      </w:pPr>
      <w:r>
        <w:rPr>
          <w:rFonts w:ascii="Times New Roman" w:hAnsi="Times New Roman" w:cs="Times New Roman" w:eastAsia="宋体"/>
          <w:b w:val="0"/>
          <w:sz w:val="24"/>
        </w:rPr>
        <w:t>后续研究可从四个方向推进。其一，扩展至多站点、多运营时段和含真实功率量测的数据，检验节点代理负荷建模、节点筛选和关系构造的外部有效性。其二，结合滚动窗口、动态邻接或在线更新机制，使关系图适应需求结构变化，并在独立测试期评估其收益。其三，将经更严格验证的方向性候选作为可选关系输入，与固定统计图及自适应图进行同键对照，而不止停留在结构发现层面。其四，引入预测时刻可见的预约、占用、价格和气象等信息，构建可部署的事件路由与自适应共形校准机制；同时开放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门控的干预和可视化接口，完善模型内部机制的可检验性。</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tabs>
        <w:tab w:pos="8311" w:val="right" w:leader="dot"/>
      </w:tabs>
      <w:spacing w:before="0" w:after="0" w:line="300" w:lineRule="auto"/>
      <w:ind w:left="958" w:leftChars="400" w:firstLine="0"/>
      <w:jc w:val="left"/>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tabs>
        <w:tab w:pos="8311" w:val="right" w:leader="dot"/>
      </w:tabs>
      <w:spacing w:before="0" w:after="0" w:line="300" w:lineRule="auto"/>
      <w:ind w:left="0" w:firstLine="0"/>
      <w:jc w:val="left"/>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tabs>
        <w:tab w:pos="8311" w:val="right" w:leader="dot"/>
      </w:tabs>
      <w:spacing w:before="0" w:after="0" w:line="300" w:lineRule="auto"/>
      <w:ind w:left="482" w:leftChars="200" w:firstLine="0"/>
      <w:jc w:val="left"/>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