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jc w:val="center"/>
        <w:rPr>
          <w:b/>
          <w:sz w:val="44"/>
          <w:szCs w:val="44"/>
        </w:rPr>
      </w:pPr>
    </w:p>
    <w:p w14:paraId="62F943A5">
      <w:pPr>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spacing w:before="0" w:after="0" w:line="240" w:lineRule="auto"/>
        <w:ind w:firstLine="0"/>
        <w:jc w:val="center"/>
      </w:pPr>
      <w:r>
        <w:rPr>
          <w:rFonts w:ascii="Times New Roman" w:hAnsi="Times New Roman" w:cs="Times New Roman" w:eastAsia="黑体"/>
          <w:b/>
          <w:sz w:val="30"/>
        </w:rPr>
        <w:t>基于站内多关系图与机制诊断的充电节点短期负荷预测研究</w:t>
      </w:r>
    </w:p>
    <w:p>
      <w:pPr>
        <w:spacing w:before="360" w:after="360" w:line="240" w:lineRule="auto"/>
        <w:ind w:firstLine="0"/>
        <w:jc w:val="center"/>
      </w:pPr>
      <w:r>
        <w:rPr>
          <w:rFonts w:ascii="Times New Roman" w:hAnsi="Times New Roman" w:cs="Times New Roman" w:eastAsia="宋体"/>
          <w:b/>
          <w:sz w:val="30"/>
        </w:rPr>
        <w:t>摘  要</w:t>
      </w:r>
    </w:p>
    <w:p>
      <w:pPr>
        <w:spacing w:before="0" w:after="0" w:line="300" w:lineRule="auto"/>
        <w:ind w:firstLine="480"/>
        <w:jc w:val="both"/>
      </w:pPr>
      <w:r>
        <w:rPr>
          <w:rFonts w:ascii="Times New Roman" w:hAnsi="Times New Roman" w:cs="Times New Roman" w:eastAsia="宋体"/>
          <w:b w:val="0"/>
          <w:sz w:val="24"/>
        </w:rPr>
        <w:t>电动汽车充电设施持续扩张，场站内不同节点的负荷差异与短时波动给容量配置、负荷均衡和运行管理带来挑战。现有研究多面向区域、站群或充电站聚合负荷，对站内节点间多类统计关系的利用方式及预测收益来源缺少系统检验。本文以公开充电会话记录重构的节点代理负荷为对象，研究站内充电节点的短期负荷预测与机制诊断。</w:t>
      </w:r>
    </w:p>
    <w:p>
      <w:pPr>
        <w:spacing w:before="0" w:after="0" w:line="300" w:lineRule="auto"/>
        <w:ind w:firstLine="480"/>
        <w:jc w:val="both"/>
      </w:pPr>
      <w:r>
        <w:rPr>
          <w:rFonts w:ascii="Times New Roman" w:hAnsi="Times New Roman" w:cs="Times New Roman" w:eastAsia="宋体"/>
          <w:b w:val="0"/>
          <w:sz w:val="24"/>
        </w:rPr>
        <w:t>将31,424条充电会话按15 min时间网格展开后，得到覆盖118,818个时间步、10个主分析节点的节点代理负荷序列及行为特征。目标侧标签事件`target_event`与预测时刻可见的冻结规则触发`rule_trigger`采用不同口径，前者仅用于事后分层评价，后者用于规则诊断。在此基础上，按负荷耦合、行为共现和轮廓相似构建LRE三关系图，并提出以时间卷积网络为骨干、融合关系级和节点级门控的多关系门控图卷积网络（MRG-GCN）。</w:t>
      </w:r>
    </w:p>
    <w:p>
      <w:pPr>
        <w:spacing w:before="0" w:after="0" w:line="300" w:lineRule="auto"/>
        <w:ind w:firstLine="480"/>
        <w:jc w:val="both"/>
      </w:pPr>
      <w:r>
        <w:rPr>
          <w:rFonts w:ascii="Times New Roman" w:hAnsi="Times New Roman" w:cs="Times New Roman" w:eastAsia="宋体"/>
          <w:b w:val="0"/>
          <w:sz w:val="24"/>
        </w:rPr>
        <w:t>旧主协议在相同预测键和三个随机种子的重复实验下，MRG-GCN的全局MAE为0.01376 kWh/15 min，较TCN无图基线降低53.4%，较ARIMA降低39.1%；其MAE最低，并在已报告WAPE的模型中取得最低WAPE（0.2860），但RMSE最低值由AGCRN简化变体取得。三层机制诊断协议（MDP）依次考察关系分配、结构知识吸收和误差样本构成：L1中，所检七种关系级门控替换的MAE均高于学习值基线；L2中，在给定学生架构、蒸馏目标和权重范围内，纯时序学生未弥合与图模型之间的误差差距；L3中，标签事件窗口占测试预测键的1.43%，误差明显高于稳定窗口，冻结规则触发率仅为0.43%。</w:t>
      </w:r>
    </w:p>
    <w:p>
      <w:pPr>
        <w:spacing w:before="0" w:after="0" w:line="300" w:lineRule="auto"/>
        <w:ind w:firstLine="480"/>
        <w:jc w:val="both"/>
      </w:pPr>
      <w:r>
        <w:rPr>
          <w:rFonts w:ascii="Times New Roman" w:hAnsi="Times New Roman" w:cs="Times New Roman" w:eastAsia="宋体"/>
          <w:b w:val="0"/>
          <w:sz w:val="24"/>
        </w:rPr>
        <w:t>在严格可见输入的新协议（`SG-DATA-006-eventtime-v1`）中，`mrg_full`的MAE为0.03890 kWh/15 min，较容量近似匹配的`tcn_wide`（0.04634 kWh/15 min）低16.1%；但完整能力基线`agcrn_full`为0.03743 kWh/15 min，略低于`mrg_full`。该协议只用于检验输入权限收紧后的相对价值，不替换旧主结果，也不等同于实测功率验证。本文结论限于单站、10个节点和会话记录重构的节点代理负荷，不能据此推断物理拓扑、因果关系或在线部署效果。</w:t>
      </w:r>
    </w:p>
    <w:p>
      <w:pPr>
        <w:spacing w:before="0" w:after="0" w:line="300" w:lineRule="auto"/>
        <w:ind w:firstLine="0"/>
        <w:jc w:val="both"/>
      </w:pPr>
      <w:r>
        <w:rPr>
          <w:rFonts w:ascii="Times New Roman" w:hAnsi="Times New Roman" w:cs="Times New Roman" w:eastAsia="宋体"/>
          <w:b/>
          <w:sz w:val="24"/>
        </w:rPr>
        <w:t>关键词：充电节点短期负荷预测；LRE；MRG-GCN；MDP；节点代理负荷</w:t>
      </w:r>
    </w:p>
    <w:p>
      <w:pPr>
        <w:sectPr>
          <w:headerReference w:type="default" r:id="rId45"/>
          <w:headerReference w:type="even" r:id="rId46"/>
          <w:footerReference w:type="default" r:id="rId47"/>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spacing w:before="0" w:after="0" w:line="240" w:lineRule="auto"/>
        <w:ind w:firstLine="0"/>
        <w:jc w:val="center"/>
      </w:pPr>
      <w:r>
        <w:rPr>
          <w:rFonts w:ascii="Times New Roman" w:hAnsi="Times New Roman" w:cs="Times New Roman" w:eastAsia="Times New Roman"/>
          <w:b/>
          <w:sz w:val="30"/>
        </w:rPr>
        <w:t>基于站内多关系图与机制诊断的充电节点短期负荷预测研究</w:t>
      </w:r>
    </w:p>
    <w:p>
      <w:pPr>
        <w:spacing w:before="360" w:after="360" w:line="240" w:lineRule="auto"/>
        <w:ind w:firstLine="0"/>
        <w:jc w:val="center"/>
      </w:pPr>
      <w:r>
        <w:rPr>
          <w:rFonts w:ascii="Times New Roman" w:hAnsi="Times New Roman" w:cs="Times New Roman" w:eastAsia="Times New Roman"/>
          <w:b/>
          <w:sz w:val="30"/>
        </w:rPr>
        <w:t>Abstract</w:t>
      </w:r>
    </w:p>
    <w:p>
      <w:pPr>
        <w:spacing w:before="0" w:after="0" w:line="300" w:lineRule="auto"/>
        <w:ind w:firstLine="480"/>
        <w:jc w:val="both"/>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pPr>
      <w:r>
        <w:rPr>
          <w:rFonts w:ascii="Times New Roman" w:hAnsi="Times New Roman" w:cs="Times New Roman" w:eastAsia="Times New Roman"/>
          <w:b w:val="0"/>
          <w:sz w:val="24"/>
        </w:rPr>
        <w:t>First, 31,424 charging sessions are expanded onto a 15-minute grid to construct proxy-load sequences and behavioral features for 10 primary analysis nodes over 118,818 time steps. Target-side labeled events (`target_event`) are distinguished from frozen rule triggers (`rule_trigger`) observable at forecast time: the former is used only for post-hoc stratification, and the latter for rule diagnosis.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w:t>
      </w:r>
    </w:p>
    <w:p>
      <w:pPr>
        <w:spacing w:before="0" w:after="0" w:line="300" w:lineRule="auto"/>
        <w:ind w:firstLine="480"/>
        <w:jc w:val="both"/>
      </w:pPr>
      <w:r>
        <w:rPr>
          <w:rFonts w:ascii="Times New Roman" w:hAnsi="Times New Roman" w:cs="Times New Roman" w:eastAsia="Times New Roman"/>
          <w:b w:val="0"/>
          <w:sz w:val="24"/>
        </w:rPr>
        <w:t>Under the old primary protocol, using identical forecast keys and three random seeds, MRG-GCN achieves a global MAE of 0.01376 kWh/15 min, reducing MAE by 53.4% relative to the graph-free TCN and by 39.1% relative to ARIMA. It attains the lowest MAE and the lowest WAPE among models for which WAPE is available (0.2860); the lowest RMSE is achieved by the simplified AGCRN variant. The three-layer mechanism diagnosis protocol (MDP) comprises relation-allocation intervention, structure-knowledge distillation, and four-cell error tracing. All seven examined replacements of relation-level gates yield higher MAE than the learned-weight baseline; the examined purely temporal student does not close the graph-model error gap; labeled event windows account for 1.43% of test forecast keys and have substantially higher error than stable windows, while the frozen rule-trigger rate is only 0.43%.</w:t>
      </w:r>
    </w:p>
    <w:p>
      <w:pPr>
        <w:spacing w:before="0" w:after="0" w:line="300" w:lineRule="auto"/>
        <w:ind w:firstLine="480"/>
        <w:jc w:val="both"/>
      </w:pPr>
      <w:r>
        <w:rPr>
          <w:rFonts w:ascii="Times New Roman" w:hAnsi="Times New Roman" w:cs="Times New Roman" w:eastAsia="Times New Roman"/>
          <w:b w:val="0"/>
          <w:sz w:val="24"/>
        </w:rPr>
        <w:t>Under a separate strict-visible-input protocol (`SG-DATA-006-eventtime-v1`), `mrg_full` obtains a MAE of 0.03890 kWh/15 min, 16.1% lower than the approximately capacity-matched `tcn_wide` (0.04634 kWh/15 min). However, the full-capacity baseline `agcrn_full` obtains 0.03743 kWh/15 min, slightly lower than `mrg_full`. This protocol tests relative value after restricting forecast-time inputs; it does not replace the old primary result or validate measured power. The conclusions are limited to a single station, 10 nodes, and proxy loads reconstructed from charging-session records, and do not establish physical topology, causality, or online deployment performance.</w:t>
      </w:r>
    </w:p>
    <w:p>
      <w:pPr>
        <w:spacing w:before="0" w:after="0" w:line="300" w:lineRule="auto"/>
        <w:ind w:firstLine="0"/>
        <w:jc w:val="both"/>
      </w:pPr>
      <w:r>
        <w:rPr>
          <w:rFonts w:ascii="Times New Roman" w:hAnsi="Times New Roman" w:cs="Times New Roman" w:eastAsia="Times New Roman"/>
          <w:b/>
          <w:sz w:val="24"/>
        </w:rPr>
        <w:t>Keywords: short-term charging-node load forecasting; LRE; MRG-GCN; MDP; proxy load</w:t>
      </w:r>
    </w:p>
    <w:p>
      <w:pPr>
        <w:sectPr>
          <w:headerReference w:type="default" r:id="rId48"/>
          <w:headerReference w:type="even" r:id="rId49"/>
          <w:footerReference w:type="default" r:id="rId50"/>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spacing w:before="480" w:after="360" w:line="240" w:lineRule="auto"/>
        <w:ind w:firstLine="0"/>
        <w:jc w:val="center"/>
      </w:pPr>
      <w:r>
        <w:rPr>
          <w:rFonts w:ascii="Times New Roman" w:hAnsi="Times New Roman" w:cs="Times New Roman" w:eastAsia="黑体"/>
          <w:b/>
          <w:sz w:val="36"/>
        </w:rPr>
        <w:t>目  录</w:t>
      </w:r>
    </w:p>
    <w:p>
      <w:pPr>
        <w:pStyle w:val="16"/>
        <w:tabs>
          <w:tab w:pos="8311" w:val="right" w:leader="dot"/>
        </w:tabs>
        <w:spacing w:before="0" w:after="0" w:line="300" w:lineRule="auto"/>
        <w:ind w:left="0" w:firstLine="0"/>
        <w:jc w:val="left"/>
      </w:pPr>
      <w:r>
        <w:fldChar w:fldCharType="begin"/>
      </w:r>
      <w:r>
        <w:instrText xml:space="preserve"> TOC \o "1-3" \h \z \u </w:instrText>
      </w:r>
      <w:r>
        <w:fldChar w:fldCharType="separate"/>
      </w:r>
      <w:r>
        <w:rPr>
          <w:rFonts w:ascii="Times New Roman" w:hAnsi="Times New Roman" w:cs="Times New Roman" w:eastAsia="宋体"/>
          <w:b/>
          <w:sz w:val="24"/>
        </w:rPr>
        <w:t>第1章  绪论</w:t>
      </w:r>
      <w:r>
        <w:tab/>
      </w:r>
      <w:r>
        <w:rPr>
          <w:rFonts w:ascii="Times New Roman" w:hAnsi="Times New Roman" w:cs="Times New Roman" w:eastAsia="宋体"/>
          <w:b/>
          <w:sz w:val="24"/>
        </w:rPr>
        <w:t>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1.1 研究背景与意义</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1.1.1 电动汽车充电负荷增长与节点级预测需求</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1.1.2 离散会话记录与节点代理负荷预测问题</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1.1.3 站内节点关系建模与事件窗口预测意义</w:t>
      </w:r>
      <w:r>
        <w:tab/>
      </w:r>
      <w:r>
        <w:rPr>
          <w:rFonts w:ascii="Times New Roman" w:hAnsi="Times New Roman" w:cs="Times New Roman" w:eastAsia="宋体"/>
          <w:b w:val="0"/>
          <w:sz w:val="24"/>
        </w:rPr>
        <w:t>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1.2 国内外研究现状</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1.2.1 电动汽车充电负荷时间序列预测</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1.2.2 多节点负荷与时空图预测</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1.2.3 充电行为特征与事件建模</w:t>
      </w:r>
      <w:r>
        <w:tab/>
      </w:r>
      <w:r>
        <w:rPr>
          <w:rFonts w:ascii="Times New Roman" w:hAnsi="Times New Roman" w:cs="Times New Roman" w:eastAsia="宋体"/>
          <w:b w:val="0"/>
          <w:sz w:val="24"/>
        </w:rPr>
        <w:t>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1.2.4 模型可解释性与机制诊断</w:t>
      </w:r>
      <w:r>
        <w:tab/>
      </w:r>
      <w:r>
        <w:rPr>
          <w:rFonts w:ascii="Times New Roman" w:hAnsi="Times New Roman" w:cs="Times New Roman" w:eastAsia="宋体"/>
          <w:b w:val="0"/>
          <w:sz w:val="24"/>
        </w:rPr>
        <w:t>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1.3 现有研究不足</w:t>
      </w:r>
      <w:r>
        <w:tab/>
      </w:r>
      <w:r>
        <w:rPr>
          <w:rFonts w:ascii="Times New Roman" w:hAnsi="Times New Roman" w:cs="Times New Roman" w:eastAsia="宋体"/>
          <w:b w:val="0"/>
          <w:sz w:val="24"/>
        </w:rPr>
        <w:t>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1.4 研究目标与主要内容</w:t>
      </w:r>
      <w:r>
        <w:tab/>
      </w:r>
      <w:r>
        <w:rPr>
          <w:rFonts w:ascii="Times New Roman" w:hAnsi="Times New Roman" w:cs="Times New Roman" w:eastAsia="宋体"/>
          <w:b w:val="0"/>
          <w:sz w:val="24"/>
        </w:rPr>
        <w:t>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1.5 技术路线</w:t>
      </w:r>
      <w:r>
        <w:tab/>
      </w:r>
      <w:r>
        <w:rPr>
          <w:rFonts w:ascii="Times New Roman" w:hAnsi="Times New Roman" w:cs="Times New Roman" w:eastAsia="宋体"/>
          <w:b w:val="0"/>
          <w:sz w:val="24"/>
        </w:rPr>
        <w:t>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1.6 论文组织结构</w:t>
      </w:r>
      <w:r>
        <w:tab/>
      </w:r>
      <w:r>
        <w:rPr>
          <w:rFonts w:ascii="Times New Roman" w:hAnsi="Times New Roman" w:cs="Times New Roman" w:eastAsia="宋体"/>
          <w:b w:val="0"/>
          <w:sz w:val="24"/>
        </w:rPr>
        <w:t>9</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1.7 本章小结</w:t>
      </w:r>
      <w:r>
        <w:tab/>
      </w:r>
      <w:r>
        <w:rPr>
          <w:rFonts w:ascii="Times New Roman" w:hAnsi="Times New Roman" w:cs="Times New Roman" w:eastAsia="宋体"/>
          <w:b w:val="0"/>
          <w:sz w:val="24"/>
        </w:rPr>
        <w:t>10</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第2章  充电行为数据与特征分析</w:t>
      </w:r>
      <w:r>
        <w:tab/>
      </w:r>
      <w:r>
        <w:rPr>
          <w:rFonts w:ascii="Times New Roman" w:hAnsi="Times New Roman" w:cs="Times New Roman" w:eastAsia="宋体"/>
          <w:b/>
          <w:sz w:val="24"/>
        </w:rPr>
        <w:t>11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2.1 数据来源与重构口径</w:t>
      </w:r>
      <w:r>
        <w:tab/>
      </w:r>
      <w:r>
        <w:rPr>
          <w:rFonts w:ascii="Times New Roman" w:hAnsi="Times New Roman" w:cs="Times New Roman" w:eastAsia="宋体"/>
          <w:b w:val="0"/>
          <w:sz w:val="24"/>
        </w:rPr>
        <w:t>11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2.1.1 旧主实验与事件时刻可见协议的任务边界</w:t>
      </w:r>
      <w:r>
        <w:tab/>
      </w:r>
      <w:r>
        <w:rPr>
          <w:rFonts w:ascii="Times New Roman" w:hAnsi="Times New Roman" w:cs="Times New Roman" w:eastAsia="宋体"/>
          <w:b w:val="0"/>
          <w:sz w:val="24"/>
        </w:rPr>
        <w:t>13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2.2 节点可用性筛选与质量门禁</w:t>
      </w:r>
      <w:r>
        <w:tab/>
      </w:r>
      <w:r>
        <w:rPr>
          <w:rFonts w:ascii="Times New Roman" w:hAnsi="Times New Roman" w:cs="Times New Roman" w:eastAsia="宋体"/>
          <w:b w:val="0"/>
          <w:sz w:val="24"/>
        </w:rPr>
        <w:t>14</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2.3 节点负荷统计特征</w:t>
      </w:r>
      <w:r>
        <w:tab/>
      </w:r>
      <w:r>
        <w:rPr>
          <w:rFonts w:ascii="Times New Roman" w:hAnsi="Times New Roman" w:cs="Times New Roman" w:eastAsia="宋体"/>
          <w:b w:val="0"/>
          <w:sz w:val="24"/>
        </w:rPr>
        <w:t>16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2.4 事件分数构成与事件窗口统计</w:t>
      </w:r>
      <w:r>
        <w:tab/>
      </w:r>
      <w:r>
        <w:rPr>
          <w:rFonts w:ascii="Times New Roman" w:hAnsi="Times New Roman" w:cs="Times New Roman" w:eastAsia="宋体"/>
          <w:b w:val="0"/>
          <w:sz w:val="24"/>
        </w:rPr>
        <w:t>19</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2.5 特征构成与输入结构</w:t>
      </w:r>
      <w:r>
        <w:tab/>
      </w:r>
      <w:r>
        <w:rPr>
          <w:rFonts w:ascii="Times New Roman" w:hAnsi="Times New Roman" w:cs="Times New Roman" w:eastAsia="宋体"/>
          <w:b w:val="0"/>
          <w:sz w:val="24"/>
        </w:rPr>
        <w:t>22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2.6 数据特征对建模的启示</w:t>
      </w:r>
      <w:r>
        <w:tab/>
      </w:r>
      <w:r>
        <w:rPr>
          <w:rFonts w:ascii="Times New Roman" w:hAnsi="Times New Roman" w:cs="Times New Roman" w:eastAsia="宋体"/>
          <w:b w:val="0"/>
          <w:sz w:val="24"/>
        </w:rPr>
        <w:t>24</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2.7 本章小结</w:t>
      </w:r>
      <w:r>
        <w:tab/>
      </w:r>
      <w:r>
        <w:rPr>
          <w:rFonts w:ascii="Times New Roman" w:hAnsi="Times New Roman" w:cs="Times New Roman" w:eastAsia="宋体"/>
          <w:b w:val="0"/>
          <w:sz w:val="24"/>
        </w:rPr>
        <w:t>25</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第3章  基于多关系门控图卷积的节点短期负荷预测</w:t>
      </w:r>
      <w:r>
        <w:tab/>
      </w:r>
      <w:r>
        <w:rPr>
          <w:rFonts w:ascii="Times New Roman" w:hAnsi="Times New Roman" w:cs="Times New Roman" w:eastAsia="宋体"/>
          <w:b/>
          <w:sz w:val="24"/>
        </w:rPr>
        <w:t>26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3.1 引言</w:t>
      </w:r>
      <w:r>
        <w:tab/>
      </w:r>
      <w:r>
        <w:rPr>
          <w:rFonts w:ascii="Times New Roman" w:hAnsi="Times New Roman" w:cs="Times New Roman" w:eastAsia="宋体"/>
          <w:b w:val="0"/>
          <w:sz w:val="24"/>
        </w:rPr>
        <w:t>26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3.2 预测任务形式化定义</w:t>
      </w:r>
      <w:r>
        <w:tab/>
      </w:r>
      <w:r>
        <w:rPr>
          <w:rFonts w:ascii="Times New Roman" w:hAnsi="Times New Roman" w:cs="Times New Roman" w:eastAsia="宋体"/>
          <w:b w:val="0"/>
          <w:sz w:val="24"/>
        </w:rPr>
        <w:t>28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3.3 场景驱动的LRE三关系图构建</w:t>
      </w:r>
      <w:r>
        <w:tab/>
      </w:r>
      <w:r>
        <w:rPr>
          <w:rFonts w:ascii="Times New Roman" w:hAnsi="Times New Roman" w:cs="Times New Roman" w:eastAsia="宋体"/>
          <w:b w:val="0"/>
          <w:sz w:val="24"/>
        </w:rPr>
        <w:t>29</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3.3.1 负荷耦合关系图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3.3.2 行为共现关系图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3.3.3 轮廓相似关系图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3.3.4 top-k稀疏化与对称归一化</w:t>
      </w:r>
      <w:r>
        <w:tab/>
      </w:r>
      <w:r>
        <w:rPr>
          <w:rFonts w:ascii="Times New Roman" w:hAnsi="Times New Roman" w:cs="Times New Roman" w:eastAsia="宋体"/>
          <w:b w:val="0"/>
          <w:sz w:val="24"/>
        </w:rPr>
        <w:t>30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3.4 时间基线：TCN</w:t>
      </w:r>
      <w:r>
        <w:tab/>
      </w:r>
      <w:r>
        <w:rPr>
          <w:rFonts w:ascii="Times New Roman" w:hAnsi="Times New Roman" w:cs="Times New Roman" w:eastAsia="宋体"/>
          <w:b w:val="0"/>
          <w:sz w:val="24"/>
        </w:rPr>
        <w:t>31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3.5 双层多关系门控图卷积网络（MRG-GCN）</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3.5.1 总体架构</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3.5.2 单关系消息传递</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3.5.3 关系级门控</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3.5.4 节点级门控</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3.5.5 关系随机失活</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3.5.6 逐层关系选择与跨层融合</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3.5.7 目标函数与训练策略</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3.5.8 与现有方法的区别</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3.5.9 节点门控与残差更新的分工</w:t>
      </w:r>
      <w:r>
        <w:tab/>
      </w:r>
      <w:r>
        <w:rPr>
          <w:rFonts w:ascii="Times New Roman" w:hAnsi="Times New Roman" w:cs="Times New Roman" w:eastAsia="宋体"/>
          <w:b w:val="0"/>
          <w:sz w:val="24"/>
        </w:rPr>
        <w:t>34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3.5.10 跨层表示的使用原则</w:t>
      </w:r>
      <w:r>
        <w:tab/>
      </w:r>
      <w:r>
        <w:rPr>
          <w:rFonts w:ascii="Times New Roman" w:hAnsi="Times New Roman" w:cs="Times New Roman" w:eastAsia="宋体"/>
          <w:b w:val="0"/>
          <w:sz w:val="24"/>
        </w:rPr>
        <w:t>35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3.6 对比实验</w:t>
      </w:r>
      <w:r>
        <w:tab/>
      </w:r>
      <w:r>
        <w:rPr>
          <w:rFonts w:ascii="Times New Roman" w:hAnsi="Times New Roman" w:cs="Times New Roman" w:eastAsia="宋体"/>
          <w:b w:val="0"/>
          <w:sz w:val="24"/>
        </w:rPr>
        <w:t>37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3.6.1 实验协议</w:t>
      </w:r>
      <w:r>
        <w:tab/>
      </w:r>
      <w:r>
        <w:rPr>
          <w:rFonts w:ascii="Times New Roman" w:hAnsi="Times New Roman" w:cs="Times New Roman" w:eastAsia="宋体"/>
          <w:b w:val="0"/>
          <w:sz w:val="24"/>
        </w:rPr>
        <w:t>37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3.6.2 全局指标对比</w:t>
      </w:r>
      <w:r>
        <w:tab/>
      </w:r>
      <w:r>
        <w:rPr>
          <w:rFonts w:ascii="Times New Roman" w:hAnsi="Times New Roman" w:cs="Times New Roman" w:eastAsia="宋体"/>
          <w:b w:val="0"/>
          <w:sz w:val="24"/>
        </w:rPr>
        <w:t>38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3.6.3 分层指标对比</w:t>
      </w:r>
      <w:r>
        <w:tab/>
      </w:r>
      <w:r>
        <w:rPr>
          <w:rFonts w:ascii="Times New Roman" w:hAnsi="Times New Roman" w:cs="Times New Roman" w:eastAsia="宋体"/>
          <w:b w:val="0"/>
          <w:sz w:val="24"/>
        </w:rPr>
        <w:t>42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3.6.4 节点与预测步长分析</w:t>
      </w:r>
      <w:r>
        <w:tab/>
      </w:r>
      <w:r>
        <w:rPr>
          <w:rFonts w:ascii="Times New Roman" w:hAnsi="Times New Roman" w:cs="Times New Roman" w:eastAsia="宋体"/>
          <w:b w:val="0"/>
          <w:sz w:val="24"/>
        </w:rPr>
        <w:t>43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3.6.5 模型效率分析</w:t>
      </w:r>
      <w:r>
        <w:tab/>
      </w:r>
      <w:r>
        <w:rPr>
          <w:rFonts w:ascii="Times New Roman" w:hAnsi="Times New Roman" w:cs="Times New Roman" w:eastAsia="宋体"/>
          <w:b w:val="0"/>
          <w:sz w:val="24"/>
        </w:rPr>
        <w:t>44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3.6.6 事件机制消融与归因</w:t>
      </w:r>
      <w:r>
        <w:tab/>
      </w:r>
      <w:r>
        <w:rPr>
          <w:rFonts w:ascii="Times New Roman" w:hAnsi="Times New Roman" w:cs="Times New Roman" w:eastAsia="宋体"/>
          <w:b w:val="0"/>
          <w:sz w:val="24"/>
        </w:rPr>
        <w:t>45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3.7 消融实验</w:t>
      </w:r>
      <w:r>
        <w:tab/>
      </w:r>
      <w:r>
        <w:rPr>
          <w:rFonts w:ascii="Times New Roman" w:hAnsi="Times New Roman" w:cs="Times New Roman" w:eastAsia="宋体"/>
          <w:b w:val="0"/>
          <w:sz w:val="24"/>
        </w:rPr>
        <w:t>46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3.7.1 组合配置下的结构消融证据</w:t>
      </w:r>
      <w:r>
        <w:tab/>
      </w:r>
      <w:r>
        <w:rPr>
          <w:rFonts w:ascii="Times New Roman" w:hAnsi="Times New Roman" w:cs="Times New Roman" w:eastAsia="宋体"/>
          <w:b w:val="0"/>
          <w:sz w:val="24"/>
        </w:rPr>
        <w:t>46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3.7.2 门控参数干预</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3.7.3 四格诊断</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3.7.4 关系子集与敏感性</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3.7.5 严格可见输入协议下的压力测试</w:t>
      </w:r>
      <w:r>
        <w:tab/>
      </w:r>
      <w:r>
        <w:rPr>
          <w:rFonts w:ascii="Times New Roman" w:hAnsi="Times New Roman" w:cs="Times New Roman" w:eastAsia="宋体"/>
          <w:b w:val="0"/>
          <w:sz w:val="24"/>
        </w:rPr>
        <w:t>48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3.8 方法设计及证据边界</w:t>
      </w:r>
      <w:r>
        <w:tab/>
      </w:r>
      <w:r>
        <w:rPr>
          <w:rFonts w:ascii="Times New Roman" w:hAnsi="Times New Roman" w:cs="Times New Roman" w:eastAsia="宋体"/>
          <w:b w:val="0"/>
          <w:sz w:val="24"/>
        </w:rPr>
        <w:t>50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3.8.1 新旧输入协议的对应问题</w:t>
      </w:r>
      <w:r>
        <w:tab/>
      </w:r>
      <w:r>
        <w:rPr>
          <w:rFonts w:ascii="Times New Roman" w:hAnsi="Times New Roman" w:cs="Times New Roman" w:eastAsia="宋体"/>
          <w:b w:val="0"/>
          <w:sz w:val="24"/>
        </w:rPr>
        <w:t>50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3.9 本章小结</w:t>
      </w:r>
      <w:r>
        <w:tab/>
      </w:r>
      <w:r>
        <w:rPr>
          <w:rFonts w:ascii="Times New Roman" w:hAnsi="Times New Roman" w:cs="Times New Roman" w:eastAsia="宋体"/>
          <w:b w:val="0"/>
          <w:sz w:val="24"/>
        </w:rPr>
        <w:t>51</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第4章  三层机制诊断协议（MDP）与模型可解释性分析</w:t>
      </w:r>
      <w:r>
        <w:tab/>
      </w:r>
      <w:r>
        <w:rPr>
          <w:rFonts w:ascii="Times New Roman" w:hAnsi="Times New Roman" w:cs="Times New Roman" w:eastAsia="宋体"/>
          <w:b/>
          <w:sz w:val="24"/>
        </w:rPr>
        <w:t>53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4.1 引言：MDP协议的定义与设计原则</w:t>
      </w:r>
      <w:r>
        <w:tab/>
      </w:r>
      <w:r>
        <w:rPr>
          <w:rFonts w:ascii="Times New Roman" w:hAnsi="Times New Roman" w:cs="Times New Roman" w:eastAsia="宋体"/>
          <w:b w:val="0"/>
          <w:sz w:val="24"/>
        </w:rPr>
        <w:t>53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4.2 L1干预归因层（IA）：关系分配的功能依赖</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4.2.1 观察操作</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4.2.2 干预操作</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4.2.3 观察证据</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4.2.4 干预证据</w:t>
      </w:r>
      <w:r>
        <w:tab/>
      </w:r>
      <w:r>
        <w:rPr>
          <w:rFonts w:ascii="Times New Roman" w:hAnsi="Times New Roman" w:cs="Times New Roman" w:eastAsia="宋体"/>
          <w:b w:val="0"/>
          <w:sz w:val="24"/>
        </w:rPr>
        <w:t>55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4.2.5 L1判定结论</w:t>
      </w:r>
      <w:r>
        <w:tab/>
      </w:r>
      <w:r>
        <w:rPr>
          <w:rFonts w:ascii="Times New Roman" w:hAnsi="Times New Roman" w:cs="Times New Roman" w:eastAsia="宋体"/>
          <w:b w:val="0"/>
          <w:sz w:val="24"/>
        </w:rPr>
        <w:t>56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4.3 L2蒸馏验证层（DV）：结构信息的可吸收性</w:t>
      </w:r>
      <w:r>
        <w:tab/>
      </w:r>
      <w:r>
        <w:rPr>
          <w:rFonts w:ascii="Times New Roman" w:hAnsi="Times New Roman" w:cs="Times New Roman" w:eastAsia="宋体"/>
          <w:b w:val="0"/>
          <w:sz w:val="24"/>
        </w:rPr>
        <w:t>56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4.3.1 协议操作</w:t>
      </w:r>
      <w:r>
        <w:tab/>
      </w:r>
      <w:r>
        <w:rPr>
          <w:rFonts w:ascii="Times New Roman" w:hAnsi="Times New Roman" w:cs="Times New Roman" w:eastAsia="宋体"/>
          <w:b w:val="0"/>
          <w:sz w:val="24"/>
        </w:rPr>
        <w:t>56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4.3.2 诊断实验</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4.3.3 L2判定结论</w:t>
      </w:r>
      <w:r>
        <w:tab/>
      </w:r>
      <w:r>
        <w:rPr>
          <w:rFonts w:ascii="Times New Roman" w:hAnsi="Times New Roman" w:cs="Times New Roman" w:eastAsia="宋体"/>
          <w:b w:val="0"/>
          <w:sz w:val="24"/>
        </w:rPr>
        <w:t>57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4.4 L3四格溯源层（FET）：全局误差构成</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4.4.1 协议操作</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4.4.2 诊断实验</w:t>
      </w:r>
      <w:r>
        <w:tab/>
      </w:r>
      <w:r>
        <w:rPr>
          <w:rFonts w:ascii="Times New Roman" w:hAnsi="Times New Roman" w:cs="Times New Roman" w:eastAsia="宋体"/>
          <w:b w:val="0"/>
          <w:sz w:val="24"/>
        </w:rPr>
        <w:t>58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4.4.3 还原校验</w:t>
      </w:r>
      <w:r>
        <w:tab/>
      </w:r>
      <w:r>
        <w:rPr>
          <w:rFonts w:ascii="Times New Roman" w:hAnsi="Times New Roman" w:cs="Times New Roman" w:eastAsia="宋体"/>
          <w:b w:val="0"/>
          <w:sz w:val="24"/>
        </w:rPr>
        <w:t>60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4.4.4 L3判定结论</w:t>
      </w:r>
      <w:r>
        <w:tab/>
      </w:r>
      <w:r>
        <w:rPr>
          <w:rFonts w:ascii="Times New Roman" w:hAnsi="Times New Roman" w:cs="Times New Roman" w:eastAsia="宋体"/>
          <w:b w:val="0"/>
          <w:sz w:val="24"/>
        </w:rPr>
        <w:t>60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4.5 协议总结：MDP机制画像与可复用性</w:t>
      </w:r>
      <w:r>
        <w:tab/>
      </w:r>
      <w:r>
        <w:rPr>
          <w:rFonts w:ascii="Times New Roman" w:hAnsi="Times New Roman" w:cs="Times New Roman" w:eastAsia="宋体"/>
          <w:b w:val="0"/>
          <w:sz w:val="24"/>
        </w:rPr>
        <w:t>60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4.6 适用范围与外部验证要求</w:t>
      </w:r>
      <w:r>
        <w:tab/>
      </w:r>
      <w:r>
        <w:rPr>
          <w:rFonts w:ascii="Times New Roman" w:hAnsi="Times New Roman" w:cs="Times New Roman" w:eastAsia="宋体"/>
          <w:b w:val="0"/>
          <w:sz w:val="24"/>
        </w:rPr>
        <w:t>61</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第5章  模型结构分析与预测支持探索</w:t>
      </w:r>
      <w:r>
        <w:tab/>
      </w:r>
      <w:r>
        <w:rPr>
          <w:rFonts w:ascii="Times New Roman" w:hAnsi="Times New Roman" w:cs="Times New Roman" w:eastAsia="宋体"/>
          <w:b/>
          <w:sz w:val="24"/>
        </w:rPr>
        <w:t>62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5.1 引言</w:t>
      </w:r>
      <w:r>
        <w:tab/>
      </w:r>
      <w:r>
        <w:rPr>
          <w:rFonts w:ascii="Times New Roman" w:hAnsi="Times New Roman" w:cs="Times New Roman" w:eastAsia="宋体"/>
          <w:b w:val="0"/>
          <w:sz w:val="24"/>
        </w:rPr>
        <w:t>62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5.2 从统计相关到有向信息流：关系图方向性分析</w:t>
      </w:r>
      <w:r>
        <w:tab/>
      </w:r>
      <w:r>
        <w:rPr>
          <w:rFonts w:ascii="Times New Roman" w:hAnsi="Times New Roman" w:cs="Times New Roman" w:eastAsia="宋体"/>
          <w:b w:val="0"/>
          <w:sz w:val="24"/>
        </w:rPr>
        <w:t>62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5.2.1 问题与动机</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5.2.2 传递熵方向性检验</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5.2.3 传递熵存在性与方向不对称证据</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5.2.4 有向候选边与统计关系图的互补性</w:t>
      </w:r>
      <w:r>
        <w:tab/>
      </w:r>
      <w:r>
        <w:rPr>
          <w:rFonts w:ascii="Times New Roman" w:hAnsi="Times New Roman" w:cs="Times New Roman" w:eastAsia="宋体"/>
          <w:b w:val="0"/>
          <w:sz w:val="24"/>
        </w:rPr>
        <w:t>65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5.2.5 PCMCI+条件独立核验与结构发现定位</w:t>
      </w:r>
      <w:r>
        <w:tab/>
      </w:r>
      <w:r>
        <w:rPr>
          <w:rFonts w:ascii="Times New Roman" w:hAnsi="Times New Roman" w:cs="Times New Roman" w:eastAsia="宋体"/>
          <w:b w:val="0"/>
          <w:sz w:val="24"/>
        </w:rPr>
        <w:t>66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5.2.6 方向性证据的解释边界与复核路径</w:t>
      </w:r>
      <w:r>
        <w:tab/>
      </w:r>
      <w:r>
        <w:rPr>
          <w:rFonts w:ascii="Times New Roman" w:hAnsi="Times New Roman" w:cs="Times New Roman" w:eastAsia="宋体"/>
          <w:b w:val="0"/>
          <w:sz w:val="24"/>
        </w:rPr>
        <w:t>67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5.3 事件感知的区间预测：分层共形预测</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5.3.1 问题与动机</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5.3.2 分层共形方法</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5.3.3 覆盖率与区间宽度结果</w:t>
      </w:r>
      <w:r>
        <w:tab/>
      </w:r>
      <w:r>
        <w:rPr>
          <w:rFonts w:ascii="Times New Roman" w:hAnsi="Times New Roman" w:cs="Times New Roman" w:eastAsia="宋体"/>
          <w:b w:val="0"/>
          <w:sz w:val="24"/>
        </w:rPr>
        <w:t>69</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5.3.4 分布漂移与覆盖保证边界</w:t>
      </w:r>
      <w:r>
        <w:tab/>
      </w:r>
      <w:r>
        <w:rPr>
          <w:rFonts w:ascii="Times New Roman" w:hAnsi="Times New Roman" w:cs="Times New Roman" w:eastAsia="宋体"/>
          <w:b w:val="0"/>
          <w:sz w:val="24"/>
        </w:rPr>
        <w:t>71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5.3.5 覆盖失败的复核与工程含义</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5.4 门控分配的分层参数干预敏感度</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5.4.1 问题与动机</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5.4.2 分层参数干预方法</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5.4.3 分层敏感度结果</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5.4.4 分层参数干预结论</w:t>
      </w:r>
      <w:r>
        <w:tab/>
      </w:r>
      <w:r>
        <w:rPr>
          <w:rFonts w:ascii="Times New Roman" w:hAnsi="Times New Roman" w:cs="Times New Roman" w:eastAsia="宋体"/>
          <w:b w:val="0"/>
          <w:sz w:val="24"/>
        </w:rPr>
        <w:t>74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5.4.5 参数敏感度到工程含义的谨慎映射</w:t>
      </w:r>
      <w:r>
        <w:tab/>
      </w:r>
      <w:r>
        <w:rPr>
          <w:rFonts w:ascii="Times New Roman" w:hAnsi="Times New Roman" w:cs="Times New Roman" w:eastAsia="宋体"/>
          <w:b w:val="0"/>
          <w:sz w:val="24"/>
        </w:rPr>
        <w:t>74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5.4.6 证据层级与复现优先级</w:t>
      </w:r>
      <w:r>
        <w:tab/>
      </w:r>
      <w:r>
        <w:rPr>
          <w:rFonts w:ascii="Times New Roman" w:hAnsi="Times New Roman" w:cs="Times New Roman" w:eastAsia="宋体"/>
          <w:b w:val="0"/>
          <w:sz w:val="24"/>
        </w:rPr>
        <w:t>75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5.5 本章小结</w:t>
      </w:r>
      <w:r>
        <w:tab/>
      </w:r>
      <w:r>
        <w:rPr>
          <w:rFonts w:ascii="Times New Roman" w:hAnsi="Times New Roman" w:cs="Times New Roman" w:eastAsia="宋体"/>
          <w:b w:val="0"/>
          <w:sz w:val="24"/>
        </w:rPr>
        <w:t>75</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结  论</w:t>
      </w:r>
      <w:r>
        <w:tab/>
      </w:r>
      <w:r>
        <w:rPr>
          <w:rFonts w:ascii="Times New Roman" w:hAnsi="Times New Roman" w:cs="Times New Roman" w:eastAsia="宋体"/>
          <w:b/>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做了什么</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得到什么</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能说明什么</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不能说明什么</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参考文献</w:t>
      </w:r>
      <w:r>
        <w:tab/>
      </w:r>
      <w:r>
        <w:rPr>
          <w:rFonts w:ascii="Times New Roman" w:hAnsi="Times New Roman" w:cs="Times New Roman" w:eastAsia="宋体"/>
          <w:b/>
          <w:sz w:val="24"/>
        </w:rPr>
        <w:t>80</w:t>
      </w:r>
      <w:r>
        <w:fldChar w:fldCharType="end"/>
      </w:r>
    </w:p>
    <w:p>
      <w:pPr>
        <w:sectPr>
          <w:headerReference w:type="default" r:id="rId51"/>
          <w:headerReference w:type="even" r:id="rId52"/>
          <w:footerReference w:type="default" r:id="rId53"/>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pPr>
      <w:r>
        <w:rPr>
          <w:rFonts w:ascii="Times New Roman" w:hAnsi="Times New Roman" w:cs="Times New Roman" w:eastAsia="黑体"/>
          <w:b/>
          <w:sz w:val="36"/>
        </w:rPr>
        <w:t>第1章  绪论</w:t>
      </w:r>
    </w:p>
    <w:p>
      <w:pPr>
        <w:spacing w:before="360" w:after="240" w:line="360" w:lineRule="auto"/>
        <w:ind w:firstLine="0"/>
        <w:jc w:val="both"/>
        <w:outlineLvl w:val="1"/>
      </w:pPr>
      <w:r>
        <w:rPr>
          <w:rFonts w:ascii="Times New Roman" w:hAnsi="Times New Roman" w:cs="Times New Roman" w:eastAsia="黑体"/>
          <w:b/>
          <w:sz w:val="30"/>
        </w:rPr>
        <w:t>1.1 研究背景与意义</w:t>
      </w:r>
    </w:p>
    <w:p>
      <w:pPr>
        <w:spacing w:before="240" w:after="180" w:line="300" w:lineRule="auto"/>
        <w:ind w:firstLine="0"/>
        <w:jc w:val="both"/>
        <w:outlineLvl w:val="2"/>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pPr>
      <w:r>
        <w:rPr>
          <w:rFonts w:ascii="Times New Roman" w:hAnsi="Times New Roman" w:cs="Times New Roman" w:eastAsia="宋体"/>
          <w:b w:val="0"/>
          <w:sz w:val="24"/>
        </w:rPr>
        <w:t>仅建立图结构仍不足以回答多类关系如何参与预测。负荷耦合、行为共现和轮廓相似反映的是不同层面的关联，若将其简单合并为单一邻接矩阵，各类关系的语义和作用路径将难以区分；若采用固定等权融合，又可能忽略不同传播层和不同节点对关系信息的需求差异。因此，模型需要在多关系消息传递基础上引入可学习的关系选择和节点信息保留机制，并通过消融和参数干预判断其是否真正依赖这些结构，不能仅凭门控权重可视化作出解释。</w:t>
      </w:r>
    </w:p>
    <w:p>
      <w:pPr>
        <w:spacing w:before="0" w:after="0" w:line="300" w:lineRule="auto"/>
        <w:ind w:firstLine="480"/>
        <w:jc w:val="both"/>
      </w:pPr>
      <w:r>
        <w:rPr>
          <w:rFonts w:ascii="Times New Roman" w:hAnsi="Times New Roman" w:cs="Times New Roman" w:eastAsia="宋体"/>
          <w:b w:val="0"/>
          <w:sz w:val="24"/>
        </w:rPr>
        <w:t>除周期性变化外，充电节点还会出现由接入、离站、活跃会话变化或负荷跳变构成的稀疏行为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只能依据运行过程中可见的行为信号识别。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pPr>
      <w:r>
        <w:rPr>
          <w:rFonts w:ascii="Times New Roman" w:hAnsi="Times New Roman" w:cs="Times New Roman" w:eastAsia="黑体"/>
          <w:b/>
          <w:sz w:val="30"/>
        </w:rPr>
        <w:t>1.2 国内外研究现状</w:t>
      </w:r>
    </w:p>
    <w:p>
      <w:pPr>
        <w:spacing w:before="240" w:after="180" w:line="300" w:lineRule="auto"/>
        <w:ind w:firstLine="0"/>
        <w:jc w:val="both"/>
        <w:outlineLvl w:val="2"/>
      </w:pPr>
      <w:r>
        <w:rPr>
          <w:rFonts w:ascii="Times New Roman" w:hAnsi="Times New Roman" w:cs="Times New Roman" w:eastAsia="黑体"/>
          <w:b w:val="0"/>
          <w:sz w:val="28"/>
        </w:rPr>
        <w:t>1.2.1 电动汽车充电负荷时间序列预测</w:t>
      </w:r>
    </w:p>
    <w:p>
      <w:pPr>
        <w:spacing w:before="0" w:after="0" w:line="300" w:lineRule="auto"/>
        <w:ind w:firstLine="480"/>
        <w:jc w:val="both"/>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pPr>
      <w:r>
        <w:rPr>
          <w:rFonts w:ascii="Times New Roman" w:hAnsi="Times New Roman" w:cs="Times New Roman" w:eastAsia="黑体"/>
          <w:b w:val="0"/>
          <w:sz w:val="28"/>
        </w:rPr>
        <w:t>1.2.2 多节点负荷与时空图预测</w:t>
      </w:r>
    </w:p>
    <w:p>
      <w:pPr>
        <w:spacing w:before="0" w:after="0" w:line="300" w:lineRule="auto"/>
        <w:ind w:firstLine="480"/>
        <w:jc w:val="both"/>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在电动汽车充电场景中，图模型主要描述充电站之间或区域之间的联系，国内研究已探索动态自适应图、差异化耦合关系和GCN—循环网络组合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，并形成充电站群多图融合等研究</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。近期研究还从因果感知、多变量概率融合、GAT—GRU、多图融合以及自适应门控图卷积等方向推进</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。其中，STMGCN（多尺度时空图卷积与Transformer融合的多节点负荷模型）</w:t>
      </w:r>
      <w:r>
        <w:rPr>
          <w:rFonts w:ascii="Times New Roman" w:hAnsi="Times New Roman" w:cs="Times New Roman" w:eastAsia="宋体"/>
          <w:b w:val="0"/>
          <w:sz w:val="24"/>
          <w:vertAlign w:val="superscript"/>
        </w:rPr>
        <w:t>[63]</w:t>
      </w:r>
      <w:r>
        <w:rPr>
          <w:rFonts w:ascii="Times New Roman" w:hAnsi="Times New Roman" w:cs="Times New Roman" w:eastAsia="宋体"/>
          <w:b w:val="0"/>
          <w:sz w:val="24"/>
        </w:rPr>
        <w:t>、MGAT-MIC-LSTM和CADGN可作为同类方法的代表，分别覆盖时空特征融合、多图建模和因果关系建模。上述文献仅用于说明研究位置；本文未在ACN数据、同一数据划分和预测键上重新实现或训练这些方法，不能将其公开结果与本文模型直接排位。本文实际对照限于第3章统一协议下已登记的传统模型、TCN/GRU、MLP、简化Graph WaveNet和简化AGCRN等。</w:t>
      </w:r>
    </w:p>
    <w:p>
      <w:pPr>
        <w:spacing w:before="0" w:after="0" w:line="300" w:lineRule="auto"/>
        <w:ind w:firstLine="480"/>
        <w:jc w:val="both"/>
      </w:pPr>
      <w:r>
        <w:rPr>
          <w:rFonts w:ascii="Times New Roman" w:hAnsi="Times New Roman" w:cs="Times New Roman" w:eastAsia="宋体"/>
          <w:b w:val="0"/>
          <w:sz w:val="24"/>
        </w:rPr>
        <w:t>从研究粒度看，上述工作大多以充电站或区域为图节点，关系设计服务于站间或区域传播；在本次公开检索和全文对标范围内，直接以单场站内部充电节点为图节点，并区分负荷耦合、行为共现和日内轮廓关系的研究相对有限。已有多图方法也较少检验关系在不同传播层中的功能依赖。因此，本文将差异化定位收敛为“站内节点粒度的关系语义设计、双层门控融合及其机制诊断”，不把多关系图本身写成首创，也不据此作跨文献性能排名。</w:t>
      </w:r>
    </w:p>
    <w:p>
      <w:pPr>
        <w:spacing w:before="240" w:after="180" w:line="300" w:lineRule="auto"/>
        <w:ind w:firstLine="0"/>
        <w:jc w:val="both"/>
        <w:outlineLvl w:val="2"/>
      </w:pPr>
      <w:r>
        <w:rPr>
          <w:rFonts w:ascii="Times New Roman" w:hAnsi="Times New Roman" w:cs="Times New Roman" w:eastAsia="黑体"/>
          <w:b w:val="0"/>
          <w:sz w:val="28"/>
        </w:rPr>
        <w:t>1.2.3 充电行为特征与事件建模</w:t>
      </w:r>
    </w:p>
    <w:p>
      <w:pPr>
        <w:spacing w:before="0" w:after="0" w:line="300" w:lineRule="auto"/>
        <w:ind w:firstLine="480"/>
        <w:jc w:val="both"/>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pPr>
      <w:r>
        <w:rPr>
          <w:rFonts w:ascii="Times New Roman" w:hAnsi="Times New Roman" w:cs="Times New Roman" w:eastAsia="宋体"/>
          <w:b w:val="0"/>
          <w:sz w:val="24"/>
        </w:rPr>
        <w:t>本文据此区分目标侧标签事件与预测时可见的冻结规则触发：前者用于事后分层评价，后者用于规则路由和诊断。事件窗口既是评价单元，也是误差溯源单元；本文不预设事件机制必然改善点预测，而是以冻结规则和双口径统计检验其可见信息边界，并评估事件窗口的区间表现。</w:t>
      </w:r>
    </w:p>
    <w:p>
      <w:pPr>
        <w:spacing w:before="240" w:after="180" w:line="300" w:lineRule="auto"/>
        <w:ind w:firstLine="0"/>
        <w:jc w:val="both"/>
        <w:outlineLvl w:val="2"/>
      </w:pPr>
      <w:r>
        <w:rPr>
          <w:rFonts w:ascii="Times New Roman" w:hAnsi="Times New Roman" w:cs="Times New Roman" w:eastAsia="黑体"/>
          <w:b w:val="0"/>
          <w:sz w:val="28"/>
        </w:rPr>
        <w:t>1.2.4 模型可解释性与机制诊断</w:t>
      </w:r>
    </w:p>
    <w:p>
      <w:pPr>
        <w:spacing w:before="0" w:after="0" w:line="300" w:lineRule="auto"/>
        <w:ind w:firstLine="480"/>
        <w:jc w:val="both"/>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为检验解释结论，相关研究引入了参数干预、知识蒸馏和分层误差分析：前者比较内部组件替换前后的输出，后两者分别检验复杂结构能否被简单模型吸收、总体误差来自哪些样本</w:t>
      </w:r>
      <w:r>
        <w:rPr>
          <w:rFonts w:ascii="Times New Roman" w:hAnsi="Times New Roman" w:cs="Times New Roman" w:eastAsia="宋体"/>
          <w:b w:val="0"/>
          <w:sz w:val="24"/>
          <w:vertAlign w:val="superscript"/>
        </w:rPr>
        <w:t>[80-82]</w:t>
      </w:r>
      <w:r>
        <w:rPr>
          <w:rFonts w:ascii="Times New Roman" w:hAnsi="Times New Roman" w:cs="Times New Roman" w:eastAsia="宋体"/>
          <w:b w:val="0"/>
          <w:sz w:val="24"/>
        </w:rPr>
        <w:t>。这些方法在负荷预测中通常分散使用，尚未形成对应本文任务的连续诊断流程。</w:t>
      </w:r>
    </w:p>
    <w:p>
      <w:pPr>
        <w:spacing w:before="0" w:after="0" w:line="300" w:lineRule="auto"/>
        <w:ind w:firstLine="480"/>
        <w:jc w:val="both"/>
      </w:pPr>
      <w:r>
        <w:rPr>
          <w:rFonts w:ascii="Times New Roman" w:hAnsi="Times New Roman" w:cs="Times New Roman" w:eastAsia="宋体"/>
          <w:b w:val="0"/>
          <w:sz w:val="24"/>
        </w:rPr>
        <w:t>基于此，本文将机制解释组织为三层机制诊断协议（Mechanism Diagnosis Protocol，MDP）：先观察并干预多关系门控分配，再以MRG-GCN—TCN知识蒸馏检验所检配置下的结构差距，最后用事件标签与规则触发形成四格并按样本量还原全局误差。本文的定位是组织可复核的诊断流程，不把参数干预、蒸馏或分层误差分析等单项工具写成本文首创。</w:t>
      </w:r>
    </w:p>
    <w:p>
      <w:pPr>
        <w:spacing w:before="360" w:after="240" w:line="360" w:lineRule="auto"/>
        <w:ind w:firstLine="0"/>
        <w:jc w:val="both"/>
        <w:outlineLvl w:val="1"/>
      </w:pPr>
      <w:r>
        <w:rPr>
          <w:rFonts w:ascii="Times New Roman" w:hAnsi="Times New Roman" w:cs="Times New Roman" w:eastAsia="黑体"/>
          <w:b/>
          <w:sz w:val="30"/>
        </w:rPr>
        <w:t>1.3 现有研究不足</w:t>
      </w:r>
    </w:p>
    <w:p>
      <w:pPr>
        <w:spacing w:before="0" w:after="0" w:line="300" w:lineRule="auto"/>
        <w:ind w:firstLine="480"/>
        <w:jc w:val="both"/>
      </w:pPr>
      <w:r>
        <w:rPr>
          <w:rFonts w:ascii="Times New Roman" w:hAnsi="Times New Roman" w:cs="Times New Roman" w:eastAsia="宋体"/>
          <w:b w:val="0"/>
          <w:sz w:val="24"/>
        </w:rPr>
        <w:t>现有工作已为充电负荷时间建模、多节点关系学习和预测解释提供方法基础，但面向站内节点级短期预测仍有四项问题。</w:t>
      </w:r>
    </w:p>
    <w:p>
      <w:pPr>
        <w:spacing w:before="0" w:after="0" w:line="300" w:lineRule="auto"/>
        <w:ind w:firstLine="480"/>
        <w:jc w:val="both"/>
      </w:pPr>
      <w:r>
        <w:rPr>
          <w:rFonts w:ascii="Times New Roman" w:hAnsi="Times New Roman" w:cs="Times New Roman" w:eastAsia="宋体"/>
          <w:b w:val="0"/>
          <w:sz w:val="24"/>
        </w:rPr>
        <w:t>（1）站内节点关系的语义化表达不足。现有图预测主要服务于站间或区域传播，站内节点常采用单一相关关系或隐式邻接，难以同时保留负荷同步、行为共现和日内轮廓等语义。多关系表示也不预设各关系具有独立增益，仍需由关系子集实验和机制诊断检验。</w:t>
      </w:r>
    </w:p>
    <w:p>
      <w:pPr>
        <w:spacing w:before="0" w:after="0" w:line="300" w:lineRule="auto"/>
        <w:ind w:firstLine="480"/>
        <w:jc w:val="both"/>
      </w:pPr>
      <w:r>
        <w:rPr>
          <w:rFonts w:ascii="Times New Roman" w:hAnsi="Times New Roman" w:cs="Times New Roman" w:eastAsia="宋体"/>
          <w:b w:val="0"/>
          <w:sz w:val="24"/>
        </w:rPr>
        <w:t>（2）模型解释缺少从观察到验证的证据链。注意力、门控和特征贡献多提供观察式线索，常规消融也主要回答移除组件后性能是否变化，较少进一步检验关系分配的功能依赖、图结构知识能否被纯时序模型吸收以及误差能否严格归属，因而需要协议化诊断流程。</w:t>
      </w:r>
    </w:p>
    <w:p>
      <w:pPr>
        <w:spacing w:before="0" w:after="0" w:line="300" w:lineRule="auto"/>
        <w:ind w:firstLine="480"/>
        <w:jc w:val="both"/>
      </w:pPr>
      <w:r>
        <w:rPr>
          <w:rFonts w:ascii="Times New Roman" w:hAnsi="Times New Roman" w:cs="Times New Roman" w:eastAsia="宋体"/>
          <w:b w:val="0"/>
          <w:sz w:val="24"/>
        </w:rPr>
        <w:t>（3）事件信息的使用边界尚不清晰。日历事件、目标侧标签和预测时可见规则对应不同信息条件，作为输入、事后参照或区间路由时不能混为一谈。现有研究对阈值冻结、未来信息隔离、标签—规则错位和负结果披露的讨论有限，容易把事后参照误写成可执行性能。</w:t>
      </w:r>
    </w:p>
    <w:p>
      <w:pPr>
        <w:spacing w:before="0" w:after="0" w:line="300" w:lineRule="auto"/>
        <w:ind w:firstLine="480"/>
        <w:jc w:val="both"/>
      </w:pPr>
      <w:r>
        <w:rPr>
          <w:rFonts w:ascii="Times New Roman" w:hAnsi="Times New Roman" w:cs="Times New Roman" w:eastAsia="宋体"/>
          <w:b w:val="0"/>
          <w:sz w:val="24"/>
        </w:rPr>
        <w:t>（4）全局指标难以反映稀疏事件窗口的误差结构。节点代理负荷含有大量稳定或零负荷样本，突变窗口的高误差可能被平均值稀释；若无事件、稳定和规则触发的分层口径及样本量加权还原，就难以归属模型改进，也难以支撑后续不确定性分析。</w:t>
      </w:r>
    </w:p>
    <w:p>
      <w:pPr>
        <w:spacing w:before="0" w:after="0" w:line="300" w:lineRule="auto"/>
        <w:ind w:firstLine="480"/>
        <w:jc w:val="both"/>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pPr>
      <w:r>
        <w:drawing>
          <wp:inline xmlns:a="http://schemas.openxmlformats.org/drawingml/2006/main" xmlns:pic="http://schemas.openxmlformats.org/drawingml/2006/picture">
            <wp:extent cx="5112000" cy="3408000"/>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57"/>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pPr>
      <w:r>
        <w:rPr>
          <w:rFonts w:ascii="Times New Roman" w:hAnsi="Times New Roman" w:cs="Times New Roman" w:eastAsia="黑体"/>
          <w:b/>
          <w:sz w:val="30"/>
        </w:rPr>
        <w:t>1.4 研究目标与主要内容</w:t>
      </w:r>
    </w:p>
    <w:p>
      <w:pPr>
        <w:spacing w:before="0" w:after="0" w:line="300" w:lineRule="auto"/>
        <w:ind w:firstLine="480"/>
        <w:jc w:val="both"/>
      </w:pPr>
      <w:r>
        <w:rPr>
          <w:rFonts w:ascii="Times New Roman" w:hAnsi="Times New Roman" w:cs="Times New Roman" w:eastAsia="宋体"/>
          <w:b w:val="0"/>
          <w:sz w:val="24"/>
        </w:rPr>
        <w:t>本文以单站多充电节点的节点代理负荷为对象，目标是构建利用站内多类统计关系的短期预测模型，并建立可复核的诊断流程，分析关系依赖、结构可替代性和误差来源。研究主线为“公开ACN会话→15 min节点代理负荷→LRE三关系图→MRG-GCN→MDP→第5章探索”。结论限于会话重构的代理负荷、既定协议和所检配置，不等同于电表实测功率或在线调度效果。</w:t>
      </w:r>
    </w:p>
    <w:p>
      <w:pPr>
        <w:spacing w:before="0" w:after="0" w:line="300" w:lineRule="auto"/>
        <w:ind w:firstLine="480"/>
        <w:jc w:val="both"/>
      </w:pPr>
      <w:r>
        <w:rPr>
          <w:rFonts w:ascii="Times New Roman" w:hAnsi="Times New Roman" w:cs="Times New Roman" w:eastAsia="宋体"/>
          <w:b w:val="0"/>
          <w:sz w:val="24"/>
        </w:rPr>
        <w:t>围绕上述目标，本文开展以下四方面研究。</w:t>
      </w:r>
    </w:p>
    <w:p>
      <w:pPr>
        <w:spacing w:before="0" w:after="0" w:line="300" w:lineRule="auto"/>
        <w:ind w:firstLine="480"/>
        <w:jc w:val="both"/>
      </w:pPr>
      <w:r>
        <w:rPr>
          <w:rFonts w:ascii="Times New Roman" w:hAnsi="Times New Roman" w:cs="Times New Roman" w:eastAsia="宋体"/>
          <w:b w:val="0"/>
          <w:sz w:val="24"/>
        </w:rPr>
        <w:t>（1）充电行为数据重构与特征分析。审计充电会话字段和节点标识，按15 min粒度重构节点代理负荷；仅依据训练集和验证集完成节点筛选及质量门禁，测试集不参与选择；分析稀疏性、异质性、周期性和事件分量，为关系构建、模型输入和分层评价提供依据。</w:t>
      </w:r>
    </w:p>
    <w:p>
      <w:pPr>
        <w:spacing w:before="0" w:after="0" w:line="300" w:lineRule="auto"/>
        <w:ind w:firstLine="480"/>
        <w:jc w:val="both"/>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建立MRG-GCN，以关系级β门控、节点级G门控、关系随机失活和逐层关系选择完成跨节点融合，并在统一预测键、三种子、多模型对比和消融协议下评价其性能与结构作用。</w:t>
      </w:r>
    </w:p>
    <w:p>
      <w:pPr>
        <w:spacing w:before="0" w:after="0" w:line="300" w:lineRule="auto"/>
        <w:ind w:firstLine="480"/>
        <w:jc w:val="both"/>
      </w:pPr>
      <w:r>
        <w:rPr>
          <w:rFonts w:ascii="Times New Roman" w:hAnsi="Times New Roman" w:cs="Times New Roman" w:eastAsia="宋体"/>
          <w:b w:val="0"/>
          <w:sz w:val="24"/>
        </w:rPr>
        <w:t>（3）三层机制诊断协议。围绕关系分配的功能依赖、图结构知识的可吸收性和全局误差来源，构建由L1干预归因、L2蒸馏验证和L3四格溯源组成的MDP；各层均给出操作定义、诊断实验和判定准则，并以样本量加权恒等式核验四格结果能否还原全局误差。</w:t>
      </w:r>
    </w:p>
    <w:p>
      <w:pPr>
        <w:spacing w:before="0" w:after="0" w:line="300" w:lineRule="auto"/>
        <w:ind w:firstLine="480"/>
        <w:jc w:val="both"/>
      </w:pPr>
      <w:r>
        <w:rPr>
          <w:rFonts w:ascii="Times New Roman" w:hAnsi="Times New Roman" w:cs="Times New Roman" w:eastAsia="宋体"/>
          <w:b w:val="0"/>
          <w:sz w:val="24"/>
        </w:rPr>
        <w:t>（4）模型结构分析与预测支持探索。以传递熵和PCMCI+分析方向性候选及条件滞后依赖，以分层共形比较标准路径、冻结规则路由和标签事件事后参照（oracle）的覆盖边界，并将门控参数干预扩展到事件、稳定和节点层面。结果仅按结构发现、经验覆盖或参数敏感度解释，不升级为物理因果或可部署事件预测结论；第5章新增可见性协议（含phase2）与旧协议分开解读，不合并排位或改写旧主结果。</w:t>
      </w:r>
    </w:p>
    <w:p>
      <w:pPr>
        <w:spacing w:before="360" w:after="240" w:line="360" w:lineRule="auto"/>
        <w:ind w:firstLine="0"/>
        <w:jc w:val="both"/>
        <w:outlineLvl w:val="1"/>
      </w:pPr>
      <w:r>
        <w:rPr>
          <w:rFonts w:ascii="Times New Roman" w:hAnsi="Times New Roman" w:cs="Times New Roman" w:eastAsia="黑体"/>
          <w:b/>
          <w:sz w:val="30"/>
        </w:rPr>
        <w:t>1.5 技术路线</w:t>
      </w:r>
    </w:p>
    <w:p>
      <w:pPr>
        <w:spacing w:before="0" w:after="0" w:line="300" w:lineRule="auto"/>
        <w:ind w:firstLine="480"/>
        <w:jc w:val="both"/>
      </w:pPr>
      <w:r>
        <w:rPr>
          <w:rFonts w:ascii="Times New Roman" w:hAnsi="Times New Roman" w:cs="Times New Roman" w:eastAsia="宋体"/>
          <w:b w:val="0"/>
          <w:sz w:val="24"/>
        </w:rPr>
        <w:t>本文按照“公开ACN会话—15 min节点代理负荷—LRE三关系图—MRG-GCN—MDP—第5章探索”的路线开展研究，总体技术路线如图1-2所示。图中同时标出预测方法与机制诊断两条主线：前者由LRE三关系图和MRG-GCN构成，后者由L1干预、L2蒸馏与L3四格溯源构成。</w:t>
      </w:r>
    </w:p>
    <w:p>
      <w:pPr>
        <w:spacing w:before="60" w:after="60" w:line="240" w:lineRule="auto"/>
        <w:ind w:firstLine="0"/>
        <w:jc w:val="center"/>
      </w:pPr>
      <w:r>
        <w:drawing>
          <wp:inline xmlns:a="http://schemas.openxmlformats.org/drawingml/2006/main" xmlns:pic="http://schemas.openxmlformats.org/drawingml/2006/picture">
            <wp:extent cx="5112000" cy="3834000"/>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58"/>
                    <a:stretch>
                      <a:fillRect/>
                    </a:stretch>
                  </pic:blipFill>
                  <pic:spPr>
                    <a:xfrm>
                      <a:off x="0" y="0"/>
                      <a:ext cx="5112000" cy="3834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图1-2 本文总体技术路线与双贡献主线</w:t>
      </w:r>
    </w:p>
    <w:p>
      <w:pPr>
        <w:spacing w:before="0" w:after="0" w:line="300" w:lineRule="auto"/>
        <w:ind w:firstLine="480"/>
        <w:jc w:val="both"/>
      </w:pPr>
      <w:r>
        <w:rPr>
          <w:rFonts w:ascii="Times New Roman" w:hAnsi="Times New Roman" w:cs="Times New Roman" w:eastAsia="宋体"/>
          <w:b w:val="0"/>
          <w:sz w:val="24"/>
        </w:rPr>
        <w:t>第一阶段为数据重构与特征分析。审计原始会话的字段、时间和节点标识，将离散会话按15 min时间片重构为节点代理负荷张量；依据训练集和验证集完成节点筛选与质量门禁，冻结10个主分析节点；再分析负荷稀疏性、节点差异、周期模式、事件四分量及输入特征，为模型设计和评价提供依据。</w:t>
      </w:r>
    </w:p>
    <w:p>
      <w:pPr>
        <w:spacing w:before="0" w:after="0" w:line="300" w:lineRule="auto"/>
        <w:ind w:firstLine="480"/>
        <w:jc w:val="both"/>
      </w:pPr>
      <w:r>
        <w:rPr>
          <w:rFonts w:ascii="Times New Roman" w:hAnsi="Times New Roman" w:cs="Times New Roman" w:eastAsia="宋体"/>
          <w:b w:val="0"/>
          <w:sz w:val="24"/>
        </w:rPr>
        <w:t>第二阶段为LRE关系构建与MRG-GCN建模。使用训练期统计量分别构建负荷耦合、行为共现和轮廓相似关系图，经top-k稀疏化与对称归一化后作为固定关系输入；使用TCN提取历史表示，经双层多关系门控图卷积和预测头输出未来4个时间步的节点代理负荷。在统一数据划分、预测键和指标下，完成已登记传统、时序、图模型及自适应图对照，并以结构消融、关系子集和参数干预分析组件作用；STMGCN、MGAT-MIC-LSTM和CADGN不属于本阶段重跑基线。</w:t>
      </w:r>
    </w:p>
    <w:p>
      <w:pPr>
        <w:spacing w:before="0" w:after="0" w:line="300" w:lineRule="auto"/>
        <w:ind w:firstLine="480"/>
        <w:jc w:val="both"/>
      </w:pPr>
      <w:r>
        <w:rPr>
          <w:rFonts w:ascii="Times New Roman" w:hAnsi="Times New Roman" w:cs="Times New Roman" w:eastAsia="宋体"/>
          <w:b w:val="0"/>
          <w:sz w:val="24"/>
        </w:rPr>
        <w:t>第三阶段为MDP三层机制诊断。L1提取逐层关系门控权重并实施固定、交换和等权干预；L2以MRG-GCN为教师、TCN为学生开展知识蒸馏，检验所检配置下的结构差距；L3按目标侧标签事件与冻结规则触发构建四格，以样本量加权还原全局MAE，定位事件窗口和稳定窗口的误差贡献。</w:t>
      </w:r>
    </w:p>
    <w:p>
      <w:pPr>
        <w:spacing w:before="0" w:after="0" w:line="300" w:lineRule="auto"/>
        <w:ind w:firstLine="480"/>
        <w:jc w:val="both"/>
      </w:pPr>
      <w:r>
        <w:rPr>
          <w:rFonts w:ascii="Times New Roman" w:hAnsi="Times New Roman" w:cs="Times New Roman" w:eastAsia="宋体"/>
          <w:b w:val="0"/>
          <w:sz w:val="24"/>
        </w:rPr>
        <w:t>第四阶段为模型结构分析与预测支持探索。采用传递熵和PCMCI+分析方向性候选及条件滞后依赖，考察其与固定统计关系图的互补性；采用分层共形比较全局校准、冻结规则路由和标签事件事后参照（oracle）的经验覆盖率与区间宽度；最后对门控参数干预按窗口和节点分层。该阶段含第5章可见性协议及phase2，其结果与旧协议分开报告，仅用于协议边界和探索性分析。</w:t>
      </w:r>
    </w:p>
    <w:p>
      <w:pPr>
        <w:spacing w:before="360" w:after="240" w:line="360" w:lineRule="auto"/>
        <w:ind w:firstLine="0"/>
        <w:jc w:val="both"/>
        <w:outlineLvl w:val="1"/>
      </w:pPr>
      <w:r>
        <w:rPr>
          <w:rFonts w:ascii="Times New Roman" w:hAnsi="Times New Roman" w:cs="Times New Roman" w:eastAsia="黑体"/>
          <w:b/>
          <w:sz w:val="30"/>
        </w:rPr>
        <w:t>1.6 论文组织结构</w:t>
      </w:r>
    </w:p>
    <w:p>
      <w:pPr>
        <w:spacing w:before="0" w:after="0" w:line="300" w:lineRule="auto"/>
        <w:ind w:firstLine="480"/>
        <w:jc w:val="both"/>
      </w:pPr>
      <w:r>
        <w:rPr>
          <w:rFonts w:ascii="Times New Roman" w:hAnsi="Times New Roman" w:cs="Times New Roman" w:eastAsia="宋体"/>
          <w:b w:val="0"/>
          <w:sz w:val="24"/>
        </w:rPr>
        <w:t>本文正文由五章组成，并在正文之后设置结论、参考文献和附录。各章内容安排如下。</w:t>
      </w:r>
    </w:p>
    <w:p>
      <w:pPr>
        <w:spacing w:before="0" w:after="0" w:line="300" w:lineRule="auto"/>
        <w:ind w:firstLine="480"/>
        <w:jc w:val="both"/>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pPr>
      <w:r>
        <w:rPr>
          <w:rFonts w:ascii="Times New Roman" w:hAnsi="Times New Roman" w:cs="Times New Roman" w:eastAsia="宋体"/>
          <w:b w:val="0"/>
          <w:sz w:val="24"/>
        </w:rPr>
        <w:t>第3章为基于多关系门控图卷积的节点短期负荷预测。本章形式化定义预测任务，构建由负荷耦合、行为共现和轮廓相似组成的LRE三关系图，并建立MRG-GCN预测模型；随后通过统一协议下的传统方法、时序模型和图模型对比，结合结构消融、门控参数干预、四格诊断及关系子集敏感性分析，评价模型性能并界定各设计组件的证据范围。</w:t>
      </w:r>
    </w:p>
    <w:p>
      <w:pPr>
        <w:spacing w:before="0" w:after="0" w:line="300" w:lineRule="auto"/>
        <w:ind w:firstLine="480"/>
        <w:jc w:val="both"/>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pPr>
      <w:r>
        <w:rPr>
          <w:rFonts w:ascii="Times New Roman" w:hAnsi="Times New Roman" w:cs="Times New Roman" w:eastAsia="宋体"/>
          <w:b w:val="0"/>
          <w:sz w:val="24"/>
        </w:rPr>
        <w:t>第5章为模型结构分析与预测支持探索。本章考察方向性候选及条件滞后依赖与固定统计关系图的互补性，比较冻结规则路由与标签事件事后参照（oracle）的区间覆盖，并分析门控参数替换在不同窗口和节点上的响应。相关结果只按探索性结构发现、经验覆盖或参数敏感度解释，不表述为物理因果结论或已经实现的可部署事件预测方法。</w:t>
      </w:r>
    </w:p>
    <w:p>
      <w:pPr>
        <w:spacing w:before="0" w:after="0" w:line="300" w:lineRule="auto"/>
        <w:ind w:firstLine="480"/>
        <w:jc w:val="both"/>
      </w:pPr>
      <w:r>
        <w:rPr>
          <w:rFonts w:ascii="Times New Roman" w:hAnsi="Times New Roman" w:cs="Times New Roman" w:eastAsia="宋体"/>
          <w:b w:val="0"/>
          <w:sz w:val="24"/>
        </w:rPr>
        <w:t>结论部分总结全文研究工作及主要发现，说明数据、模型、诊断协议和探索性分析的适用边界，并提出跨站验证、动态关系学习、事件可见信号增强和节点级门控分析等后续研究方向。附录用于保留事件残差修正及其他未达到正文正式纳入标准的探索记录，以保证研究过程可追溯，但不将其作为正文方法贡献。</w:t>
      </w:r>
    </w:p>
    <w:p>
      <w:pPr>
        <w:spacing w:before="360" w:after="240" w:line="360" w:lineRule="auto"/>
        <w:ind w:firstLine="0"/>
        <w:jc w:val="both"/>
        <w:outlineLvl w:val="1"/>
      </w:pPr>
      <w:r>
        <w:rPr>
          <w:rFonts w:ascii="Times New Roman" w:hAnsi="Times New Roman" w:cs="Times New Roman" w:eastAsia="黑体"/>
          <w:b/>
          <w:sz w:val="30"/>
        </w:rPr>
        <w:t>1.7 本章小结</w:t>
      </w:r>
    </w:p>
    <w:p>
      <w:pPr>
        <w:spacing w:before="0" w:after="0" w:line="300" w:lineRule="auto"/>
        <w:ind w:firstLine="480"/>
        <w:jc w:val="both"/>
      </w:pPr>
      <w:r>
        <w:rPr>
          <w:rFonts w:ascii="Times New Roman" w:hAnsi="Times New Roman" w:cs="Times New Roman" w:eastAsia="宋体"/>
          <w:b w:val="0"/>
          <w:sz w:val="24"/>
        </w:rPr>
        <w:t>本章围绕站内充电节点短期负荷预测的研究问题完成了研究背景、文献基础和总体方案的论证。首先，从充电基础设施规模增长与场站精细化运行需求出发，说明节点级预测的工程价值，并明确本文研究对象是由离散会话记录重构得到的节点代理负荷，站内图边表示统计交互而非配电网物理拓扑。其次，从时间序列预测、时空图预测、行为与事件建模、模型可解释性与机制诊断四个方面梳理国内外研究进展，指出现有方法在站内关系语义表达、机制证据链、事件信息使用边界和分层误差评价方面仍存在不足。</w:t>
      </w:r>
    </w:p>
    <w:p>
      <w:pPr>
        <w:spacing w:before="0" w:after="0" w:line="300" w:lineRule="auto"/>
        <w:ind w:firstLine="480"/>
        <w:jc w:val="both"/>
      </w:pPr>
      <w:r>
        <w:rPr>
          <w:rFonts w:ascii="Times New Roman" w:hAnsi="Times New Roman" w:cs="Times New Roman" w:eastAsia="宋体"/>
          <w:b w:val="0"/>
          <w:sz w:val="24"/>
        </w:rPr>
        <w:t>针对上述问题，本文确立了“预测方法与机制诊断”两条主要贡献线：构建面向站内节点的LRE三关系图和MRG-GCN预测模型，并以L1干预归因、L2蒸馏验证和L3四格溯源组成MDP三层机制诊断协议。第5章在此基础上开展方向性结构、分层共形和分层参数干预三项预测支持探索。上述内容共同形成“数据重构与特征分析—多关系图预测—三层机制诊断—结构分析与预测支持探索”的技术路线，并为后续各章的具体方法和实验分析奠定基础。</w:t>
      </w:r>
    </w:p>
    <w:p>
      <w:pPr>
        <w:sectPr>
          <w:headerReference w:type="default" r:id="rId54"/>
          <w:headerReference w:type="even" r:id="rId55"/>
          <w:footerReference w:type="default"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pPr>
      <w:r>
        <w:rPr>
          <w:rFonts w:ascii="Times New Roman" w:hAnsi="Times New Roman" w:cs="Times New Roman" w:eastAsia="黑体"/>
          <w:b/>
          <w:sz w:val="36"/>
        </w:rPr>
        <w:t>第2章  充电行为数据与特征分析</w:t>
      </w:r>
    </w:p>
    <w:p>
      <w:pPr>
        <w:spacing w:before="0" w:after="0" w:line="300" w:lineRule="auto"/>
        <w:ind w:firstLine="480"/>
        <w:jc w:val="both"/>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pPr>
      <w:r>
        <w:rPr>
          <w:rFonts w:ascii="Times New Roman" w:hAnsi="Times New Roman" w:cs="Times New Roman" w:eastAsia="黑体"/>
          <w:b/>
          <w:sz w:val="30"/>
        </w:rPr>
        <w:t>2.1 数据来源与重构口径</w:t>
      </w:r>
    </w:p>
    <w:p>
      <w:pPr>
        <w:spacing w:before="0" w:after="0" w:line="300" w:lineRule="auto"/>
        <w:ind w:firstLine="480"/>
        <w:jc w:val="both"/>
      </w:pPr>
      <w:r>
        <w:rPr>
          <w:rFonts w:ascii="Times New Roman" w:hAnsi="Times New Roman" w:cs="Times New Roman" w:eastAsia="宋体"/>
          <w:b w:val="0"/>
          <w:sz w:val="24"/>
        </w:rPr>
        <w:t>本文采用公开的ACN-Data电动汽车充电数据集。该数据集由加州理工学院发布，记录充电会话的接入、断开、充电完成时间以及会话交付电量等信息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选取siteID=2的单场站归档，原始文件名为acn_sessions.csv，SHA-256为4a2545fd7e344c00b356c1b3e10ca859c47d5d3a9ab0498b5582bb3f8ca4b5c0。文件包含31,424条充电会话和11个字段；接入时间从2018年4月25日11:08:04延续至2021年9月14日1:52:37，最晚断开时间为2021年9月14日3:05:10，覆盖约3.39年。全部记录的接入时间和断开时间均可解析，充电完成时间可解析29,369条；后者不是节点代理负荷重构的必要字段，其缺失不影响时间片能量分配结果。</w:t>
      </w:r>
    </w:p>
    <w:p>
      <w:pPr>
        <w:spacing w:before="0" w:after="0" w:line="300" w:lineRule="auto"/>
        <w:ind w:firstLine="480"/>
        <w:jc w:val="both"/>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E</m:t>
            </m:r>
          </m:e>
          <m:sub>
            <m: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i</m:t>
            </m:r>
          </m:e>
          <m:sub>
            <m: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ℬ</m:t>
            </m:r>
          </m:e>
          <m:sub>
            <m: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e>
          <m:sub>
            <m:r>
              <m:t>t</m:t>
            </m:r>
            <m:r>
              <m:t>,</m:t>
            </m:r>
            <m:r>
              <m:t>i</m:t>
            </m:r>
          </m:sub>
        </m:sSub>
        <m:r>
          <m:t>=</m:t>
        </m:r>
        <m:sSubSup>
          <m:sSubSupPr/>
          <m:e>
            <m:r>
              <m:t>∑</m:t>
            </m:r>
          </m:e>
          <m:sub>
            <m:r>
              <m:t>s</m:t>
            </m:r>
            <m:r>
              <m:t>:</m:t>
            </m:r>
            <m:sSub>
              <m:sSubPr/>
              <m:e>
                <m:r>
                  <m:t>i</m:t>
                </m:r>
              </m:e>
              <m:sub>
                <m:r>
                  <m:t>s</m:t>
                </m:r>
              </m:sub>
            </m:sSub>
            <m:r>
              <m:t>=</m:t>
            </m:r>
            <m:r>
              <m:t>i</m:t>
            </m:r>
            <m:r>
              <m:t>,</m:t>
            </m:r>
            <m:r>
              <m:t>t</m:t>
            </m:r>
            <m:r>
              <m:t>∈</m:t>
            </m:r>
            <m:sSub>
              <m:sSubPr/>
              <m:e>
                <m:r>
                  <m:t>ℬ</m:t>
                </m:r>
              </m:e>
              <m:sub>
                <m:r>
                  <m:t>s</m:t>
                </m:r>
              </m:sub>
            </m:sSub>
          </m:sub>
          <m:sup/>
        </m:sSubSup>
        <m:f>
          <m:num>
            <m:sSub>
              <m:sSubPr/>
              <m:e>
                <m:r>
                  <m:t>E</m:t>
                </m:r>
              </m:e>
              <m:sub>
                <m:r>
                  <m:t>s</m:t>
                </m:r>
              </m:sub>
            </m:sSub>
          </m:num>
          <m:den>
            <m:r>
              <m:t>|</m:t>
            </m:r>
            <m:sSub>
              <m:sSubPr/>
              <m:e>
                <m:r>
                  <m:t>ℬ</m:t>
                </m:r>
              </m:e>
              <m:sub>
                <m:r>
                  <m:t>s</m:t>
                </m:r>
              </m:sub>
            </m:sSub>
            <m:r>
              <m:t>|</m:t>
            </m:r>
          </m:den>
        </m:f>
        <m:r>
          <m:t>.</m:t>
        </m:r>
      </m:oMath>
      <w:r>
        <w:tab/>
      </w:r>
      <w:r>
        <w:rPr>
          <w:rFonts w:ascii="Times New Roman" w:hAnsi="Times New Roman" w:cs="Times New Roman" w:eastAsia="宋体"/>
          <w:sz w:val="21"/>
        </w:rPr>
        <w:t>（2-1）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sSub>
          <m:sSubPr/>
          <m:e>
            <m:r>
              <m:t>ℬ</m:t>
            </m:r>
          </m:e>
          <m:sub>
            <m:r>
              <m:t>s</m:t>
            </m:r>
          </m:sub>
        </m:sSub>
        <m: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pPr>
      <w:r>
        <w:rPr>
          <w:rFonts w:ascii="Times New Roman" w:hAnsi="Times New Roman" w:cs="Times New Roman" w:eastAsia="宋体"/>
          <w:b w:val="0"/>
          <w:sz w:val="24"/>
        </w:rPr>
        <w:t>如图2-1所示，原始会话记录依次转换为模型输入张量。节点清单、归一化统计量和事件规则均在训练集或验证集边界内确定，测试集仅用于冻结配置下的最终评价。数据来源、时间跨度和关键审计结果汇总于表2-1。</w:t>
      </w:r>
    </w:p>
    <w:p>
      <w:pPr>
        <w:spacing w:before="60" w:after="60" w:line="240" w:lineRule="auto"/>
        <w:ind w:firstLine="0"/>
        <w:jc w:val="center"/>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 数据重构与数据划分流程</w:t>
      </w:r>
    </w:p>
    <w:p>
      <w:pPr>
        <w:spacing w:before="0" w:after="0" w:line="300" w:lineRule="auto"/>
        <w:ind w:firstLine="480"/>
        <w:jc w:val="both"/>
      </w:pPr>
      <w:r>
        <w:rPr>
          <w:rFonts w:ascii="Times New Roman" w:hAnsi="Times New Roman" w:cs="Times New Roman" w:eastAsia="宋体"/>
          <w:b w:val="0"/>
          <w:sz w:val="18"/>
        </w:rPr>
        <w:t>注：原始数据为31,424条ACN-Data充电会话记录；会话总交付电量在接入至断开时段覆盖的15 min时间片内均匀分配，形成节点代理负荷。节点筛选、归一化参数和事件规则分别由训练期或验证期数据确定，测试集不参与这些对象的拟合。本图为处理流程示意，不表示在线电表功率测量。</w:t>
      </w:r>
    </w:p>
    <w:p>
      <w:pPr>
        <w:keepNext/>
        <w:spacing w:before="60" w:after="60" w:line="240" w:lineRule="auto"/>
        <w:ind w:firstLine="0"/>
        <w:jc w:val="center"/>
      </w:pPr>
      <w:r>
        <w:rPr>
          <w:rFonts w:ascii="Times New Roman" w:hAnsi="Times New Roman" w:cs="Times New Roman" w:eastAsia="黑体"/>
          <w:b w:val="0"/>
          <w:sz w:val="21"/>
        </w:rPr>
        <w:t>表2-1 原始数据形态与审计结果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审计结果</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口径说明</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数据形态</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ACN-Data中siteID=2的充电会话记录</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非在线电表功率序列；原始归档SHA-256已记录</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原始记录数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31,424条</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共11个字段</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候选节点数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55个</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统一以spaceID标识</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原始接入时间范围</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2018-04-25 11:08:04—2021-09-14 01:52:37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最晚断开时间为2021-09-14 03:05:10</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重构时间网格</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2018-04-25 11:00—2021-09-14 03:15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共118,818个时间步</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采样间隔</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15 min</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118,817个相邻间隔均一致</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节点代理负荷单位</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kWh/15 min</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表示时间片分摊电量，不是瞬时功率</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标识映射</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stationID=EVSEID，且与spaceID一一对应</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三者均为设备标识；场站字段为siteID</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时间字段解析</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接入、断开各31,424条；充电完成29,369条</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重构使用接入、断开与总交付电量</w:t>
            </w:r>
          </w:p>
        </w:tc>
      </w:tr>
    </w:tbl>
    <w:p>
      <w:pPr>
        <w:spacing w:before="0" w:after="0" w:line="300" w:lineRule="auto"/>
        <w:ind w:firstLine="480"/>
        <w:jc w:val="both"/>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pPr>
      <w:r>
        <w:rPr>
          <w:rFonts w:ascii="Times New Roman" w:hAnsi="Times New Roman" w:cs="Times New Roman" w:eastAsia="宋体"/>
          <w:b w:val="0"/>
          <w:sz w:val="24"/>
        </w:rPr>
        <w:t>针对这一边界，数据核验阶段另行冻结了SG-DATA-006-eventtime-v1（登记号SG-EXP-019）。新协议在预测原点只使用已发生的接入、离站、活跃计数和日历编码，删除旧代理负荷及其派生的需求强度、占用率和负荷跳变输入；目标仍暂时保留事后会话能量代理，用于回答“在更严格的行为可见输入下，原任务结论是否保持方向一致”。新协议不是对旧主结果的覆盖，也不是实测功率验证，必须由新适配器重新训练并在独立结果表中报告。</w:t>
      </w:r>
    </w:p>
    <w:p>
      <w:pPr>
        <w:spacing w:before="0" w:after="0" w:line="300" w:lineRule="auto"/>
        <w:ind w:firstLine="480"/>
        <w:jc w:val="both"/>
      </w:pPr>
      <w:r>
        <w:rPr>
          <w:rFonts w:ascii="Times New Roman" w:hAnsi="Times New Roman" w:cs="Times New Roman" w:eastAsia="宋体"/>
          <w:b w:val="0"/>
          <w:sz w:val="24"/>
        </w:rPr>
        <w:t>核验表明，旧测试预测原点×节点中约12.06%可能受到尚未结束会话最终字段回流影响，至少一个节点受影响的预测原点约占52.33%。该结果用于界定旧实验的离线性质，不能据此估计MAE的乐观偏差；本文因此不把旧结果表述为在线部署性能。两套协议的输入契约、目标定义和可回答问题见下方协议对照表。</w:t>
      </w:r>
    </w:p>
    <w:p>
      <w:pPr>
        <w:keepNext/>
        <w:spacing w:before="60" w:after="60" w:line="240" w:lineRule="auto"/>
        <w:ind w:firstLine="0"/>
        <w:jc w:val="center"/>
      </w:pPr>
      <w:r>
        <w:rPr>
          <w:rFonts w:ascii="Times New Roman" w:hAnsi="Times New Roman" w:cs="Times New Roman" w:eastAsia="黑体"/>
          <w:b w:val="0"/>
          <w:sz w:val="21"/>
        </w:rPr>
        <w:t>数据协议回答范围表</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协议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预测时输入</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目标与评价</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主要回答的问题</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不支持的结论</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SG-DATA-005旧主实验</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旧代理负荷及其派生通道、行为通道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事后重构代理负荷；统一测试键</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在同一离线回溯口径下，MRG-GCN相对时间和图基线的表现及机制诊断</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在线可执行精度、实测功率等价性</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SG-DATA-006-eventtime-v1</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接入、离站、活跃计数及当地日历编码</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仍为事后代理目标；严格按事件时刻切分</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更严格可见行为输入下的稳健性与协议敏感性</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与旧MAE直接合并、证明无泄漏或证明实测部署性能</w:t>
            </w:r>
          </w:p>
        </w:tc>
      </w:tr>
    </w:tbl>
    <w:p>
      <w:pPr>
        <w:spacing w:before="360" w:after="240" w:line="360" w:lineRule="auto"/>
        <w:ind w:firstLine="0"/>
        <w:jc w:val="both"/>
        <w:outlineLvl w:val="1"/>
      </w:pPr>
      <w:r>
        <w:rPr>
          <w:rFonts w:ascii="Times New Roman" w:hAnsi="Times New Roman" w:cs="Times New Roman" w:eastAsia="黑体"/>
          <w:b/>
          <w:sz w:val="30"/>
        </w:rPr>
        <w:t>2.2 节点可用性筛选与质量门禁</w:t>
      </w:r>
    </w:p>
    <w:p>
      <w:pPr>
        <w:spacing w:before="0" w:after="0" w:line="300" w:lineRule="auto"/>
        <w:ind w:firstLine="480"/>
        <w:jc w:val="both"/>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pPr>
      <w:r>
        <w:rPr>
          <w:rFonts w:ascii="Times New Roman" w:hAnsi="Times New Roman" w:cs="Times New Roman" w:eastAsia="宋体"/>
          <w:b w:val="0"/>
          <w:sz w:val="24"/>
        </w:rPr>
        <w:t>节点筛选从会话活跃度、时间覆盖和负荷稳定性三个方面设置六项条件，具体门槛见表2-2。主分析门槛要求训练期接入事件不少于100次、验证期不少于10次，训练期非零负荷时间片不少于200片，训练期和验证期活跃月份比例均不低于0.50，且训练期月度能量变异系数不高于2.5。敏感性分析使用较宽松但同样冻结的门槛，以检验结论对节点覆盖范围的依赖。按主分析门槛，验证期接入事件数和活跃月份比例分别使44个和42个候选节点未通过，是节点减少的主要原因；训练期各条件造成的未通过数量相对较少。</w:t>
      </w:r>
    </w:p>
    <w:p>
      <w:pPr>
        <w:keepNext/>
        <w:spacing w:before="60" w:after="60" w:line="240" w:lineRule="auto"/>
        <w:ind w:firstLine="0"/>
        <w:jc w:val="center"/>
      </w:pPr>
      <w:r>
        <w:rPr>
          <w:rFonts w:ascii="Times New Roman" w:hAnsi="Times New Roman" w:cs="Times New Roman" w:eastAsia="黑体"/>
          <w:b w:val="0"/>
          <w:sz w:val="21"/>
        </w:rPr>
        <w:t>表2-2 节点筛选门槛及主分析条件下的未通过数量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筛选条件</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主分析门槛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敏感性门槛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主分析条件下未通过节点数</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训练期接入事件数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验证期接入事件数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训练期非零负荷时间片数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≥200片</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≥80片</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训练期活跃月份比例</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验证期活跃月份比例</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训练期月度能量变异系数</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≤2.5</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≤3.5</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bl>
    <w:p>
      <w:pPr>
        <w:spacing w:before="0" w:after="0" w:line="300" w:lineRule="auto"/>
        <w:ind w:firstLine="480"/>
        <w:jc w:val="both"/>
      </w:pPr>
      <w:r>
        <w:rPr>
          <w:rFonts w:ascii="Times New Roman" w:hAnsi="Times New Roman" w:cs="Times New Roman" w:eastAsia="宋体"/>
          <w:b w:val="0"/>
          <w:sz w:val="24"/>
        </w:rPr>
        <w:t>六项条件联合筛选后，55个候选节点中有10个进入主分析集合，且均可在测试期评价；敏感性分析集合包含15个节点，其中14个在测试期可评价。敏感性集合与主分析集合部分重合，另有5个节点仅进入敏感性集合。图2-2展示各候选节点在训练、验证和测试阶段的活跃月份比例以及筛选归属。图中测试期覆盖情况仅用于描述冻结节点集合的后续可评价性，并未反向参与筛选。</w:t>
      </w:r>
    </w:p>
    <w:p>
      <w:pPr>
        <w:spacing w:before="60" w:after="60" w:line="240" w:lineRule="auto"/>
        <w:ind w:firstLine="0"/>
        <w:jc w:val="center"/>
      </w:pPr>
      <w:r>
        <w:drawing>
          <wp:inline xmlns:a="http://schemas.openxmlformats.org/drawingml/2006/main" xmlns:pic="http://schemas.openxmlformats.org/drawingml/2006/picture">
            <wp:extent cx="5112000" cy="3004149"/>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3"/>
                    <a:stretch>
                      <a:fillRect/>
                    </a:stretch>
                  </pic:blipFill>
                  <pic:spPr>
                    <a:xfrm>
                      <a:off x="0" y="0"/>
                      <a:ext cx="5112000" cy="30041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图2-2 候选节点覆盖率与筛选结果</w:t>
      </w:r>
    </w:p>
    <w:p>
      <w:pPr>
        <w:spacing w:before="0" w:after="0" w:line="300" w:lineRule="auto"/>
        <w:ind w:firstLine="480"/>
        <w:jc w:val="both"/>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pPr>
      <w:r>
        <w:rPr>
          <w:rFonts w:ascii="Times New Roman" w:hAnsi="Times New Roman" w:cs="Times New Roman" w:eastAsia="黑体"/>
          <w:b/>
          <w:sz w:val="30"/>
        </w:rPr>
        <w:t>2.3 节点负荷统计特征</w:t>
      </w:r>
    </w:p>
    <w:p>
      <w:pPr>
        <w:spacing w:before="0" w:after="0" w:line="300" w:lineRule="auto"/>
        <w:ind w:firstLine="480"/>
        <w:jc w:val="both"/>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4"/>
                    <a:stretch>
                      <a:fillRect/>
                    </a:stretch>
                  </pic:blipFill>
                  <pic:spPr>
                    <a:xfrm>
                      <a:off x="0" y="0"/>
                      <a:ext cx="5112000" cy="23921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图2-3 连续四周节点负荷热力图</w:t>
      </w:r>
    </w:p>
    <w:p>
      <w:pPr>
        <w:spacing w:before="0" w:after="0" w:line="300" w:lineRule="auto"/>
        <w:ind w:firstLine="480"/>
        <w:jc w:val="both"/>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65"/>
                    <a:stretch>
                      <a:fillRect/>
                    </a:stretch>
                  </pic:blipFill>
                  <pic:spPr>
                    <a:xfrm>
                      <a:off x="0" y="0"/>
                      <a:ext cx="5112000" cy="241193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图2-4 代表性节点代理负荷的自相关函数</w:t>
      </w:r>
    </w:p>
    <w:p>
      <w:pPr>
        <w:spacing w:before="0" w:after="0" w:line="300" w:lineRule="auto"/>
        <w:ind w:firstLine="480"/>
        <w:jc w:val="both"/>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pPr>
      <w:r>
        <w:rPr>
          <w:rFonts w:ascii="Times New Roman" w:hAnsi="Times New Roman" w:cs="Times New Roman" w:eastAsia="宋体"/>
          <w:b w:val="0"/>
          <w:sz w:val="24"/>
        </w:rPr>
        <w:t>由表2-3可见，节点间存在明显异质性。CA-303的均值为0.1323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keepNext/>
        <w:spacing w:before="60" w:after="60" w:line="240" w:lineRule="auto"/>
        <w:ind w:firstLine="0"/>
        <w:jc w:val="center"/>
      </w:pPr>
      <w:r>
        <w:rPr>
          <w:rFonts w:ascii="Times New Roman" w:hAnsi="Times New Roman" w:cs="Times New Roman" w:eastAsia="黑体"/>
          <w:b w:val="0"/>
          <w:sz w:val="21"/>
        </w:rPr>
        <w:t>表2-3 主分析节点代理负荷统计</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最大值/(kWh/15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标准差/(kWh/15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峰均比</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0.1323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31.45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0.2885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0.0650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15.84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0.2188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42.2</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0.1078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2.849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0.2585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0.0798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19.09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2.663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33.4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0.2059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44.4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0.0684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0.1968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41.0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0.2071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17.89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0.0735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1.761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0.1856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24.0</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0.0629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19.54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2.350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0.1852</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37.3</w:t>
            </w:r>
          </w:p>
        </w:tc>
      </w:tr>
    </w:tbl>
    <w:p>
      <w:pPr>
        <w:spacing w:before="0" w:after="0" w:line="300" w:lineRule="auto"/>
        <w:ind w:firstLine="480"/>
        <w:jc w:val="both"/>
      </w:pPr>
      <w:r>
        <w:rPr>
          <w:rFonts w:ascii="Times New Roman" w:hAnsi="Times New Roman" w:cs="Times New Roman" w:eastAsia="宋体"/>
          <w:b w:val="0"/>
          <w:sz w:val="24"/>
        </w:rPr>
        <w:t>三个代表性节点在日、周滞后位置的自相关系数列于表2-4。</w:t>
      </w:r>
    </w:p>
    <w:p>
      <w:pPr>
        <w:keepNext/>
        <w:spacing w:before="60" w:after="60" w:line="240" w:lineRule="auto"/>
        <w:ind w:firstLine="0"/>
        <w:jc w:val="center"/>
      </w:pPr>
      <w:r>
        <w:rPr>
          <w:rFonts w:ascii="Times New Roman" w:hAnsi="Times New Roman" w:cs="Times New Roman" w:eastAsia="黑体"/>
          <w:b w:val="0"/>
          <w:sz w:val="21"/>
        </w:rPr>
        <w:t>表2-4 代表性节点日、周滞后自相关系数</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96步（24 h）</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672步（168 h）</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0.189</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0.236</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0.200</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0.273</w:t>
            </w:r>
          </w:p>
        </w:tc>
      </w:tr>
    </w:tbl>
    <w:p>
      <w:pPr>
        <w:spacing w:before="0" w:after="0" w:line="300" w:lineRule="auto"/>
        <w:ind w:firstLine="480"/>
        <w:jc w:val="both"/>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-3共同说明：多数时间片没有充电活动，但发生充电时的幅度和持续模式具有较大差异。</w:t>
      </w:r>
    </w:p>
    <w:p>
      <w:pPr>
        <w:spacing w:before="60" w:after="60" w:line="240" w:lineRule="auto"/>
        <w:ind w:firstLine="0"/>
        <w:jc w:val="center"/>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66"/>
                    <a:stretch>
                      <a:fillRect/>
                    </a:stretch>
                  </pic:blipFill>
                  <pic:spPr>
                    <a:xfrm>
                      <a:off x="0" y="0"/>
                      <a:ext cx="5112000" cy="238208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图2-5 代表性节点典型周负荷曲线</w:t>
      </w:r>
    </w:p>
    <w:p>
      <w:pPr>
        <w:spacing w:before="0" w:after="0" w:line="300" w:lineRule="auto"/>
        <w:ind w:firstLine="480"/>
        <w:jc w:val="both"/>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67"/>
                    <a:stretch>
                      <a:fillRect/>
                    </a:stretch>
                  </pic:blipFill>
                  <pic:spPr>
                    <a:xfrm>
                      <a:off x="0" y="0"/>
                      <a:ext cx="5112000" cy="272166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图2-6 非零节点代理负荷经验分布</w:t>
      </w:r>
    </w:p>
    <w:p>
      <w:pPr>
        <w:spacing w:before="0" w:after="0" w:line="300" w:lineRule="auto"/>
        <w:ind w:firstLine="480"/>
        <w:jc w:val="both"/>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min，纵轴采用对数刻度以展示低频右尾。图中为完整样本的经验频数，不含误差棒；横轴显示范围用于突出主要分布区域，不改变表2-3中的全量最大值统计。</w:t>
      </w:r>
    </w:p>
    <w:p>
      <w:pPr>
        <w:spacing w:before="360" w:after="240" w:line="360" w:lineRule="auto"/>
        <w:ind w:firstLine="0"/>
        <w:jc w:val="both"/>
        <w:outlineLvl w:val="1"/>
      </w:pPr>
      <w:r>
        <w:rPr>
          <w:rFonts w:ascii="Times New Roman" w:hAnsi="Times New Roman" w:cs="Times New Roman" w:eastAsia="黑体"/>
          <w:b/>
          <w:sz w:val="30"/>
        </w:rPr>
        <w:t>2.4 事件分数构成与事件窗口统计</w:t>
      </w:r>
    </w:p>
    <w:p>
      <w:pPr>
        <w:spacing w:before="0" w:after="0" w:line="300" w:lineRule="auto"/>
        <w:ind w:firstLine="480"/>
        <w:jc w:val="both"/>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c</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y</m:t>
        </m:r>
        <m:r>
          <m:t>,</m:t>
        </m:r>
        <m:r>
          <m:t>i</m:t>
        </m:r>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m:t>
            </m:r>
            <m:r>
              <m:t>,</m:t>
            </m:r>
            <m:r>
              <m:t>i</m:t>
            </m:r>
          </m:sub>
        </m:sSub>
        <m:r>
          <m:t>=</m:t>
        </m:r>
        <m:f>
          <m:num>
            <m:sSub>
              <m:sSubPr/>
              <m:e>
                <m:r>
                  <m:t>a</m:t>
                </m:r>
              </m:e>
              <m:sub>
                <m:r>
                  <m:t>t</m:t>
                </m:r>
                <m:r>
                  <m:t>,</m:t>
                </m:r>
                <m:r>
                  <m:t>i</m:t>
                </m:r>
              </m:sub>
            </m:sSub>
          </m:num>
          <m:den>
            <m:r>
              <m:t>max</m:t>
            </m:r>
            <m:r>
              <m:t>⁡</m:t>
            </m:r>
            <m:r>
              <m:t>(</m:t>
            </m:r>
            <m:sSub>
              <m:sSubPr/>
              <m:e>
                <m:r>
                  <m:t>σ</m:t>
                </m:r>
              </m:e>
              <m:sub>
                <m:r>
                  <m:t>a</m:t>
                </m:r>
                <m:r>
                  <m:t>,</m:t>
                </m:r>
                <m:r>
                  <m:t>i</m:t>
                </m:r>
              </m:sub>
            </m:sSub>
            <m:r>
              <m:t>,</m:t>
            </m:r>
            <m:r>
              <m:t>ε</m:t>
            </m:r>
            <m:r>
              <m:t>)</m:t>
            </m:r>
          </m:den>
        </m:f>
        <m:r>
          <m:t>+</m:t>
        </m:r>
        <m:f>
          <m:num>
            <m:sSub>
              <m:sSubPr/>
              <m:e>
                <m:r>
                  <m:t>d</m:t>
                </m:r>
              </m:e>
              <m:sub>
                <m:r>
                  <m:t>t</m:t>
                </m:r>
                <m:r>
                  <m:t>,</m:t>
                </m:r>
                <m:r>
                  <m:t>i</m:t>
                </m:r>
              </m:sub>
            </m:sSub>
          </m:num>
          <m:den>
            <m:r>
              <m:t>max</m:t>
            </m:r>
            <m:r>
              <m:t>⁡</m:t>
            </m:r>
            <m:r>
              <m:t>(</m:t>
            </m:r>
            <m:sSub>
              <m:sSubPr/>
              <m:e>
                <m:r>
                  <m:t>σ</m:t>
                </m:r>
              </m:e>
              <m:sub>
                <m:r>
                  <m:t>d</m:t>
                </m:r>
                <m:r>
                  <m:t>,</m:t>
                </m:r>
                <m:r>
                  <m:t>i</m:t>
                </m:r>
              </m:sub>
            </m:sSub>
            <m:r>
              <m:t>,</m:t>
            </m:r>
            <m:r>
              <m:t>ε</m:t>
            </m:r>
            <m:r>
              <m:t>)</m:t>
            </m:r>
          </m:den>
        </m:f>
        <m:r>
          <m:t>+</m:t>
        </m:r>
        <m:f>
          <m:num>
            <m:r>
              <m:t>|</m:t>
            </m:r>
            <m:sSub>
              <m:sSubPr/>
              <m:e>
                <m:r>
                  <m:t>c</m:t>
                </m:r>
              </m:e>
              <m:sub>
                <m:r>
                  <m:t>t</m:t>
                </m:r>
                <m:r>
                  <m:t>,</m:t>
                </m:r>
                <m:r>
                  <m:t>i</m:t>
                </m:r>
              </m:sub>
            </m:sSub>
            <m:r>
              <m:t>−</m:t>
            </m:r>
            <m:sSub>
              <m:sSubPr/>
              <m:e>
                <m:r>
                  <m:t>c</m:t>
                </m:r>
              </m:e>
              <m:sub>
                <m:r>
                  <m:t>t</m:t>
                </m:r>
                <m:r>
                  <m:t>−</m:t>
                </m:r>
                <m:r>
                  <m:t>1</m:t>
                </m:r>
                <m:r>
                  <m:t>,</m:t>
                </m:r>
                <m:r>
                  <m:t>i</m:t>
                </m:r>
              </m:sub>
            </m:sSub>
            <m:r>
              <m:t>|</m:t>
            </m:r>
          </m:num>
          <m:den>
            <m:r>
              <m:t>max</m:t>
            </m:r>
            <m:r>
              <m:t>⁡</m:t>
            </m:r>
            <m:r>
              <m:t>(</m:t>
            </m:r>
            <m:sSub>
              <m:sSubPr/>
              <m:e>
                <m:r>
                  <m:t>σ</m:t>
                </m:r>
              </m:e>
              <m:sub>
                <m:r>
                  <m:t>Δ</m:t>
                </m:r>
                <m:r>
                  <m:t>c</m:t>
                </m:r>
                <m:r>
                  <m:t>,</m:t>
                </m:r>
                <m:r>
                  <m:t>i</m:t>
                </m:r>
              </m:sub>
            </m:sSub>
            <m:r>
              <m:t>,</m:t>
            </m:r>
            <m:r>
              <m:t>ε</m:t>
            </m:r>
            <m:r>
              <m:t>)</m:t>
            </m:r>
          </m:den>
        </m:f>
        <m:r>
          <m:t>+</m:t>
        </m:r>
        <m:f>
          <m:num>
            <m:r>
              <m:t>|</m:t>
            </m:r>
            <m:sSub>
              <m:sSubPr/>
              <m:e>
                <m:r>
                  <m:t>y</m:t>
                </m:r>
              </m:e>
              <m:sub>
                <m:r>
                  <m:t>t</m:t>
                </m:r>
                <m:r>
                  <m:t>,</m:t>
                </m:r>
                <m:r>
                  <m:t>i</m:t>
                </m:r>
              </m:sub>
            </m:sSub>
            <m:r>
              <m:t>−</m:t>
            </m:r>
            <m:sSub>
              <m:sSubPr/>
              <m:e>
                <m:r>
                  <m:t>y</m:t>
                </m:r>
              </m:e>
              <m:sub>
                <m:r>
                  <m:t>t</m:t>
                </m:r>
                <m:r>
                  <m:t>−</m:t>
                </m:r>
                <m:r>
                  <m:t>1</m:t>
                </m:r>
                <m:r>
                  <m:t>,</m:t>
                </m:r>
                <m:r>
                  <m:t>i</m:t>
                </m:r>
              </m:sub>
            </m:sSub>
            <m:r>
              <m:t>|</m:t>
            </m:r>
          </m:num>
          <m:den>
            <m:r>
              <m:t>max</m:t>
            </m:r>
            <m:r>
              <m:t>⁡</m:t>
            </m:r>
            <m:r>
              <m:t>(</m:t>
            </m:r>
            <m:sSub>
              <m:sSubPr/>
              <m:e>
                <m:r>
                  <m:t>σ</m:t>
                </m:r>
              </m:e>
              <m:sub>
                <m:r>
                  <m:t>Δ</m:t>
                </m:r>
                <m:r>
                  <m:t>y</m:t>
                </m:r>
                <m:r>
                  <m:t>,</m:t>
                </m:r>
                <m:r>
                  <m:t>i</m:t>
                </m:r>
              </m:sub>
            </m:sSub>
            <m:r>
              <m:t>,</m:t>
            </m:r>
            <m:r>
              <m:t>ε</m:t>
            </m:r>
            <m:r>
              <m:t>)</m:t>
            </m:r>
          </m:den>
        </m:f>
        <m:r>
          <m:t>,</m:t>
        </m:r>
      </m:oMath>
      <w:r>
        <w:tab/>
      </w:r>
      <w:r>
        <w:rPr>
          <w:rFonts w:ascii="Times New Roman" w:hAnsi="Times New Roman" w:cs="Times New Roman" w:eastAsia="宋体"/>
          <w:sz w:val="21"/>
        </w:rPr>
        <w:t>（2-2）</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6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pPr>
      <w:r>
        <w:rPr>
          <w:rFonts w:ascii="Times New Roman" w:hAnsi="Times New Roman" w:cs="Times New Roman" w:eastAsia="宋体"/>
          <w:b w:val="0"/>
          <w:sz w:val="24"/>
        </w:rPr>
        <w:t>标签事件时间步的日内分布见图2-8，可见事件并非在一天内均匀出现。图2-9进一步展示冻结规则事件窗口中四个标准化分量的节点平均贡献；由于规则分数是各分量的非负加和，该图用于描述规则窗口内可见行为的构成，不表示分量对预测误差的因果贡献。</w:t>
      </w:r>
    </w:p>
    <w:p>
      <w:pPr>
        <w:spacing w:before="60" w:after="60" w:line="240" w:lineRule="auto"/>
        <w:ind w:firstLine="0"/>
        <w:jc w:val="center"/>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69"/>
                    <a:stretch>
                      <a:fillRect/>
                    </a:stretch>
                  </pic:blipFill>
                  <pic:spPr>
                    <a:xfrm>
                      <a:off x="0" y="0"/>
                      <a:ext cx="5112000" cy="259881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图2-8 标签事件时间步的日内分布</w:t>
      </w:r>
    </w:p>
    <w:p>
      <w:pPr>
        <w:spacing w:before="0" w:after="0" w:line="300" w:lineRule="auto"/>
        <w:ind w:firstLine="480"/>
        <w:jc w:val="both"/>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pPr>
      <w:r>
        <w:drawing>
          <wp:inline xmlns:a="http://schemas.openxmlformats.org/drawingml/2006/main" xmlns:pic="http://schemas.openxmlformats.org/drawingml/2006/picture">
            <wp:extent cx="5112000" cy="256117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0"/>
                    <a:stretch>
                      <a:fillRect/>
                    </a:stretch>
                  </pic:blipFill>
                  <pic:spPr>
                    <a:xfrm>
                      <a:off x="0" y="0"/>
                      <a:ext cx="5112000" cy="25611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图2-9 冻结规则事件窗口的分量构成</w:t>
      </w:r>
    </w:p>
    <w:p>
      <w:pPr>
        <w:spacing w:before="0" w:after="0" w:line="300" w:lineRule="auto"/>
        <w:ind w:firstLine="480"/>
        <w:jc w:val="both"/>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H</m:t>
        </m:r>
        <m:r>
          <m:t>,</m:t>
        </m:r>
        <m:r>
          <m:t>N</m:t>
        </m:r>
        <m: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N</m:t>
        </m:r>
        <m: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1"/>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pPr>
      <w:r>
        <w:rPr>
          <w:rFonts w:ascii="Times New Roman" w:hAnsi="Times New Roman" w:cs="Times New Roman" w:eastAsia="宋体"/>
          <w:b w:val="0"/>
          <w:sz w:val="18"/>
        </w:rPr>
        <w:t>注：target_event用于事后分层评价，rule_trigger用于冻结规则路由；两者共同定义四格诊断。原始张量分别为[S,H,N]与[S,N]，后者广播到预测步后，两项比例1.43%和0.43%均以712,360个测试预测键为分母。两者定义和信息时点不同，不能将目标侧标签用于预测时路由。</w:t>
      </w:r>
    </w:p>
    <w:p>
      <w:pPr>
        <w:spacing w:before="0" w:after="0" w:line="300" w:lineRule="auto"/>
        <w:ind w:firstLine="480"/>
        <w:jc w:val="both"/>
      </w:pPr>
      <w:r>
        <w:rPr>
          <w:rFonts w:ascii="Times New Roman" w:hAnsi="Times New Roman" w:cs="Times New Roman" w:eastAsia="宋体"/>
          <w:b w:val="0"/>
          <w:sz w:val="24"/>
        </w:rPr>
        <w:t>逐节点验证统计见表2-5。验证集非零事件分数占比为0.20%～1.06%，冻结阈值为18.9～32.5；原始触发点占节点时间片的0.011%～0.056%，向未来扩展后占0.034%～0.168%。在测试集上，规则共产生254个连续窗口，其中253个长度为3个时间片，1个因相邻触发合并为6个时间片。</w:t>
      </w:r>
    </w:p>
    <w:p>
      <w:pPr>
        <w:keepNext/>
        <w:spacing w:before="60" w:after="60" w:line="240" w:lineRule="auto"/>
        <w:ind w:firstLine="0"/>
        <w:jc w:val="center"/>
      </w:pPr>
      <w:r>
        <w:rPr>
          <w:rFonts w:ascii="Times New Roman" w:hAnsi="Times New Roman" w:cs="Times New Roman" w:eastAsia="黑体"/>
          <w:b w:val="0"/>
          <w:sz w:val="21"/>
        </w:rPr>
        <w:t>表2-5 逐节点冻结规则事件统计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验证集非零分数占比/%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冻结阈值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验证集触发点占比/%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验证集前向窗口占比/%</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0.82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0.067</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25.5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0.79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0.168</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0.168</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0.44</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24.5</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0.022</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0.067</w:t>
            </w:r>
          </w:p>
        </w:tc>
      </w:tr>
    </w:tbl>
    <w:p>
      <w:pPr>
        <w:spacing w:before="0" w:after="0" w:line="300" w:lineRule="auto"/>
        <w:ind w:firstLine="480"/>
        <w:jc w:val="both"/>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pPr>
      <w:r>
        <w:rPr>
          <w:rFonts w:ascii="Times New Roman" w:hAnsi="Times New Roman" w:cs="Times New Roman" w:eastAsia="黑体"/>
          <w:b/>
          <w:sz w:val="30"/>
        </w:rPr>
        <w:t>2.5 特征构成与输入结构</w:t>
      </w:r>
    </w:p>
    <w:p>
      <w:pPr>
        <w:spacing w:before="0" w:after="0" w:line="300" w:lineRule="auto"/>
        <w:ind w:firstLine="480"/>
        <w:jc w:val="both"/>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-6。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keepNext/>
        <w:spacing w:before="60" w:after="60" w:line="240" w:lineRule="auto"/>
        <w:ind w:firstLine="0"/>
        <w:jc w:val="center"/>
      </w:pPr>
      <w:r>
        <w:rPr>
          <w:rFonts w:ascii="Times New Roman" w:hAnsi="Times New Roman" w:cs="Times New Roman" w:eastAsia="黑体"/>
          <w:b w:val="0"/>
          <w:sz w:val="21"/>
        </w:rPr>
        <w:t>表2-6 输入特征的全量描述性统计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特征</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含义</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最大值</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load</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节点代理负荷</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access_count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新接入会话数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departure_count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离站会话数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active_count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活跃会话数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0.2164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occupancy_rate</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占用率</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demand_intensity</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需求强度</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2.9671</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load_jump_flag</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负荷突变标志</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0.0014</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r>
    </w:tbl>
    <w:p>
      <w:pPr>
        <w:spacing w:before="0" w:after="0" w:line="300" w:lineRule="auto"/>
        <w:ind w:firstLine="480"/>
        <w:jc w:val="both"/>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2"/>
                    <a:stretch>
                      <a:fillRect/>
                    </a:stretch>
                  </pic:blipFill>
                  <pic:spPr>
                    <a:xfrm>
                      <a:off x="0" y="0"/>
                      <a:ext cx="5112000" cy="4294347"/>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图2-11 输入特征Spearman秩相关矩阵</w:t>
      </w:r>
    </w:p>
    <w:p>
      <w:pPr>
        <w:spacing w:before="0" w:after="0" w:line="300" w:lineRule="auto"/>
        <w:ind w:firstLine="480"/>
        <w:jc w:val="both"/>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3"/>
                    <a:stretch>
                      <a:fillRect/>
                    </a:stretch>
                  </pic:blipFill>
                  <pic:spPr>
                    <a:xfrm>
                      <a:off x="0" y="0"/>
                      <a:ext cx="5112000" cy="246346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96</m:t>
        </m:r>
        <m:r>
          <m:t>×</m:t>
        </m:r>
        <m:r>
          <m:t>10</m:t>
        </m:r>
        <m:r>
          <m:t>×</m:t>
        </m:r>
        <m: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4</m:t>
        </m:r>
        <m:r>
          <m:t>×</m:t>
        </m:r>
        <m: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pPr>
      <w:r>
        <w:rPr>
          <w:rFonts w:ascii="Times New Roman" w:hAnsi="Times New Roman" w:cs="Times New Roman" w:eastAsia="黑体"/>
          <w:b/>
          <w:sz w:val="30"/>
        </w:rPr>
        <w:t>2.6 数据特征对建模的启示</w:t>
      </w:r>
    </w:p>
    <w:p>
      <w:pPr>
        <w:spacing w:before="0" w:after="0" w:line="300" w:lineRule="auto"/>
        <w:ind w:firstLine="480"/>
        <w:jc w:val="both"/>
      </w:pPr>
      <w:r>
        <w:rPr>
          <w:rFonts w:ascii="Times New Roman" w:hAnsi="Times New Roman" w:cs="Times New Roman" w:eastAsia="宋体"/>
          <w:b w:val="0"/>
          <w:sz w:val="24"/>
        </w:rPr>
        <w:t>本章的数据审计与统计分析对后续方法设计形成以下约束。</w:t>
      </w:r>
    </w:p>
    <w:p>
      <w:pPr>
        <w:spacing w:before="0" w:after="0" w:line="300" w:lineRule="auto"/>
        <w:ind w:firstLine="480"/>
        <w:jc w:val="both"/>
      </w:pPr>
      <w:r>
        <w:rPr>
          <w:rFonts w:ascii="Times New Roman" w:hAnsi="Times New Roman" w:cs="Times New Roman" w:eastAsia="宋体"/>
          <w:b w:val="0"/>
          <w:sz w:val="24"/>
        </w:rPr>
        <w:t>第一，节点代理负荷大量为零且非零部分具有长尾，单一相对误差指标容易受到零分母影响。因此，第3章以MAE和RMSE作为主要绝对误差指标，并辅以WAPE刻画总体相对偏差，不将MAPE作为主指标；第3章报告事件、稳定和非零负荷分层，第4章再以目标侧标签事件和冻结规则触发构造四格，以免全局平均值掩盖低频高误差区域。</w:t>
      </w:r>
    </w:p>
    <w:p>
      <w:pPr>
        <w:spacing w:before="0" w:after="0" w:line="300" w:lineRule="auto"/>
        <w:ind w:firstLine="480"/>
        <w:jc w:val="both"/>
      </w:pPr>
      <w:r>
        <w:rPr>
          <w:rFonts w:ascii="Times New Roman" w:hAnsi="Times New Roman" w:cs="Times New Roman" w:eastAsia="宋体"/>
          <w:b w:val="0"/>
          <w:sz w:val="24"/>
        </w:rPr>
        <w:t>第二，节点活跃度、幅值和周期依赖存在明显差异，同时站内节点共享相同时间环境并呈现多种统计联系。这为第3章分别从负荷耦合、行为共现和轮廓相似三个角度构建关系图提供了数据动机。上述关系属于训练期统计结构，其有效性仍需通过统一预测协议和消融实验检验，不能由本章的描述性相关直接推出。</w:t>
      </w:r>
    </w:p>
    <w:p>
      <w:pPr>
        <w:spacing w:before="0" w:after="0" w:line="300" w:lineRule="auto"/>
        <w:ind w:firstLine="480"/>
        <w:jc w:val="both"/>
      </w:pPr>
      <w:r>
        <w:rPr>
          <w:rFonts w:ascii="Times New Roman" w:hAnsi="Times New Roman" w:cs="Times New Roman" w:eastAsia="宋体"/>
          <w:b w:val="0"/>
          <w:sz w:val="24"/>
        </w:rPr>
        <w:t>第三，目标侧标签事件占测试预测键的1.43%，冻结规则触发仅占0.43%，说明事件既稀少，又存在“标签发生”与“可见规则触发”的错位。本文据此在第4章使用四格诊断区分两种口径，在第5章探索冻结规则路由下的分层共形预测，并把标签事件分层仅作为预测时不可用的事后参照。该统计事实并不预先保证事件特征或规则路由能够降低点预测误差，也不把未来标签作为预测输入。</w:t>
      </w:r>
    </w:p>
    <w:p>
      <w:pPr>
        <w:spacing w:before="0" w:after="0" w:line="300" w:lineRule="auto"/>
        <w:ind w:firstLine="480"/>
        <w:jc w:val="both"/>
      </w:pPr>
      <w:r>
        <w:rPr>
          <w:rFonts w:ascii="Times New Roman" w:hAnsi="Times New Roman" w:cs="Times New Roman" w:eastAsia="宋体"/>
          <w:b w:val="0"/>
          <w:sz w:val="24"/>
        </w:rPr>
        <w:t>第四，输入特征中既有高度相关的状态表征，也有非零率低于1%的行为变化信号。因此，后续模型保留完整7维输入以维持统一实验口径，并通过结构消融、门控参数干预和机制诊断判断模型如何使用这些信息，而不依据单次相关分析提前删除特征。</w:t>
      </w:r>
    </w:p>
    <w:p>
      <w:pPr>
        <w:spacing w:before="360" w:after="240" w:line="360" w:lineRule="auto"/>
        <w:ind w:firstLine="0"/>
        <w:jc w:val="both"/>
        <w:outlineLvl w:val="1"/>
      </w:pPr>
      <w:r>
        <w:rPr>
          <w:rFonts w:ascii="Times New Roman" w:hAnsi="Times New Roman" w:cs="Times New Roman" w:eastAsia="黑体"/>
          <w:b/>
          <w:sz w:val="30"/>
        </w:rPr>
        <w:t>2.7 本章小结</w:t>
      </w:r>
    </w:p>
    <w:p>
      <w:pPr>
        <w:spacing w:before="0" w:after="0" w:line="300" w:lineRule="auto"/>
        <w:ind w:firstLine="480"/>
        <w:jc w:val="both"/>
      </w:pPr>
      <w:r>
        <w:rPr>
          <w:rFonts w:ascii="Times New Roman" w:hAnsi="Times New Roman" w:cs="Times New Roman" w:eastAsia="宋体"/>
          <w:b w:val="0"/>
          <w:sz w:val="24"/>
        </w:rPr>
        <w:t>本章完成了从原始充电会话记录到节点预测张量的数据链路说明。31,424条会话记录覆盖约3.39年，经15 min规则时间片重构后形成118,818步、55个候选节点的数据。本文将会话总交付电量在接入至断开时段内均匀分摊，所得kWh/15 min变量定义为节点代理负荷，并明确其不同于瞬时功率和电表实测功率。通过只依赖训练期和验证期统计量的六项筛选条件，最终冻结10个主分析节点；时间片、标识、张量、划分和测试边界等9项质量门禁均通过。</w:t>
      </w:r>
    </w:p>
    <w:p>
      <w:pPr>
        <w:spacing w:before="0" w:after="0" w:line="300" w:lineRule="auto"/>
        <w:ind w:firstLine="480"/>
        <w:jc w:val="both"/>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59"/>
          <w:headerReference w:type="even" r:id="rId60"/>
          <w:footerReference w:type="default" r:id="rId61"/>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pPr>
      <w:r>
        <w:rPr>
          <w:rFonts w:ascii="Times New Roman" w:hAnsi="Times New Roman" w:cs="Times New Roman" w:eastAsia="黑体"/>
          <w:b/>
          <w:sz w:val="30"/>
        </w:rPr>
        <w:t>3.1 引言</w:t>
      </w:r>
    </w:p>
    <w:p>
      <w:pPr>
        <w:spacing w:before="0" w:after="0" w:line="300" w:lineRule="auto"/>
        <w:ind w:firstLine="480"/>
        <w:jc w:val="both"/>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77"/>
                    <a:stretch>
                      <a:fillRect/>
                    </a:stretch>
                  </pic:blipFill>
                  <pic:spPr>
                    <a:xfrm>
                      <a:off x="0" y="0"/>
                      <a:ext cx="5112000" cy="6816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 MRG-GCN整体架构</w:t>
      </w:r>
    </w:p>
    <w:p>
      <w:pPr>
        <w:spacing w:before="0" w:after="0" w:line="300" w:lineRule="auto"/>
        <w:ind w:firstLine="480"/>
        <w:jc w:val="both"/>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7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图3-2 多关系门控传播单元</w:t>
      </w:r>
    </w:p>
    <w:p>
      <w:pPr>
        <w:spacing w:before="0" w:after="0" w:line="300" w:lineRule="auto"/>
        <w:ind w:firstLine="480"/>
        <w:jc w:val="both"/>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w:t>
      </w:r>
    </w:p>
    <w:p>
      <w:pPr>
        <w:spacing w:before="60" w:after="60" w:line="240" w:lineRule="auto"/>
        <w:ind w:firstLine="0"/>
        <w:jc w:val="center"/>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79"/>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图3-3 时间编码与跨层融合预测结构</w:t>
      </w:r>
    </w:p>
    <w:p>
      <w:pPr>
        <w:spacing w:before="0" w:after="0" w:line="300" w:lineRule="auto"/>
        <w:ind w:firstLine="480"/>
        <w:jc w:val="both"/>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仅作为第二层传播输入。</w:t>
      </w:r>
    </w:p>
    <w:p>
      <w:pPr>
        <w:spacing w:before="360" w:after="240" w:line="360" w:lineRule="auto"/>
        <w:ind w:firstLine="0"/>
        <w:jc w:val="both"/>
        <w:outlineLvl w:val="1"/>
      </w:pPr>
      <w:r>
        <w:rPr>
          <w:rFonts w:ascii="Times New Roman" w:hAnsi="Times New Roman" w:cs="Times New Roman" w:eastAsia="黑体"/>
          <w:b/>
          <w:sz w:val="30"/>
        </w:rPr>
        <w:t>3.2 预测任务形式化定义</w:t>
      </w:r>
    </w:p>
    <w:p>
      <w:pPr>
        <w:spacing w:before="0" w:after="0" w:line="300" w:lineRule="auto"/>
        <w:ind w:firstLine="480"/>
        <w:jc w:val="both"/>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𝒱</m:t>
        </m:r>
        <m:r>
          <m:t>=</m:t>
        </m:r>
        <m:r>
          <m:t>{</m:t>
        </m:r>
        <m:sSub>
          <m:sSubPr/>
          <m:e>
            <m:r>
              <m:t>v</m:t>
            </m:r>
          </m:e>
          <m:sub>
            <m:r>
              <m:t>1</m:t>
            </m:r>
          </m:sub>
        </m:sSub>
        <m:r>
          <m:t>,</m:t>
        </m:r>
        <m:r>
          <m:t>…</m:t>
        </m:r>
        <m:r>
          <m:t>,</m:t>
        </m:r>
        <m:sSub>
          <m:sSubPr/>
          <m:e>
            <m:r>
              <m:t>v</m:t>
            </m:r>
          </m:e>
          <m:sub>
            <m:r>
              <m:t>N</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m:t>
        </m:r>
        <m: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𝐗</m:t>
            </m:r>
          </m:e>
          <m:sub>
            <m:r>
              <m:t>o</m:t>
            </m:r>
          </m:sub>
        </m:sSub>
        <m:r>
          <m:t>∈</m:t>
        </m:r>
        <m:sSup>
          <m:sSupPr/>
          <m:e>
            <m:r>
              <m:t>ℝ</m:t>
            </m:r>
          </m:e>
          <m:sup>
            <m:r>
              <m:t>H</m:t>
            </m:r>
            <m:r>
              <m:t>×</m:t>
            </m:r>
            <m:r>
              <m:t>N</m:t>
            </m:r>
            <m:r>
              <m:t>×</m:t>
            </m:r>
            <m:r>
              <m:t>F</m:t>
            </m:r>
          </m:sup>
        </m:sSup>
        <m:r>
          <m:t>,</m:t>
        </m:r>
        <m:r>
          <m:t>H</m:t>
        </m:r>
        <m:r>
          <m:t>=</m:t>
        </m:r>
        <m:r>
          <m:t>96</m:t>
        </m:r>
        <m:r>
          <m:t>,</m:t>
        </m:r>
        <m:r>
          <m:t> </m:t>
        </m:r>
        <m:r>
          <m:t>F</m:t>
        </m:r>
        <m:r>
          <m:t>=</m:t>
        </m:r>
        <m:r>
          <m:t>7</m:t>
        </m:r>
        <m:r>
          <m:t>,</m:t>
        </m:r>
      </m:oMath>
      <w:r>
        <w:tab/>
      </w:r>
      <w:r>
        <w:rPr>
          <w:rFonts w:ascii="Times New Roman" w:hAnsi="Times New Roman" w:cs="Times New Roman" w:eastAsia="宋体"/>
          <w:sz w:val="21"/>
        </w:rPr>
        <w:t>（3-1）</w:t>
      </w:r>
    </w:p>
    <w:p>
      <w:pPr>
        <w:spacing w:before="0" w:after="0" w:line="300" w:lineRule="auto"/>
        <w:ind w:firstLine="480"/>
        <w:jc w:val="both"/>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𝐘</m:t>
            </m:r>
            <m:r>
              <m:t>ˆ</m:t>
            </m:r>
          </m:e>
          <m:sub>
            <m:r>
              <m:t>o</m:t>
            </m:r>
          </m:sub>
        </m:sSub>
        <m:r>
          <m:t>=</m:t>
        </m:r>
        <m:sSub>
          <m:sSubPr/>
          <m:e>
            <m:r>
              <m:t>f</m:t>
            </m:r>
          </m:e>
          <m:sub>
            <m:r>
              <m:t>θ</m:t>
            </m:r>
          </m:sub>
        </m:sSub>
        <m:r>
          <m:t>(</m:t>
        </m:r>
        <m:sSub>
          <m:sSubPr/>
          <m:e>
            <m:r>
              <m:t>𝐗</m:t>
            </m:r>
          </m:e>
          <m:sub>
            <m:r>
              <m:t>o</m:t>
            </m:r>
          </m:sub>
        </m:sSub>
        <m:r>
          <m:t>,</m:t>
        </m:r>
        <m:r>
          <m:t>𝒜</m:t>
        </m:r>
        <m:r>
          <m:t>)</m:t>
        </m:r>
        <m:r>
          <m:t>,</m:t>
        </m:r>
        <m:sSub>
          <m:sSubPr/>
          <m:e>
            <m:r>
              <m:t>𝐘</m:t>
            </m:r>
            <m:r>
              <m:t>ˆ</m:t>
            </m:r>
          </m:e>
          <m:sub>
            <m:r>
              <m:t>o</m:t>
            </m:r>
          </m:sub>
        </m:sSub>
        <m:r>
          <m:t>,</m:t>
        </m:r>
        <m:sSub>
          <m:sSubPr/>
          <m:e>
            <m:r>
              <m:t>𝐘</m:t>
            </m:r>
          </m:e>
          <m:sub>
            <m:r>
              <m:t>o</m:t>
            </m:r>
          </m:sub>
        </m:sSub>
        <m:r>
          <m:t>∈</m:t>
        </m:r>
        <m:sSup>
          <m:sSupPr/>
          <m:e>
            <m:r>
              <m:t>ℝ</m:t>
            </m:r>
          </m:e>
          <m:sup>
            <m:r>
              <m:t>P</m:t>
            </m:r>
            <m:r>
              <m:t>×</m:t>
            </m:r>
            <m:r>
              <m:t>N</m:t>
            </m:r>
          </m:sup>
        </m:sSup>
        <m:r>
          <m:t>,</m:t>
        </m:r>
        <m:r>
          <m:t> </m:t>
        </m:r>
        <m:r>
          <m:t>P</m:t>
        </m:r>
        <m:r>
          <m:t>=</m:t>
        </m:r>
        <m:r>
          <m:t>4</m:t>
        </m:r>
        <m:r>
          <m:t>,</m:t>
        </m:r>
      </m:oMath>
      <w:r>
        <w:tab/>
      </w:r>
      <w:r>
        <w:rPr>
          <w:rFonts w:ascii="Times New Roman" w:hAnsi="Times New Roman" w:cs="Times New Roman" w:eastAsia="宋体"/>
          <w:sz w:val="21"/>
        </w:rPr>
        <w:t>（3-2）</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f</m:t>
            </m:r>
          </m:e>
          <m:sub>
            <m: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pPr>
      <w:r>
        <w:rPr>
          <w:rFonts w:ascii="Times New Roman" w:hAnsi="Times New Roman" w:cs="Times New Roman" w:eastAsia="黑体"/>
          <w:b/>
          <w:sz w:val="30"/>
        </w:rPr>
        <w:t>3.3 场景驱动的LRE三关系图构建</w:t>
      </w:r>
    </w:p>
    <w:p>
      <w:pPr>
        <w:spacing w:before="0" w:after="0" w:line="300" w:lineRule="auto"/>
        <w:ind w:firstLine="480"/>
        <w:jc w:val="both"/>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pPr>
      <w:r>
        <w:drawing>
          <wp:inline xmlns:a="http://schemas.openxmlformats.org/drawingml/2006/main" xmlns:pic="http://schemas.openxmlformats.org/drawingml/2006/picture">
            <wp:extent cx="5112000" cy="3408000"/>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0"/>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图3-4 LRE三关系构建流程</w:t>
      </w:r>
    </w:p>
    <w:p>
      <w:pPr>
        <w:spacing w:before="0" w:after="0" w:line="300" w:lineRule="auto"/>
        <w:ind w:firstLine="480"/>
        <w:jc w:val="both"/>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pPr>
      <w:r>
        <w:rPr>
          <w:rFonts w:ascii="Times New Roman" w:hAnsi="Times New Roman" w:cs="Times New Roman" w:eastAsia="黑体"/>
          <w:b w:val="0"/>
          <w:sz w:val="28"/>
        </w:rPr>
        <w:t>3.3.1 负荷耦合关系图</w:t>
      </w:r>
    </w:p>
    <w:p>
      <w:pPr>
        <w:spacing w:before="0" w:after="0" w:line="300" w:lineRule="auto"/>
        <w:ind w:firstLine="480"/>
        <w:jc w:val="both"/>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𝐥</m:t>
            </m:r>
          </m:e>
          <m:sub>
            <m:r>
              <m:t>i</m:t>
            </m:r>
          </m:sub>
        </m:sSub>
        <m:r>
          <m:t>∈</m:t>
        </m:r>
        <m:sSup>
          <m:sSupPr/>
          <m:e>
            <m:r>
              <m:t>ℝ</m:t>
            </m:r>
          </m:e>
          <m:sup>
            <m: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load</m:t>
            </m:r>
          </m:sup>
        </m:sSubSup>
        <m:r>
          <m:t>=</m:t>
        </m:r>
        <m:r>
          <m:t>|</m:t>
        </m:r>
        <m:f>
          <m:num>
            <m:sSup>
              <m:sSupPr/>
              <m:e>
                <m:r>
                  <m:t>(</m:t>
                </m:r>
                <m:sSub>
                  <m:sSubPr/>
                  <m:e>
                    <m:r>
                      <m:t>𝐥</m:t>
                    </m:r>
                  </m:e>
                  <m:sub>
                    <m:r>
                      <m:t>i</m:t>
                    </m:r>
                  </m:sub>
                </m:sSub>
                <m:r>
                  <m:t>−</m:t>
                </m:r>
                <m:sSub>
                  <m:sSubPr/>
                  <m:e>
                    <m:r>
                      <m:t>l</m:t>
                    </m:r>
                    <m:r>
                      <m:t>‾</m:t>
                    </m:r>
                  </m:e>
                  <m:sub>
                    <m:r>
                      <m:t>i</m:t>
                    </m:r>
                  </m:sub>
                </m:sSub>
                <m:r>
                  <m:t>)</m:t>
                </m:r>
              </m:e>
              <m:sup>
                <m:r>
                  <m:t>𝖳</m:t>
                </m:r>
              </m:sup>
            </m:sSup>
            <m:r>
              <m:t>(</m:t>
            </m:r>
            <m:sSub>
              <m:sSubPr/>
              <m:e>
                <m:r>
                  <m:t>𝐥</m:t>
                </m:r>
              </m:e>
              <m:sub>
                <m:r>
                  <m:t>j</m:t>
                </m:r>
              </m:sub>
            </m:sSub>
            <m:r>
              <m:t>−</m:t>
            </m:r>
            <m:sSub>
              <m:sSubPr/>
              <m:e>
                <m:r>
                  <m:t>l</m:t>
                </m:r>
                <m:r>
                  <m:t>‾</m:t>
                </m:r>
              </m:e>
              <m:sub>
                <m:r>
                  <m:t>j</m:t>
                </m:r>
              </m:sub>
            </m:sSub>
            <m:r>
              <m:t>)</m:t>
            </m:r>
          </m:num>
          <m:den>
            <m:r>
              <m:t>‖</m:t>
            </m:r>
            <m:sSub>
              <m:sSubPr/>
              <m:e>
                <m:r>
                  <m:t>𝐥</m:t>
                </m:r>
              </m:e>
              <m:sub>
                <m:r>
                  <m:t>i</m:t>
                </m:r>
              </m:sub>
            </m:sSub>
            <m:r>
              <m:t>−</m:t>
            </m:r>
            <m:sSub>
              <m:sSubPr/>
              <m:e>
                <m:r>
                  <m:t>l</m:t>
                </m:r>
                <m:r>
                  <m:t>‾</m:t>
                </m:r>
              </m:e>
              <m:sub>
                <m:r>
                  <m:t>i</m:t>
                </m:r>
              </m:sub>
            </m:sSub>
            <m:sSub>
              <m:sSubPr/>
              <m:e>
                <m:r>
                  <m:t>‖</m:t>
                </m:r>
              </m:e>
              <m:sub>
                <m:r>
                  <m:t>2</m:t>
                </m:r>
              </m:sub>
            </m:sSub>
            <m:r>
              <m:t>‖</m:t>
            </m:r>
            <m:sSub>
              <m:sSubPr/>
              <m:e>
                <m:r>
                  <m:t>𝐥</m:t>
                </m:r>
              </m:e>
              <m:sub>
                <m:r>
                  <m:t>j</m:t>
                </m:r>
              </m:sub>
            </m:sSub>
            <m:r>
              <m:t>−</m:t>
            </m:r>
            <m:sSub>
              <m:sSubPr/>
              <m:e>
                <m:r>
                  <m:t>l</m:t>
                </m:r>
                <m:r>
                  <m:t>‾</m:t>
                </m:r>
              </m:e>
              <m:sub>
                <m:r>
                  <m:t>j</m:t>
                </m:r>
              </m:sub>
            </m:sSub>
            <m:sSub>
              <m:sSubPr/>
              <m:e>
                <m:r>
                  <m:t>‖</m:t>
                </m:r>
              </m:e>
              <m:sub>
                <m:r>
                  <m:t>2</m:t>
                </m:r>
              </m:sub>
            </m:sSub>
          </m:den>
        </m:f>
        <m:r>
          <m:t>|</m:t>
        </m:r>
        <m:r>
          <m:t>.</m:t>
        </m:r>
      </m:oMath>
      <w:r>
        <w:tab/>
      </w:r>
      <w:r>
        <w:rPr>
          <w:rFonts w:ascii="Times New Roman" w:hAnsi="Times New Roman" w:cs="Times New Roman" w:eastAsia="宋体"/>
          <w:sz w:val="21"/>
        </w:rPr>
        <w:t>（3-3）</w:t>
      </w:r>
    </w:p>
    <w:p>
      <w:pPr>
        <w:spacing w:before="0" w:after="0" w:line="300" w:lineRule="auto"/>
        <w:ind w:firstLine="480"/>
        <w:jc w:val="both"/>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pPr>
      <w:r>
        <w:rPr>
          <w:rFonts w:ascii="Times New Roman" w:hAnsi="Times New Roman" w:cs="Times New Roman" w:eastAsia="黑体"/>
          <w:b w:val="0"/>
          <w:sz w:val="28"/>
        </w:rPr>
        <w:t>3.3.2 行为共现关系图</w:t>
      </w:r>
    </w:p>
    <w:p>
      <w:pPr>
        <w:spacing w:before="0" w:after="0" w:line="300" w:lineRule="auto"/>
        <w:ind w:firstLine="480"/>
        <w:jc w:val="both"/>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构造行为序列</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𝐛</m:t>
            </m:r>
          </m:e>
          <m:sub>
            <m:r>
              <m:t>i</m:t>
            </m:r>
          </m:sub>
        </m:sSub>
        <m:r>
          <m:t>=</m:t>
        </m:r>
        <m:sSubSup>
          <m:sSubSupPr/>
          <m:e>
            <m:r>
              <m:t>𝐱</m:t>
            </m:r>
          </m:e>
          <m:sub>
            <m:r>
              <m:t>i</m:t>
            </m:r>
          </m:sub>
          <m:sup>
            <m:r>
              <m:t>access</m:t>
            </m:r>
          </m:sup>
        </m:sSubSup>
        <m:r>
          <m:t>+</m:t>
        </m:r>
        <m:sSubSup>
          <m:sSubSupPr/>
          <m:e>
            <m:r>
              <m:t>𝐱</m:t>
            </m:r>
          </m:e>
          <m:sub>
            <m:r>
              <m:t>i</m:t>
            </m:r>
          </m:sub>
          <m:sup>
            <m:r>
              <m:t>departure</m:t>
            </m:r>
          </m:sup>
        </m:sSubSup>
        <m:r>
          <m:t>+</m:t>
        </m:r>
        <m:r>
          <m:t>|</m:t>
        </m:r>
        <m:r>
          <m:t>Δ</m:t>
        </m:r>
        <m:sSubSup>
          <m:sSubSupPr/>
          <m:e>
            <m:r>
              <m:t>𝐱</m:t>
            </m:r>
          </m:e>
          <m:sub>
            <m:r>
              <m:t>i</m:t>
            </m:r>
          </m:sub>
          <m:sup>
            <m:r>
              <m:t>active</m:t>
            </m:r>
          </m:sup>
        </m:sSubSup>
        <m: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event</m:t>
            </m:r>
          </m:sup>
        </m:sSubSup>
        <m:r>
          <m:t>=</m:t>
        </m:r>
        <m:f>
          <m:num>
            <m:sSubSup>
              <m:sSubSupPr/>
              <m:e>
                <m:r>
                  <m:t>𝐛</m:t>
                </m:r>
              </m:e>
              <m:sub>
                <m:r>
                  <m:t>i</m:t>
                </m:r>
              </m:sub>
              <m:sup>
                <m:r>
                  <m:t>𝖳</m:t>
                </m:r>
              </m:sup>
            </m:sSubSup>
            <m:sSub>
              <m:sSubPr/>
              <m:e>
                <m:r>
                  <m:t>𝐛</m:t>
                </m:r>
              </m:e>
              <m:sub>
                <m:r>
                  <m:t>j</m:t>
                </m:r>
              </m:sub>
            </m:sSub>
          </m:num>
          <m:den>
            <m:r>
              <m:t>‖</m:t>
            </m:r>
            <m:sSub>
              <m:sSubPr/>
              <m:e>
                <m:r>
                  <m:t>𝐛</m:t>
                </m:r>
              </m:e>
              <m:sub>
                <m:r>
                  <m:t>i</m:t>
                </m:r>
              </m:sub>
            </m:sSub>
            <m:sSub>
              <m:sSubPr/>
              <m:e>
                <m:r>
                  <m:t>‖</m:t>
                </m:r>
              </m:e>
              <m:sub>
                <m:r>
                  <m:t>2</m:t>
                </m:r>
              </m:sub>
            </m:sSub>
            <m:r>
              <m:t>‖</m:t>
            </m:r>
            <m:sSub>
              <m:sSubPr/>
              <m:e>
                <m:r>
                  <m:t>𝐛</m:t>
                </m:r>
              </m:e>
              <m:sub>
                <m:r>
                  <m:t>j</m:t>
                </m:r>
              </m:sub>
            </m:sSub>
            <m:sSub>
              <m:sSubPr/>
              <m:e>
                <m:r>
                  <m:t>‖</m:t>
                </m:r>
              </m:e>
              <m:sub>
                <m:r>
                  <m:t>2</m:t>
                </m:r>
              </m:sub>
            </m:sSub>
          </m:den>
        </m:f>
        <m:r>
          <m:t>.</m:t>
        </m:r>
      </m:oMath>
      <w:r>
        <w:tab/>
      </w:r>
      <w:r>
        <w:rPr>
          <w:rFonts w:ascii="Times New Roman" w:hAnsi="Times New Roman" w:cs="Times New Roman" w:eastAsia="宋体"/>
          <w:sz w:val="21"/>
        </w:rPr>
        <w:t>（3-4）</w:t>
      </w:r>
    </w:p>
    <w:p>
      <w:pPr>
        <w:spacing w:before="0" w:after="0" w:line="300" w:lineRule="auto"/>
        <w:ind w:firstLine="480"/>
        <w:jc w:val="both"/>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pPr>
      <w:r>
        <w:rPr>
          <w:rFonts w:ascii="Times New Roman" w:hAnsi="Times New Roman" w:cs="Times New Roman" w:eastAsia="黑体"/>
          <w:b w:val="0"/>
          <w:sz w:val="28"/>
        </w:rPr>
        <w:t>3.3.3 轮廓相似关系图</w:t>
      </w:r>
    </w:p>
    <w:p>
      <w:pPr>
        <w:spacing w:before="0" w:after="0" w:line="300" w:lineRule="auto"/>
        <w:ind w:firstLine="480"/>
        <w:jc w:val="both"/>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𝐩</m:t>
            </m:r>
          </m:e>
          <m:sub>
            <m:r>
              <m:t>i</m:t>
            </m:r>
          </m:sub>
        </m:sSub>
        <m:r>
          <m:t>∈</m:t>
        </m:r>
        <m:sSup>
          <m:sSupPr/>
          <m:e>
            <m:r>
              <m:t>ℝ</m:t>
            </m:r>
          </m:e>
          <m:sup>
            <m: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r>
          <m:t>j</m:t>
        </m:r>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d</m:t>
            </m:r>
          </m:e>
          <m:sub>
            <m:r>
              <m:t>i</m:t>
            </m:r>
            <m:r>
              <m:t>j</m:t>
            </m:r>
          </m:sub>
        </m:sSub>
        <m:r>
          <m:t>=</m:t>
        </m:r>
        <m:rad>
          <m:radPr>
            <m:degHide m:val="1"/>
          </m:radPr>
          <m:deg/>
          <m:e>
            <m:f>
              <m:num>
                <m:r>
                  <m:t>1</m:t>
                </m:r>
              </m:num>
              <m:den>
                <m:r>
                  <m:t>96</m:t>
                </m:r>
              </m:den>
            </m:f>
            <m:sSubSup>
              <m:sSubSupPr/>
              <m:e>
                <m:r>
                  <m:t>∑</m:t>
                </m:r>
              </m:e>
              <m:sub>
                <m:r>
                  <m:t>q</m:t>
                </m:r>
                <m:r>
                  <m:t>=</m:t>
                </m:r>
                <m:r>
                  <m:t>1</m:t>
                </m:r>
              </m:sub>
              <m:sup>
                <m:r>
                  <m:t>96</m:t>
                </m:r>
              </m:sup>
            </m:sSubSup>
            <m:sSup>
              <m:sSupPr/>
              <m:e>
                <m:r>
                  <m:t>(</m:t>
                </m:r>
                <m:sSub>
                  <m:sSubPr/>
                  <m:e>
                    <m:r>
                      <m:t>p</m:t>
                    </m:r>
                  </m:e>
                  <m:sub>
                    <m:r>
                      <m:t>i</m:t>
                    </m:r>
                    <m:r>
                      <m:t>q</m:t>
                    </m:r>
                  </m:sub>
                </m:sSub>
                <m:r>
                  <m:t>−</m:t>
                </m:r>
                <m:sSub>
                  <m:sSubPr/>
                  <m:e>
                    <m:r>
                      <m:t>p</m:t>
                    </m:r>
                  </m:e>
                  <m:sub>
                    <m:r>
                      <m:t>j</m:t>
                    </m:r>
                    <m:r>
                      <m:t>q</m:t>
                    </m:r>
                  </m:sub>
                </m:sSub>
                <m:r>
                  <m:t>)</m:t>
                </m:r>
              </m:e>
              <m:sup>
                <m:r>
                  <m:t>2</m:t>
                </m:r>
              </m:sup>
            </m:sSup>
          </m:e>
        </m:rad>
        <m:r>
          <m:t>,</m:t>
        </m:r>
        <m:sSubSup>
          <m:sSubSupPr/>
          <m:e>
            <m:r>
              <m:t>A</m:t>
            </m:r>
          </m:e>
          <m:sub>
            <m:r>
              <m:t>i</m:t>
            </m:r>
            <m:r>
              <m:t>j</m:t>
            </m:r>
          </m:sub>
          <m:sup>
            <m:r>
              <m:t>pattern</m:t>
            </m:r>
          </m:sup>
        </m:sSubSup>
        <m:r>
          <m:t>=</m:t>
        </m:r>
        <m:r>
          <m:t>exp</m:t>
        </m:r>
        <m:r>
          <m:t>⁡</m:t>
        </m:r>
        <m:r>
          <m:t>[</m:t>
        </m:r>
        <m:r>
          <m:t>−</m:t>
        </m:r>
        <m:f>
          <m:num>
            <m:sSub>
              <m:sSubPr/>
              <m:e>
                <m:r>
                  <m:t>d</m:t>
                </m:r>
              </m:e>
              <m:sub>
                <m:r>
                  <m:t>i</m:t>
                </m:r>
                <m:r>
                  <m:t>j</m:t>
                </m:r>
              </m:sub>
            </m:sSub>
          </m:num>
          <m:den>
            <m:r>
              <m:t>median</m:t>
            </m:r>
            <m:r>
              <m:t>⁡</m:t>
            </m:r>
            <m:r>
              <m:t>(</m:t>
            </m:r>
            <m:sSub>
              <m:sSubPr/>
              <m:e>
                <m:r>
                  <m:t>d</m:t>
                </m:r>
              </m:e>
              <m:sub>
                <m:r>
                  <m:t>u</m:t>
                </m:r>
                <m:r>
                  <m:t>v</m:t>
                </m:r>
              </m:sub>
            </m:sSub>
            <m:r>
              <m:t>&gt;</m:t>
            </m:r>
            <m:r>
              <m:t>0</m:t>
            </m:r>
            <m:r>
              <m:t>)</m:t>
            </m:r>
          </m:den>
        </m:f>
        <m:r>
          <m:t>]</m:t>
        </m:r>
        <m:r>
          <m:t>.</m:t>
        </m:r>
      </m:oMath>
      <w:r>
        <w:tab/>
      </w:r>
      <w:r>
        <w:rPr>
          <w:rFonts w:ascii="Times New Roman" w:hAnsi="Times New Roman" w:cs="Times New Roman" w:eastAsia="宋体"/>
          <w:sz w:val="21"/>
        </w:rPr>
        <w:t>（3-5）</w:t>
      </w:r>
    </w:p>
    <w:p>
      <w:pPr>
        <w:spacing w:before="0" w:after="0" w:line="300" w:lineRule="auto"/>
        <w:ind w:firstLine="480"/>
        <w:jc w:val="both"/>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pPr>
      <w:r>
        <w:rPr>
          <w:rFonts w:ascii="Times New Roman" w:hAnsi="Times New Roman" w:cs="Times New Roman" w:eastAsia="黑体"/>
          <w:b w:val="0"/>
          <w:sz w:val="28"/>
        </w:rPr>
        <w:t>3.3.4 top-k稀疏化与对称归一化</w:t>
      </w:r>
    </w:p>
    <w:p>
      <w:pPr>
        <w:spacing w:before="0" w:after="0" w:line="300" w:lineRule="auto"/>
        <w:ind w:firstLine="480"/>
        <w:jc w:val="both"/>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max</m:t>
        </m:r>
        <m:r>
          <m:t>⁡</m:t>
        </m:r>
        <m:r>
          <m:t>(</m:t>
        </m:r>
        <m:r>
          <m:t>𝐀</m:t>
        </m:r>
        <m:r>
          <m:t>,</m:t>
        </m:r>
        <m:sSup>
          <m:sSupPr/>
          <m:e>
            <m:r>
              <m:t>𝐀</m:t>
            </m:r>
          </m:e>
          <m:sup>
            <m:r>
              <m:t>𝖳</m:t>
            </m:r>
          </m:sup>
        </m:sSup>
        <m: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𝐀</m:t>
            </m:r>
            <m:r>
              <m:t>ˆ</m:t>
            </m:r>
          </m:e>
          <m:sub>
            <m:r>
              <m:t>r</m:t>
            </m:r>
          </m:sub>
        </m:sSub>
        <m:r>
          <m:t>=</m:t>
        </m:r>
        <m:sSubSup>
          <m:sSubSupPr/>
          <m:e>
            <m:r>
              <m:t>𝐃</m:t>
            </m:r>
            <m:r>
              <m:t>~</m:t>
            </m:r>
          </m:e>
          <m:sub>
            <m:r>
              <m:t>r</m:t>
            </m:r>
          </m:sub>
          <m:sup>
            <m:r>
              <m:t>−</m:t>
            </m:r>
            <m:r>
              <m:t>1</m:t>
            </m:r>
            <m:r>
              <m:t>/</m:t>
            </m:r>
            <m:r>
              <m:t>2</m:t>
            </m:r>
          </m:sup>
        </m:sSubSup>
        <m:r>
          <m:t>(</m:t>
        </m:r>
        <m:sSub>
          <m:sSubPr/>
          <m:e>
            <m:r>
              <m:t>𝐀</m:t>
            </m:r>
          </m:e>
          <m:sub>
            <m:r>
              <m:t>r</m:t>
            </m:r>
          </m:sub>
        </m:sSub>
        <m:r>
          <m:t>+</m:t>
        </m:r>
        <m:r>
          <m:t>𝐈</m:t>
        </m:r>
        <m:r>
          <m:t>)</m:t>
        </m:r>
        <m:sSubSup>
          <m:sSubSupPr/>
          <m:e>
            <m:r>
              <m:t>𝐃</m:t>
            </m:r>
            <m:r>
              <m:t>~</m:t>
            </m:r>
          </m:e>
          <m:sub>
            <m:r>
              <m:t>r</m:t>
            </m:r>
          </m:sub>
          <m:sup>
            <m:r>
              <m:t>−</m:t>
            </m:r>
            <m:r>
              <m:t>1</m:t>
            </m:r>
            <m:r>
              <m:t>/</m:t>
            </m:r>
            <m:r>
              <m:t>2</m:t>
            </m:r>
          </m:sup>
        </m:sSubSup>
        <m:r>
          <m:t>,</m:t>
        </m:r>
        <m:r>
          <m:t>r</m:t>
        </m:r>
        <m:r>
          <m:t>∈</m:t>
        </m:r>
        <m:r>
          <m:t>{</m:t>
        </m:r>
        <m:r>
          <m:t>l</m:t>
        </m:r>
        <m:r>
          <m:t>o</m:t>
        </m:r>
        <m:r>
          <m:t>a</m:t>
        </m:r>
        <m:r>
          <m:t>d</m:t>
        </m:r>
        <m:r>
          <m:t>,</m:t>
        </m:r>
        <m:r>
          <m:t>e</m:t>
        </m:r>
        <m:r>
          <m:t>v</m:t>
        </m:r>
        <m:r>
          <m:t>e</m:t>
        </m:r>
        <m:r>
          <m:t>n</m:t>
        </m:r>
        <m:r>
          <m:t>t</m:t>
        </m:r>
        <m:r>
          <m:t>,</m:t>
        </m:r>
        <m:r>
          <m:t>p</m:t>
        </m:r>
        <m:r>
          <m:t>a</m:t>
        </m:r>
        <m:r>
          <m:t>t</m:t>
        </m:r>
        <m:r>
          <m:t>t</m:t>
        </m:r>
        <m:r>
          <m:t>e</m:t>
        </m:r>
        <m:r>
          <m:t>r</m:t>
        </m:r>
        <m:r>
          <m:t>n</m:t>
        </m:r>
        <m:r>
          <m:t>}</m:t>
        </m:r>
        <m:r>
          <m:t>.</m:t>
        </m:r>
      </m:oMath>
      <w:r>
        <w:tab/>
      </w:r>
      <w:r>
        <w:rPr>
          <w:rFonts w:ascii="Times New Roman" w:hAnsi="Times New Roman" w:cs="Times New Roman" w:eastAsia="宋体"/>
          <w:sz w:val="21"/>
        </w:rPr>
        <w:t>（3-6）</w:t>
      </w:r>
    </w:p>
    <w:p>
      <w:pPr>
        <w:spacing w:before="0" w:after="0" w:line="300" w:lineRule="auto"/>
        <w:ind w:firstLine="480"/>
        <w:jc w:val="both"/>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1"/>
                    <a:stretch>
                      <a:fillRect/>
                    </a:stretch>
                  </pic:blipFill>
                  <pic:spPr>
                    <a:xfrm>
                      <a:off x="0" y="0"/>
                      <a:ext cx="5112000" cy="198330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图3-5 LRE三类站内关系矩阵</w:t>
      </w:r>
    </w:p>
    <w:p>
      <w:pPr>
        <w:spacing w:before="0" w:after="0" w:line="300" w:lineRule="auto"/>
        <w:ind w:firstLine="480"/>
        <w:jc w:val="both"/>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pPr>
      <w:r>
        <w:rPr>
          <w:rFonts w:ascii="Times New Roman" w:hAnsi="Times New Roman" w:cs="Times New Roman" w:eastAsia="黑体"/>
          <w:b/>
          <w:sz w:val="30"/>
        </w:rPr>
        <w:t>3.4 时间基线：TCN</w:t>
      </w:r>
    </w:p>
    <w:p>
      <w:pPr>
        <w:spacing w:before="0" w:after="0" w:line="300" w:lineRule="auto"/>
        <w:ind w:firstLine="480"/>
        <w:jc w:val="both"/>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1</m:t>
        </m:r>
        <m:r>
          <m:t>+</m:t>
        </m:r>
        <m:r>
          <m:t>(</m:t>
        </m:r>
        <m:r>
          <m:t>K</m:t>
        </m:r>
        <m:r>
          <m:t>−</m:t>
        </m:r>
        <m:r>
          <m:t>1</m:t>
        </m:r>
        <m:r>
          <m:t>)</m:t>
        </m:r>
        <m:sSubSup>
          <m:sSubSupPr/>
          <m:e>
            <m:r>
              <m:t>∑</m:t>
            </m:r>
          </m:e>
          <m:sub>
            <m:r>
              <m:t>l</m:t>
            </m:r>
            <m:r>
              <m:t>=</m:t>
            </m:r>
            <m:r>
              <m:t>0</m:t>
            </m:r>
          </m:sub>
          <m:sup>
            <m:r>
              <m:t>L</m:t>
            </m:r>
            <m:r>
              <m:t>−</m:t>
            </m:r>
            <m:r>
              <m:t>1</m:t>
            </m:r>
          </m:sup>
        </m:sSubSup>
        <m:sSup>
          <m:sSupPr/>
          <m:e>
            <m:r>
              <m:t>2</m:t>
            </m:r>
          </m:e>
          <m:sup>
            <m:r>
              <m:t>l</m:t>
            </m:r>
          </m:sup>
        </m:sSup>
        <m:r>
          <m:t>=</m:t>
        </m:r>
        <m:r>
          <m:t>1</m:t>
        </m:r>
        <m:r>
          <m:t>+</m:t>
        </m:r>
        <m:r>
          <m:t>2</m:t>
        </m:r>
        <m:r>
          <m:t>(</m:t>
        </m:r>
        <m:r>
          <m:t>1</m:t>
        </m:r>
        <m:r>
          <m:t>+</m:t>
        </m:r>
        <m:r>
          <m:t>2</m:t>
        </m:r>
        <m:r>
          <m:t>+</m:t>
        </m:r>
        <m:r>
          <m:t>4</m:t>
        </m:r>
        <m:r>
          <m:t>+</m:t>
        </m:r>
        <m:r>
          <m:t>8</m:t>
        </m:r>
        <m:r>
          <m:t>+</m:t>
        </m:r>
        <m:r>
          <m:t>16</m:t>
        </m:r>
        <m:r>
          <m:t>+</m:t>
        </m:r>
        <m:r>
          <m:t>32</m:t>
        </m:r>
        <m:r>
          <m:t>)</m:t>
        </m:r>
        <m:r>
          <m:t>=</m:t>
        </m:r>
        <m:r>
          <m:t>127</m:t>
        </m:r>
        <m:r>
          <m:t>,</m:t>
        </m:r>
      </m:oMath>
      <w:r>
        <w:tab/>
      </w:r>
      <w:r>
        <w:rPr>
          <w:rFonts w:ascii="Times New Roman" w:hAnsi="Times New Roman" w:cs="Times New Roman" w:eastAsia="宋体"/>
          <w:sz w:val="21"/>
        </w:rPr>
        <w:t>（3-7）</w:t>
      </w:r>
    </w:p>
    <w:p>
      <w:pPr>
        <w:spacing w:before="0" w:after="0" w:line="300" w:lineRule="auto"/>
        <w:ind w:firstLine="480"/>
        <w:jc w:val="both"/>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ℝ</m:t>
            </m:r>
          </m:e>
          <m:sup>
            <m:r>
              <m:t>B</m:t>
            </m:r>
            <m:r>
              <m:t>×</m:t>
            </m:r>
            <m:r>
              <m:t>N</m:t>
            </m:r>
            <m:r>
              <m:t>×</m:t>
            </m:r>
            <m: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pPr>
      <w:r>
        <w:rPr>
          <w:rFonts w:ascii="Times New Roman" w:hAnsi="Times New Roman" w:cs="Times New Roman" w:eastAsia="黑体"/>
          <w:b w:val="0"/>
          <w:sz w:val="28"/>
        </w:rPr>
        <w:t>3.5.1 总体架构</w:t>
      </w:r>
    </w:p>
    <w:p>
      <w:pPr>
        <w:spacing w:before="0" w:after="0" w:line="300" w:lineRule="auto"/>
        <w:ind w:firstLine="480"/>
        <w:jc w:val="both"/>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1</m:t>
            </m:r>
            <m:r>
              <m:t>)</m:t>
            </m:r>
          </m:sup>
        </m:sSup>
        <m:r>
          <m:t>=</m:t>
        </m:r>
        <m:sSup>
          <m:sSupPr/>
          <m:e>
            <m:r>
              <m:t>𝐇</m:t>
            </m:r>
          </m:e>
          <m:sup>
            <m:r>
              <m:t>(</m:t>
            </m:r>
            <m:r>
              <m:t>0</m:t>
            </m:r>
            <m: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2</m:t>
            </m:r>
            <m:r>
              <m:t>)</m:t>
            </m:r>
          </m:sup>
        </m:sSup>
        <m:r>
          <m:t>=</m:t>
        </m:r>
        <m:sSup>
          <m:sSupPr/>
          <m:e>
            <m:r>
              <m:t>𝐇</m:t>
            </m:r>
          </m:e>
          <m:sup>
            <m:r>
              <m:t>(</m:t>
            </m:r>
            <m:r>
              <m:t>1</m:t>
            </m:r>
            <m:r>
              <m:t>,</m:t>
            </m:r>
            <m:r>
              <m:t>ref</m:t>
            </m:r>
            <m: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pPr>
      <w:r>
        <w:rPr>
          <w:rFonts w:ascii="Times New Roman" w:hAnsi="Times New Roman" w:cs="Times New Roman" w:eastAsia="黑体"/>
          <w:b w:val="0"/>
          <w:sz w:val="28"/>
        </w:rPr>
        <w:t>3.5.2 单关系消息传递</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𝐌</m:t>
            </m:r>
          </m:e>
          <m:sub>
            <m:r>
              <m:t>r</m:t>
            </m:r>
          </m:sub>
          <m:sup>
            <m:r>
              <m:t>(</m:t>
            </m:r>
            <m:r>
              <m:t>l</m:t>
            </m:r>
            <m:r>
              <m:t>)</m:t>
            </m:r>
          </m:sup>
        </m:sSubSup>
        <m:r>
          <m:t>=</m:t>
        </m:r>
        <m:sSub>
          <m:sSubPr/>
          <m:e>
            <m:r>
              <m:t>𝐀</m:t>
            </m:r>
            <m:r>
              <m:t>ˆ</m:t>
            </m:r>
          </m:e>
          <m:sub>
            <m:r>
              <m:t>r</m:t>
            </m:r>
          </m:sub>
        </m:sSub>
        <m:sSup>
          <m:sSupPr/>
          <m:e>
            <m:r>
              <m:t>𝐙</m:t>
            </m:r>
          </m:e>
          <m:sup>
            <m:r>
              <m:t>(</m:t>
            </m:r>
            <m:r>
              <m:t>l</m:t>
            </m:r>
            <m:r>
              <m:t>)</m:t>
            </m:r>
          </m:sup>
        </m:sSup>
        <m:sSubSup>
          <m:sSubSupPr/>
          <m:e>
            <m:r>
              <m:t>𝐖</m:t>
            </m:r>
          </m:e>
          <m:sub>
            <m:r>
              <m:t>r</m:t>
            </m:r>
          </m:sub>
          <m:sup>
            <m:r>
              <m:t>(</m:t>
            </m:r>
            <m:r>
              <m:t>l</m:t>
            </m:r>
            <m:r>
              <m:t>)</m:t>
            </m:r>
          </m:sup>
        </m:sSubSup>
        <m:r>
          <m:t>,</m:t>
        </m:r>
      </m:oMath>
      <w:r>
        <w:tab/>
      </w:r>
      <w:r>
        <w:rPr>
          <w:rFonts w:ascii="Times New Roman" w:hAnsi="Times New Roman" w:cs="Times New Roman" w:eastAsia="宋体"/>
          <w:sz w:val="21"/>
        </w:rPr>
        <w:t>（3-8）</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𝐖</m:t>
            </m:r>
          </m:e>
          <m:sub>
            <m:r>
              <m:t>r</m:t>
            </m:r>
          </m:sub>
          <m:sup>
            <m:r>
              <m:t>(</m:t>
            </m:r>
            <m:r>
              <m:t>l</m:t>
            </m:r>
            <m:r>
              <m:t>)</m:t>
            </m:r>
          </m:sup>
        </m:sSubSup>
        <m:r>
          <m:t>∈</m:t>
        </m:r>
        <m:sSup>
          <m:sSupPr/>
          <m:e>
            <m:r>
              <m:t>ℝ</m:t>
            </m:r>
          </m:e>
          <m:sup>
            <m:r>
              <m:t>D</m:t>
            </m:r>
            <m:r>
              <m:t>×</m:t>
            </m:r>
            <m: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pPr>
      <w:r>
        <w:rPr>
          <w:rFonts w:ascii="Times New Roman" w:hAnsi="Times New Roman" w:cs="Times New Roman" w:eastAsia="黑体"/>
          <w:b w:val="0"/>
          <w:sz w:val="28"/>
        </w:rPr>
        <w:t>3.5.3 关系级门控</w:t>
      </w:r>
    </w:p>
    <w:p>
      <w:pPr>
        <w:spacing w:before="0" w:after="0" w:line="300" w:lineRule="auto"/>
        <w:ind w:firstLine="480"/>
        <w:jc w:val="both"/>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β</m:t>
            </m:r>
          </m:e>
          <m:sub>
            <m:r>
              <m:t>r</m:t>
            </m:r>
          </m:sub>
          <m:sup>
            <m:r>
              <m:t>(</m:t>
            </m:r>
            <m:r>
              <m:t>l</m:t>
            </m:r>
            <m:r>
              <m:t>)</m:t>
            </m:r>
          </m:sup>
        </m:sSubSup>
        <m:r>
          <m:t>=</m:t>
        </m:r>
        <m:f>
          <m:num>
            <m:r>
              <m:t>exp</m:t>
            </m:r>
            <m:r>
              <m:t>⁡</m:t>
            </m:r>
            <m:r>
              <m:t>(</m:t>
            </m:r>
            <m:sSubSup>
              <m:sSubSupPr/>
              <m:e>
                <m:r>
                  <m:t>a</m:t>
                </m:r>
              </m:e>
              <m:sub>
                <m:r>
                  <m:t>r</m:t>
                </m:r>
              </m:sub>
              <m:sup>
                <m:r>
                  <m:t>(</m:t>
                </m:r>
                <m:r>
                  <m:t>l</m:t>
                </m:r>
                <m:r>
                  <m:t>)</m:t>
                </m:r>
              </m:sup>
            </m:sSubSup>
            <m:r>
              <m:t>)</m:t>
            </m:r>
          </m:num>
          <m:den>
            <m:sSubSup>
              <m:sSubSupPr/>
              <m:e>
                <m:r>
                  <m:t>∑</m:t>
                </m:r>
              </m:e>
              <m:sub>
                <m:r>
                  <m:t>s</m:t>
                </m:r>
                <m:r>
                  <m:t>=</m:t>
                </m:r>
                <m:r>
                  <m:t>1</m:t>
                </m:r>
              </m:sub>
              <m:sup>
                <m:r>
                  <m:t>3</m:t>
                </m:r>
              </m:sup>
            </m:sSubSup>
            <m:r>
              <m:t>exp</m:t>
            </m:r>
            <m:r>
              <m:t>⁡</m:t>
            </m:r>
            <m:r>
              <m:t>(</m:t>
            </m:r>
            <m:sSubSup>
              <m:sSubSupPr/>
              <m:e>
                <m:r>
                  <m:t>a</m:t>
                </m:r>
              </m:e>
              <m:sub>
                <m:r>
                  <m:t>s</m:t>
                </m:r>
              </m:sub>
              <m:sup>
                <m:r>
                  <m:t>(</m:t>
                </m:r>
                <m:r>
                  <m:t>l</m:t>
                </m:r>
                <m:r>
                  <m:t>)</m:t>
                </m:r>
              </m:sup>
            </m:sSubSup>
            <m:r>
              <m:t>)</m:t>
            </m:r>
          </m:den>
        </m:f>
        <m:r>
          <m:t>,</m:t>
        </m:r>
        <m:sSup>
          <m:sSupPr/>
          <m:e>
            <m:r>
              <m:t>𝐌</m:t>
            </m:r>
          </m:e>
          <m:sup>
            <m:r>
              <m:t>(</m:t>
            </m:r>
            <m:r>
              <m:t>l</m:t>
            </m:r>
            <m:r>
              <m:t>)</m:t>
            </m:r>
          </m:sup>
        </m:sSup>
        <m:r>
          <m:t>=</m:t>
        </m:r>
        <m:sSubSup>
          <m:sSubSupPr/>
          <m:e>
            <m:r>
              <m:t>∑</m:t>
            </m:r>
          </m:e>
          <m:sub>
            <m:r>
              <m:t>r</m:t>
            </m:r>
            <m:r>
              <m:t>=</m:t>
            </m:r>
            <m:r>
              <m:t>1</m:t>
            </m:r>
          </m:sub>
          <m:sup>
            <m:r>
              <m:t>3</m:t>
            </m:r>
          </m:sup>
        </m:sSubSup>
        <m:sSubSup>
          <m:sSubSupPr/>
          <m:e>
            <m:r>
              <m:t>β</m:t>
            </m:r>
          </m:e>
          <m:sub>
            <m:r>
              <m:t>r</m:t>
            </m:r>
          </m:sub>
          <m:sup>
            <m:r>
              <m:t>(</m:t>
            </m:r>
            <m:r>
              <m:t>l</m:t>
            </m:r>
            <m:r>
              <m:t>)</m:t>
            </m:r>
          </m:sup>
        </m:sSubSup>
        <m:sSubSup>
          <m:sSubSupPr/>
          <m:e>
            <m:r>
              <m:t>𝐌</m:t>
            </m:r>
          </m:e>
          <m:sub>
            <m:r>
              <m:t>r</m:t>
            </m:r>
          </m:sub>
          <m:sup>
            <m:r>
              <m:t>(</m:t>
            </m:r>
            <m:r>
              <m:t>l</m:t>
            </m:r>
            <m:r>
              <m:t>)</m:t>
            </m:r>
          </m:sup>
        </m:sSubSup>
        <m:r>
          <m:t>.</m:t>
        </m:r>
      </m:oMath>
      <w:r>
        <w:tab/>
      </w:r>
      <w:r>
        <w:rPr>
          <w:rFonts w:ascii="Times New Roman" w:hAnsi="Times New Roman" w:cs="Times New Roman" w:eastAsia="宋体"/>
          <w:sz w:val="21"/>
        </w:rPr>
        <w:t>（3-9）</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pPr>
      <w:r>
        <w:rPr>
          <w:rFonts w:ascii="Times New Roman" w:hAnsi="Times New Roman" w:cs="Times New Roman" w:eastAsia="黑体"/>
          <w:b w:val="0"/>
          <w:sz w:val="28"/>
        </w:rPr>
        <w:t>3.5.4 节点级门控</w:t>
      </w:r>
    </w:p>
    <w:p>
      <w:pPr>
        <w:spacing w:before="0" w:after="0" w:line="300" w:lineRule="auto"/>
        <w:ind w:firstLine="480"/>
        <w:jc w:val="both"/>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r>
          <m:t>σ</m:t>
        </m:r>
        <m:r>
          <m:t>(</m:t>
        </m:r>
        <m:r>
          <m:t>[</m:t>
        </m:r>
        <m:sSup>
          <m:sSupPr/>
          <m:e>
            <m:r>
              <m:t>𝐙</m:t>
            </m:r>
          </m:e>
          <m:sup>
            <m:r>
              <m:t>(</m:t>
            </m:r>
            <m:r>
              <m:t>l</m:t>
            </m:r>
            <m:r>
              <m:t>)</m:t>
            </m:r>
          </m:sup>
        </m:sSup>
        <m:r>
          <m:t>‖</m:t>
        </m:r>
        <m:sSup>
          <m:sSupPr/>
          <m:e>
            <m:r>
              <m:t>𝐌</m:t>
            </m:r>
          </m:e>
          <m:sup>
            <m:r>
              <m:t>(</m:t>
            </m:r>
            <m:r>
              <m:t>l</m:t>
            </m:r>
            <m:r>
              <m:t>)</m:t>
            </m:r>
          </m:sup>
        </m:sSup>
        <m:r>
          <m:t>]</m:t>
        </m:r>
        <m:sSubSup>
          <m:sSubSupPr/>
          <m:e>
            <m:r>
              <m:t>𝐖</m:t>
            </m:r>
          </m:e>
          <m:sub>
            <m:r>
              <m:t>g</m:t>
            </m:r>
          </m:sub>
          <m:sup>
            <m:r>
              <m:t>(</m:t>
            </m:r>
            <m:r>
              <m:t>l</m:t>
            </m:r>
            <m:r>
              <m:t>)</m:t>
            </m:r>
          </m:sup>
        </m:sSubSup>
        <m:r>
          <m:t>+</m:t>
        </m:r>
        <m:sSubSup>
          <m:sSubSupPr/>
          <m:e>
            <m:r>
              <m:t>𝐛</m:t>
            </m:r>
          </m:e>
          <m:sub>
            <m:r>
              <m:t>g</m:t>
            </m:r>
          </m:sub>
          <m:sup>
            <m:r>
              <m:t>(</m:t>
            </m:r>
            <m:r>
              <m:t>l</m:t>
            </m:r>
            <m:r>
              <m:t>)</m:t>
            </m:r>
          </m:sup>
        </m:sSubSup>
        <m:r>
          <m:t>)</m:t>
        </m:r>
        <m:r>
          <m:t>,</m:t>
        </m:r>
        <m:sSup>
          <m:sSupPr/>
          <m:e>
            <m:r>
              <m:t>𝐇</m:t>
            </m:r>
            <m:r>
              <m:t>~</m:t>
            </m:r>
          </m:e>
          <m:sup>
            <m:r>
              <m:t>(</m:t>
            </m:r>
            <m:r>
              <m:t>l</m:t>
            </m:r>
            <m:r>
              <m:t>)</m:t>
            </m:r>
          </m:sup>
        </m:sSup>
        <m:r>
          <m:t>=</m:t>
        </m:r>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r>
          <m:t>,</m:t>
        </m:r>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l</m:t>
            </m:r>
            <m:r>
              <m:t>)</m:t>
            </m:r>
          </m:sup>
        </m:sSup>
        <m:r>
          <m:t>=</m:t>
        </m:r>
        <m:r>
          <m:t>LayerNorm</m:t>
        </m:r>
        <m:r>
          <m:t>⁡</m:t>
        </m:r>
        <m:r>
          <m:t>[</m:t>
        </m:r>
        <m:sSup>
          <m:sSupPr/>
          <m:e>
            <m:r>
              <m:t>𝐙</m:t>
            </m:r>
          </m:e>
          <m:sup>
            <m:r>
              <m:t>(</m:t>
            </m:r>
            <m:r>
              <m:t>l</m:t>
            </m:r>
            <m:r>
              <m:t>)</m:t>
            </m:r>
          </m:sup>
        </m:sSup>
        <m:r>
          <m:t>+</m:t>
        </m:r>
        <m:r>
          <m:t>Dropout</m:t>
        </m:r>
        <m:r>
          <m:t>⁡</m:t>
        </m:r>
        <m:r>
          <m:t>(</m:t>
        </m:r>
        <m:sSup>
          <m:sSupPr/>
          <m:e>
            <m:r>
              <m:t>𝐇</m:t>
            </m:r>
            <m:r>
              <m:t>~</m:t>
            </m:r>
          </m:e>
          <m:sup>
            <m:r>
              <m:t>(</m:t>
            </m:r>
            <m:r>
              <m:t>l</m:t>
            </m:r>
            <m:r>
              <m:t>)</m:t>
            </m:r>
          </m:sup>
        </m:sSup>
        <m:r>
          <m:t>)</m:t>
        </m:r>
        <m:r>
          <m:t>]</m:t>
        </m:r>
        <m:r>
          <m:t>.</m:t>
        </m:r>
      </m:oMath>
      <w:r>
        <w:tab/>
      </w:r>
      <w:r>
        <w:rPr>
          <w:rFonts w:ascii="Times New Roman" w:hAnsi="Times New Roman" w:cs="Times New Roman" w:eastAsia="宋体"/>
          <w:sz w:val="21"/>
        </w:rPr>
        <w:t>（3-11）</w:t>
      </w:r>
    </w:p>
    <w:p>
      <w:pPr>
        <w:spacing w:before="0" w:after="0" w:line="300" w:lineRule="auto"/>
        <w:ind w:firstLine="480"/>
        <w:jc w:val="both"/>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决定“聚合哪些关系”，节点级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决定“当前节点保留多少邻域消息”。本文未对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进行单独消融，因而不对其独立增益作数值归因。</w:t>
      </w:r>
    </w:p>
    <w:p>
      <w:pPr>
        <w:spacing w:before="240" w:after="180" w:line="300" w:lineRule="auto"/>
        <w:ind w:firstLine="0"/>
        <w:jc w:val="both"/>
        <w:outlineLvl w:val="2"/>
      </w:pPr>
      <w:r>
        <w:rPr>
          <w:rFonts w:ascii="Times New Roman" w:hAnsi="Times New Roman" w:cs="Times New Roman" w:eastAsia="黑体"/>
          <w:b w:val="0"/>
          <w:sz w:val="28"/>
        </w:rPr>
        <w:t>3.5.5 关系随机失活</w:t>
      </w:r>
    </w:p>
    <w:p>
      <w:pPr>
        <w:spacing w:before="0" w:after="0" w:line="300" w:lineRule="auto"/>
        <w:ind w:firstLine="480"/>
        <w:jc w:val="both"/>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&gt;</m:t>
        </m:r>
        <m: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pPr>
      <w:r>
        <w:rPr>
          <w:rFonts w:ascii="Times New Roman" w:hAnsi="Times New Roman" w:cs="Times New Roman" w:eastAsia="黑体"/>
          <w:b w:val="0"/>
          <w:sz w:val="28"/>
        </w:rPr>
        <w:t>3.5.6 逐层关系选择与跨层融合</w:t>
      </w:r>
    </w:p>
    <w:p>
      <w:pPr>
        <w:spacing w:before="0" w:after="0" w:line="300" w:lineRule="auto"/>
        <w:ind w:firstLine="480"/>
        <w:jc w:val="both"/>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fuse</m:t>
            </m:r>
          </m:sup>
        </m:sSup>
        <m:r>
          <m:t>=</m:t>
        </m:r>
        <m:r>
          <m:t>Dropout</m:t>
        </m:r>
        <m:r>
          <m:t>⁡</m:t>
        </m:r>
        <m:r>
          <m:t>(</m:t>
        </m:r>
        <m:r>
          <m:t>GELU</m:t>
        </m:r>
        <m:r>
          <m:t>⁡</m:t>
        </m:r>
        <m:r>
          <m:t>{</m:t>
        </m:r>
        <m:r>
          <m:t>LayerNorm</m:t>
        </m:r>
        <m:r>
          <m:t>⁡</m:t>
        </m:r>
        <m:r>
          <m:t>[</m:t>
        </m:r>
        <m:sSub>
          <m:sSubPr/>
          <m:e>
            <m:r>
              <m:t>𝐖</m:t>
            </m:r>
          </m:e>
          <m:sub>
            <m:r>
              <m:t>f</m:t>
            </m:r>
          </m:sub>
        </m:sSub>
        <m:r>
          <m:t>(</m:t>
        </m:r>
        <m:sSup>
          <m:sSupPr/>
          <m:e>
            <m:r>
              <m:t>𝐇</m:t>
            </m:r>
          </m:e>
          <m:sup>
            <m:r>
              <m:t>(</m:t>
            </m:r>
            <m:r>
              <m:t>0</m:t>
            </m:r>
            <m:r>
              <m:t>)</m:t>
            </m:r>
          </m:sup>
        </m:sSup>
        <m:r>
          <m:t>‖</m:t>
        </m:r>
        <m:sSup>
          <m:sSupPr/>
          <m:e>
            <m:r>
              <m:t>𝐇</m:t>
            </m:r>
          </m:e>
          <m:sup>
            <m:r>
              <m:t>(</m:t>
            </m:r>
            <m:r>
              <m:t>1</m:t>
            </m:r>
            <m:r>
              <m:t>)</m:t>
            </m:r>
          </m:sup>
        </m:sSup>
        <m:r>
          <m:t>‖</m:t>
        </m:r>
        <m:sSup>
          <m:sSupPr/>
          <m:e>
            <m:r>
              <m:t>𝐇</m:t>
            </m:r>
          </m:e>
          <m:sup>
            <m:r>
              <m:t>(</m:t>
            </m:r>
            <m:r>
              <m:t>2</m:t>
            </m:r>
            <m:r>
              <m:t>)</m:t>
            </m:r>
          </m:sup>
        </m:sSup>
        <m:r>
          <m:t>)</m:t>
        </m:r>
        <m:r>
          <m:t>]</m:t>
        </m:r>
        <m:r>
          <m:t>}</m:t>
        </m:r>
        <m:r>
          <m:t>)</m:t>
        </m:r>
        <m:r>
          <m:t>.</m:t>
        </m:r>
      </m:oMath>
      <w:r>
        <w:tab/>
      </w:r>
      <w:r>
        <w:rPr>
          <w:rFonts w:ascii="Times New Roman" w:hAnsi="Times New Roman" w:cs="Times New Roman" w:eastAsia="宋体"/>
          <w:sz w:val="21"/>
        </w:rPr>
        <w:t>（3-12）</w:t>
      </w:r>
    </w:p>
    <w:p>
      <w:pPr>
        <w:spacing w:before="0" w:after="0" w:line="300" w:lineRule="auto"/>
        <w:ind w:firstLine="480"/>
        <w:jc w:val="both"/>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pPr>
      <w:r>
        <w:rPr>
          <w:rFonts w:ascii="Times New Roman" w:hAnsi="Times New Roman" w:cs="Times New Roman" w:eastAsia="黑体"/>
          <w:b w:val="0"/>
          <w:sz w:val="28"/>
        </w:rPr>
        <w:t>3.5.7 目标函数与训练策略</w:t>
      </w:r>
    </w:p>
    <w:p>
      <w:pPr>
        <w:spacing w:before="0" w:after="0" w:line="300" w:lineRule="auto"/>
        <w:ind w:firstLine="480"/>
        <w:jc w:val="both"/>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ℒ</m:t>
        </m:r>
        <m:r>
          <m:t>(</m:t>
        </m:r>
        <m:r>
          <m:t>θ</m:t>
        </m:r>
        <m:r>
          <m:t>)</m:t>
        </m:r>
        <m:r>
          <m:t>=</m:t>
        </m:r>
        <m:f>
          <m:num>
            <m:r>
              <m:t>1</m:t>
            </m:r>
          </m:num>
          <m:den>
            <m:r>
              <m:t>B</m:t>
            </m:r>
            <m:r>
              <m:t>P</m:t>
            </m:r>
            <m:r>
              <m:t>N</m:t>
            </m:r>
          </m:den>
        </m:f>
        <m:sSubSup>
          <m:sSubSupPr/>
          <m:e>
            <m:r>
              <m:t>∑</m:t>
            </m:r>
          </m:e>
          <m:sub>
            <m:r>
              <m:t>b</m:t>
            </m:r>
            <m:r>
              <m:t>=</m:t>
            </m:r>
            <m:r>
              <m:t>1</m:t>
            </m:r>
          </m:sub>
          <m:sup>
            <m:r>
              <m:t>B</m:t>
            </m:r>
          </m:sup>
        </m:sSubSup>
        <m:sSubSup>
          <m:sSubSupPr/>
          <m:e>
            <m:r>
              <m:t>∑</m:t>
            </m:r>
          </m:e>
          <m:sub>
            <m:r>
              <m:t>p</m:t>
            </m:r>
            <m:r>
              <m:t>=</m:t>
            </m:r>
            <m:r>
              <m:t>1</m:t>
            </m:r>
          </m:sub>
          <m:sup>
            <m:r>
              <m:t>P</m:t>
            </m:r>
          </m:sup>
        </m:sSubSup>
        <m:sSubSup>
          <m:sSubSupPr/>
          <m:e>
            <m:r>
              <m:t>∑</m:t>
            </m:r>
          </m:e>
          <m:sub>
            <m:r>
              <m:t>i</m:t>
            </m:r>
            <m:r>
              <m:t>=</m:t>
            </m:r>
            <m:r>
              <m:t>1</m:t>
            </m:r>
          </m:sub>
          <m:sup>
            <m:r>
              <m:t>N</m:t>
            </m:r>
          </m:sup>
        </m:sSubSup>
        <m:r>
          <m:t>|</m:t>
        </m:r>
        <m:sSub>
          <m:sSubPr/>
          <m:e>
            <m:r>
              <m:t>Y</m:t>
            </m:r>
            <m:r>
              <m:t>ˆ</m:t>
            </m:r>
          </m:e>
          <m:sub>
            <m:r>
              <m:t>b</m:t>
            </m:r>
            <m:r>
              <m:t>p</m:t>
            </m:r>
            <m:r>
              <m:t>i</m:t>
            </m:r>
          </m:sub>
        </m:sSub>
        <m:r>
          <m:t>−</m:t>
        </m:r>
        <m:sSub>
          <m:sSubPr/>
          <m:e>
            <m:r>
              <m:t>Y</m:t>
            </m:r>
          </m:e>
          <m:sub>
            <m:r>
              <m:t>b</m:t>
            </m:r>
            <m:r>
              <m:t>p</m:t>
            </m:r>
            <m:r>
              <m:t>i</m:t>
            </m:r>
          </m:sub>
        </m:sSub>
        <m:r>
          <m:t>|</m:t>
        </m:r>
        <m:r>
          <m:t>.</m:t>
        </m:r>
      </m:oMath>
      <w:r>
        <w:tab/>
      </w:r>
      <w:r>
        <w:rPr>
          <w:rFonts w:ascii="Times New Roman" w:hAnsi="Times New Roman" w:cs="Times New Roman" w:eastAsia="宋体"/>
          <w:sz w:val="21"/>
        </w:rPr>
        <w:t>（3-13）</w:t>
      </w:r>
    </w:p>
    <w:p>
      <w:pPr>
        <w:spacing w:before="0" w:after="0" w:line="300" w:lineRule="auto"/>
        <w:ind w:firstLine="480"/>
        <w:jc w:val="both"/>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pPr>
      <w:r>
        <w:rPr>
          <w:rFonts w:ascii="Times New Roman" w:hAnsi="Times New Roman" w:cs="Times New Roman" w:eastAsia="黑体"/>
          <w:b w:val="0"/>
          <w:sz w:val="28"/>
        </w:rPr>
        <w:t>3.5.8 与现有方法的区别</w:t>
      </w:r>
    </w:p>
    <w:p>
      <w:pPr>
        <w:spacing w:before="0" w:after="0" w:line="300" w:lineRule="auto"/>
        <w:ind w:firstLine="480"/>
        <w:jc w:val="both"/>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pPr>
      <w:r>
        <w:rPr>
          <w:rFonts w:ascii="Times New Roman" w:hAnsi="Times New Roman" w:cs="Times New Roman" w:eastAsia="黑体"/>
          <w:b w:val="0"/>
          <w:sz w:val="28"/>
        </w:rPr>
        <w:t>3.5.9 节点门控与残差更新的分工</w:t>
      </w:r>
    </w:p>
    <w:p>
      <w:pPr>
        <w:spacing w:before="0" w:after="0" w:line="300" w:lineRule="auto"/>
        <w:ind w:firstLine="480"/>
        <w:jc w:val="both"/>
      </w:pPr>
      <w:r>
        <w:rPr>
          <w:rFonts w:ascii="Times New Roman" w:hAnsi="Times New Roman" w:cs="Times New Roman" w:eastAsia="宋体"/>
          <w:b w:val="0"/>
          <w:sz w:val="24"/>
        </w:rPr>
        <w:t>MRG-GCN中存在两个层次不同的选择操作。关系级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作用于三类关系消息之间，回答“这一层更倾向于聚合哪一种统计关系”；节点级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作用于当前节点的自身状态和邻域消息之间，回答“在这一条预测样本上，该节点需要保留多少邻域信息”。如果将二者都简单称为“注意力”，容易把全局关系偏好误读为逐节点贡献，也无法说明同一关系在不同节点或不同时间窗口上为何可能产生不同的更新幅度。本文因此在公式、图示和实验解释中始终区分两种门控。</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，三类关系先分别完成邻接聚合和关系专属线性变换，得到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级权重只在关系维归一化，并在批次、节点和特征维共享；其作用是改变三类消息的混合方向，而不是对每条边单独赋予一个随样本变化的系数。这样的设计保留了关系类型的可解释标签，也使第4章可以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进行固定、交换和等权替换。替换操作只改变关系混合参数，不重新估计邻接矩阵，因此可把观察到的误差变化限定为模型内部参数敏感度。</w:t>
      </w:r>
    </w:p>
    <w:p>
      <w:pPr>
        <w:spacing w:before="0" w:after="0" w:line="300" w:lineRule="auto"/>
        <w:ind w:firstLine="480"/>
        <w:jc w:val="both"/>
      </w:pPr>
      <w:r>
        <w:rPr>
          <w:rFonts w:ascii="Times New Roman" w:hAnsi="Times New Roman" w:cs="Times New Roman" w:eastAsia="宋体"/>
          <w:b w:val="0"/>
          <w:sz w:val="24"/>
        </w:rPr>
        <w:t>关系消息融合后，节点门控将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在特征维拼接，并通过线性映射和Sigmoid生成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。门值的每个元素位于0和1之间，门控混合由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oMath>
      <w:r>
        <w:rPr>
          <w:rFonts w:ascii="Times New Roman" w:hAnsi="Times New Roman" w:cs="Times New Roman" w:eastAsia="宋体"/>
          <w:b w:val="0"/>
          <w:sz w:val="24"/>
        </w:rPr>
        <w:t>完成。门值接近1表示该位置更多保留关系消息，接近0表示更接近节点自身状态；该解释是计算意义上的插值，不等同于某一关系对真实负荷的因果贡献。由于门值同时受自身表征和融合消息影响，不能仅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推出节点级门值。</w:t>
      </w:r>
    </w:p>
    <w:p>
      <w:pPr>
        <w:spacing w:before="0" w:after="0" w:line="300" w:lineRule="auto"/>
        <w:ind w:firstLine="480"/>
        <w:jc w:val="both"/>
      </w:pPr>
      <w:r>
        <w:rPr>
          <w:rFonts w:ascii="Times New Roman" w:hAnsi="Times New Roman" w:cs="Times New Roman" w:eastAsia="宋体"/>
          <w:b w:val="0"/>
          <w:sz w:val="24"/>
        </w:rPr>
        <w:t>残差路径位于门控混合之后。模型以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作为恒等路径，将门控结果经Dropout后与输入相加，再进行LayerNorm。该顺序有两个直接作用：当邻域消息不稳定或某一关系不适合当前节点时，输入状态仍有一条短路径可以保留；当关系消息有效时，门控更新可以在残差基准上逐步修正，而不是强制替换原状态。LayerNorm只在最后统一尺度，不承担关系选择功能。图3-6把这一顺序单独展开，避免在整体架构图中把关系级权重、节点级门值和残差更新挤在同一个框内。</w:t>
      </w:r>
    </w:p>
    <w:p>
      <w:pPr>
        <w:spacing w:before="60" w:after="60" w:line="240" w:lineRule="auto"/>
        <w:ind w:firstLine="0"/>
        <w:jc w:val="center"/>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图3-6 节点门控与残差更新细节</w:t>
      </w:r>
    </w:p>
    <w:p>
      <w:pPr>
        <w:spacing w:before="0" w:after="0" w:line="300" w:lineRule="auto"/>
        <w:ind w:firstLine="480"/>
        <w:jc w:val="both"/>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pPr>
      <w:r>
        <w:rPr>
          <w:rFonts w:ascii="Times New Roman" w:hAnsi="Times New Roman" w:cs="Times New Roman" w:eastAsia="宋体"/>
          <w:b w:val="0"/>
          <w:sz w:val="24"/>
        </w:rPr>
        <w:t>主模型将关系级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设置为层内共享参数，将节点级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设置为样本—节点—特征级张量。二者的参数量和自由度不同，也对应不同的干预问题。第4章L1干预只替换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，不把其结果推广为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的独立增益；节点门控的单独消融仍是未完成的证据项。因此，本章将节点门控描述为模型结构的一部分，第4章只报告“完整模型对关系分配存在功能依赖”，而不报告“节点门控单独贡献了多少百分点”。</w:t>
      </w:r>
    </w:p>
    <w:p>
      <w:pPr>
        <w:spacing w:before="240" w:after="180" w:line="300" w:lineRule="auto"/>
        <w:ind w:firstLine="0"/>
        <w:jc w:val="both"/>
        <w:outlineLvl w:val="2"/>
      </w:pPr>
      <w:r>
        <w:rPr>
          <w:rFonts w:ascii="Times New Roman" w:hAnsi="Times New Roman" w:cs="Times New Roman" w:eastAsia="黑体"/>
          <w:b w:val="0"/>
          <w:sz w:val="28"/>
        </w:rPr>
        <w:t>3.5.10 跨层表示的使用原则</w:t>
      </w:r>
    </w:p>
    <w:p>
      <w:pPr>
        <w:spacing w:before="0" w:after="0" w:line="300" w:lineRule="auto"/>
        <w:ind w:firstLine="480"/>
        <w:jc w:val="both"/>
      </w:pPr>
      <w:r>
        <w:rPr>
          <w:rFonts w:ascii="Times New Roman" w:hAnsi="Times New Roman" w:cs="Times New Roman" w:eastAsia="宋体"/>
          <w:b w:val="0"/>
          <w:sz w:val="24"/>
        </w:rPr>
        <w:t>双层传播并不是把所有中间状态无差别相加。第一层输出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先经过残差MLP精炼得到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，精炼目标是对第一层表示进行特征变换和尺度调整，使其适合作为第二层传播的输入。第二层再以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聚合三类关系并形成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。因此，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的语义是“第二层入口状态”，而不是一个需要与原始层状态并列保留的第三种输出。</w:t>
      </w:r>
    </w:p>
    <w:p>
      <w:pPr>
        <w:spacing w:before="0" w:after="0" w:line="300" w:lineRule="auto"/>
        <w:ind w:firstLine="480"/>
        <w:jc w:val="both"/>
      </w:pPr>
      <w:r>
        <w:rPr>
          <w:rFonts w:ascii="Times New Roman" w:hAnsi="Times New Roman" w:cs="Times New Roman" w:eastAsia="宋体"/>
          <w:b w:val="0"/>
          <w:sz w:val="24"/>
        </w:rPr>
        <w:t>最终预测表示使用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𝐇</m:t>
            </m:r>
          </m:e>
          <m:sup>
            <m:r>
              <m:t>(</m:t>
            </m:r>
            <m:r>
              <m:t>1</m:t>
            </m:r>
            <m:r>
              <m:t>)</m:t>
            </m:r>
          </m:sup>
        </m:sSup>
        <m:r>
          <m:t>‖</m:t>
        </m:r>
        <m:sSup>
          <m:sSupPr/>
          <m:e>
            <m:r>
              <m:t>𝐇</m:t>
            </m:r>
          </m:e>
          <m:sup>
            <m:r>
              <m:t>(</m:t>
            </m:r>
            <m:r>
              <m:t>2</m:t>
            </m:r>
            <m:r>
              <m:t>)</m:t>
            </m:r>
          </m:sup>
        </m:sSup>
      </m:oMath>
      <w:r>
        <w:rPr>
          <w:rFonts w:ascii="Times New Roman" w:hAnsi="Times New Roman" w:cs="Times New Roman" w:eastAsia="宋体"/>
          <w:b w:val="0"/>
          <w:sz w:val="24"/>
        </w:rPr>
        <w:t>。保留原始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而不使用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是为了让跨层融合同时包含时间骨干输出、一阶关系传播输出和二阶关系传播输出；如果将精炼状态也加入拼接，表示维度、预测头输入和参数量都会变化，且难以判断增益来自跨层信息还是额外的重复路径。本文将这一选择固定在主模型配置中，并在结构消融中以“去除跨层拼接”作为整体路径检验，而不把精炼层的局部差异单独解释为因果效果。</w:t>
      </w:r>
    </w:p>
    <w:p>
      <w:pPr>
        <w:spacing w:before="60" w:after="60" w:line="240" w:lineRule="auto"/>
        <w:ind w:firstLine="0"/>
        <w:jc w:val="center"/>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3"/>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图3-7 跨层表示路径</w:t>
      </w:r>
    </w:p>
    <w:p>
      <w:pPr>
        <w:spacing w:before="0" w:after="0" w:line="300" w:lineRule="auto"/>
        <w:ind w:firstLine="480"/>
        <w:jc w:val="both"/>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接入跨层拼接。</w:t>
      </w:r>
    </w:p>
    <w:p>
      <w:pPr>
        <w:spacing w:before="0" w:after="0" w:line="300" w:lineRule="auto"/>
        <w:ind w:firstLine="480"/>
        <w:jc w:val="both"/>
      </w:pPr>
      <w:r>
        <w:rPr>
          <w:rFonts w:ascii="Times New Roman" w:hAnsi="Times New Roman" w:cs="Times New Roman" w:eastAsia="宋体"/>
          <w:b w:val="0"/>
          <w:sz w:val="24"/>
        </w:rPr>
        <w:t>这一表示约束也决定了模型实现中的张量检查方式。每一层传播前，程序核对输入的节点数和隐藏维度；MLP精炼前后保持批次、节点和特征维度一致；第二层传播的输入指针必须指向精炼张量；预测头的输入维度则由三层原始状态拼接后的维度确定。训练和推理阶段使用同一前向顺序，不能在测试阶段临时将精炼状态替换进拼接，或将原始第一层状态错误地作为第二层输入。对这些条件的检查是结构可复核性的组成部分，而不是仅为绘图服务。</w:t>
      </w:r>
    </w:p>
    <w:p>
      <w:pPr>
        <w:spacing w:before="0" w:after="0" w:line="300" w:lineRule="auto"/>
        <w:ind w:firstLine="480"/>
        <w:jc w:val="both"/>
      </w:pPr>
      <w:r>
        <w:rPr>
          <w:rFonts w:ascii="Times New Roman" w:hAnsi="Times New Roman" w:cs="Times New Roman" w:eastAsia="宋体"/>
          <w:b w:val="0"/>
          <w:sz w:val="24"/>
        </w:rPr>
        <w:t>从信息路径看，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代表时间编码后的节点历史，</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代表一次关系传播，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代表在精炼入口上的第二次关系传播。三者进入预测头时保留了不同深度的信息。浅层状态有助于降低过平滑风险，深层状态有助于利用多跳统计联系；这是一种表示融合假设，而不是对二阶邻居一定更有价值的预设。图3-10、图3-12和图3-14的结果只能评价主模型及所检变体，不能据此断言任意层数或任意拼接方式均有效。</w:t>
      </w:r>
    </w:p>
    <w:p>
      <w:pPr>
        <w:spacing w:before="0" w:after="0" w:line="300" w:lineRule="auto"/>
        <w:ind w:firstLine="480"/>
        <w:jc w:val="both"/>
      </w:pPr>
      <w:r>
        <w:rPr>
          <w:rFonts w:ascii="Times New Roman" w:hAnsi="Times New Roman" w:cs="Times New Roman" w:eastAsia="宋体"/>
          <w:b w:val="0"/>
          <w:sz w:val="24"/>
        </w:rPr>
        <w:t>模型结构的可解释性因此来自“可命名的路径约束”而不是装饰性模块数量。关系级权重、节点级门值、残差路径和跨层拼接各自有明确的输入、输出和干预边界；图3-6和图3-7补充的是实现关系，不新增训练目标或实验结论。后续如需单独证明节点门控、精炼或跨层融合的边际贡献，应在相同数据、种子、早停和评价键下分别重训对应变体，而不能使用当前参数替换结果代替结构消融。</w:t>
      </w:r>
    </w:p>
    <w:p>
      <w:pPr>
        <w:spacing w:before="360" w:after="240" w:line="360" w:lineRule="auto"/>
        <w:ind w:firstLine="0"/>
        <w:jc w:val="both"/>
        <w:outlineLvl w:val="1"/>
      </w:pPr>
      <w:r>
        <w:rPr>
          <w:rFonts w:ascii="Times New Roman" w:hAnsi="Times New Roman" w:cs="Times New Roman" w:eastAsia="黑体"/>
          <w:b/>
          <w:sz w:val="30"/>
        </w:rPr>
        <w:t>3.6 对比实验</w:t>
      </w:r>
    </w:p>
    <w:p>
      <w:pPr>
        <w:spacing w:before="240" w:after="180" w:line="300" w:lineRule="auto"/>
        <w:ind w:firstLine="0"/>
        <w:jc w:val="both"/>
        <w:outlineLvl w:val="2"/>
      </w:pPr>
      <w:r>
        <w:rPr>
          <w:rFonts w:ascii="Times New Roman" w:hAnsi="Times New Roman" w:cs="Times New Roman" w:eastAsia="黑体"/>
          <w:b w:val="0"/>
          <w:sz w:val="28"/>
        </w:rPr>
        <w:t>3.6.1 实验协议</w:t>
      </w:r>
    </w:p>
    <w:p>
      <w:pPr>
        <w:spacing w:before="0" w:after="0" w:line="300" w:lineRule="auto"/>
        <w:ind w:firstLine="480"/>
        <w:jc w:val="both"/>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[84]</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pPr>
      <w:r>
        <w:rPr>
          <w:rFonts w:ascii="Times New Roman" w:hAnsi="Times New Roman" w:cs="Times New Roman" w:eastAsia="宋体"/>
          <w:b w:val="0"/>
          <w:sz w:val="24"/>
        </w:rPr>
        <w:t>为锁定原主实验的配置，本文将正式MRG-GCN定义为SG-EXP-003的StaticGraph运行，而不是后续可见性修订协议的替代结果。第四章四格诊断和本节时间块统计均从三种子逐键预测重新计算，具体配置见下方配置表。</w:t>
      </w:r>
    </w:p>
    <w:p>
      <w:pPr>
        <w:spacing w:before="0" w:after="0" w:line="300" w:lineRule="auto"/>
        <w:ind w:firstLine="480"/>
        <w:jc w:val="both"/>
      </w:pPr>
      <w:r>
        <w:rPr>
          <w:rFonts w:ascii="Times New Roman" w:hAnsi="Times New Roman" w:cs="Times New Roman" w:eastAsia="宋体"/>
          <w:b w:val="0"/>
          <w:sz w:val="24"/>
        </w:rPr>
        <w:t>原主实验配置表</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冻结内容</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实验与模型</w:t>
            </w:r>
          </w:p>
        </w:tc>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SG-EXP-003，StaticGraph，三类固定统计关系</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数据与窗口</w:t>
            </w:r>
          </w:p>
        </w:tc>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SG-DATA-005-primary-tensor；10节点；输入96步，输出4步</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关系稀疏度</w:t>
            </w:r>
          </w:p>
        </w:tc>
        <w:tc>
          <w:tcPr>
            <w:tcW w:type="dxa" w:w="4156"/>
            <w:vAlign w:val="center"/>
            <w:tcBorders>
              <w:top w:val="nil"/>
              <w:bottom w:val="nil"/>
              <w:left w:val="nil"/>
              <w:right w:val="nil"/>
            </w:tcBorders>
          </w:tcPr>
          <w:p>
            <w:pPr>
              <w:spacing w:before="0" w:after="0" w:line="240" w:lineRule="auto"/>
              <w:ind w:firstLine="0"/>
              <w:jc w:val="center"/>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t>，无向并集后加自环并对称归一化</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训练控制</w:t>
            </w:r>
          </w:p>
        </w:tc>
        <w:tc>
          <w:tcPr>
            <w:tcW w:type="dxa" w:w="4156"/>
            <w:vAlign w:val="center"/>
            <w:tcBorders>
              <w:top w:val="nil"/>
              <w:bottom w:val="nil"/>
              <w:left w:val="nil"/>
              <w:right w:val="nil"/>
            </w:tcBorders>
          </w:tcPr>
          <w:p>
            <w:pPr>
              <w:spacing w:before="0" w:after="0" w:line="240" w:lineRule="auto"/>
              <w:ind w:firstLine="0"/>
              <w:jc w:val="center"/>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t>；批量256；最多60轮；patience=8</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随机种子</w:t>
            </w:r>
          </w:p>
        </w:tc>
        <w:tc>
          <w:tcPr>
            <w:tcW w:type="dxa" w:w="4156"/>
            <w:vAlign w:val="center"/>
            <w:tcBorders>
              <w:top w:val="nil"/>
              <w:bottom w:val="single" w:sz="12" w:color="000000"/>
              <w:left w:val="nil"/>
              <w:right w:val="nil"/>
            </w:tcBorders>
          </w:tcPr>
          <w:p>
            <w:pPr>
              <w:spacing w:before="0" w:after="0" w:line="240" w:lineRule="auto"/>
              <w:ind w:firstLine="0"/>
              <w:jc w:val="center"/>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p>
        </w:tc>
      </w:tr>
    </w:tbl>
    <w:p>
      <w:pPr>
        <w:spacing w:before="0" w:after="0" w:line="300" w:lineRule="auto"/>
        <w:ind w:firstLine="480"/>
        <w:jc w:val="both"/>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MAE</m:t>
        </m:r>
        <m:r>
          <m:t>⁡</m:t>
        </m:r>
        <m:r>
          <m:t>=</m:t>
        </m:r>
        <m:f>
          <m:num>
            <m:r>
              <m:t>1</m:t>
            </m:r>
          </m:num>
          <m:den>
            <m:r>
              <m:t>M</m:t>
            </m:r>
          </m:den>
        </m:f>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r>
          <m:t>,</m:t>
        </m:r>
        <m:r>
          <m:t>RMSE</m:t>
        </m:r>
        <m:r>
          <m:t>⁡</m:t>
        </m:r>
        <m:r>
          <m:t>=</m:t>
        </m:r>
        <m:rad>
          <m:radPr>
            <m:degHide m:val="1"/>
          </m:radPr>
          <m:deg/>
          <m:e>
            <m:f>
              <m:num>
                <m:r>
                  <m:t>1</m:t>
                </m:r>
              </m:num>
              <m:den>
                <m:r>
                  <m:t>M</m:t>
                </m:r>
              </m:den>
            </m:f>
            <m:sSubSup>
              <m:sSubSupPr/>
              <m:e>
                <m:r>
                  <m:t>∑</m:t>
                </m:r>
              </m:e>
              <m:sub>
                <m:r>
                  <m:t>m</m:t>
                </m:r>
                <m:r>
                  <m:t>=</m:t>
                </m:r>
                <m:r>
                  <m:t>1</m:t>
                </m:r>
              </m:sub>
              <m:sup>
                <m:r>
                  <m:t>M</m:t>
                </m:r>
              </m:sup>
            </m:sSubSup>
            <m:sSup>
              <m:sSupPr/>
              <m:e>
                <m:r>
                  <m:t>(</m:t>
                </m:r>
                <m:sSub>
                  <m:sSubPr/>
                  <m:e>
                    <m:r>
                      <m:t>y</m:t>
                    </m:r>
                    <m:r>
                      <m:t>ˆ</m:t>
                    </m:r>
                  </m:e>
                  <m:sub>
                    <m:r>
                      <m:t>m</m:t>
                    </m:r>
                  </m:sub>
                </m:sSub>
                <m:r>
                  <m:t>−</m:t>
                </m:r>
                <m:sSub>
                  <m:sSubPr/>
                  <m:e>
                    <m:r>
                      <m:t>y</m:t>
                    </m:r>
                  </m:e>
                  <m:sub>
                    <m:r>
                      <m:t>m</m:t>
                    </m:r>
                  </m:sub>
                </m:sSub>
                <m:r>
                  <m:t>)</m:t>
                </m:r>
              </m:e>
              <m:sup>
                <m:r>
                  <m:t>2</m:t>
                </m:r>
              </m:sup>
            </m:sSup>
          </m:e>
        </m:rad>
        <m: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WAPE</m:t>
        </m:r>
        <m:r>
          <m:t>⁡</m:t>
        </m:r>
        <m:r>
          <m:t>=</m:t>
        </m:r>
        <m:f>
          <m:num>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num>
          <m:den>
            <m:sSubSup>
              <m:sSubSupPr/>
              <m:e>
                <m:r>
                  <m:t>∑</m:t>
                </m:r>
              </m:e>
              <m:sub>
                <m:r>
                  <m:t>m</m:t>
                </m:r>
                <m:r>
                  <m:t>=</m:t>
                </m:r>
                <m:r>
                  <m:t>1</m:t>
                </m:r>
              </m:sub>
              <m:sup>
                <m:r>
                  <m:t>M</m:t>
                </m:r>
              </m:sup>
            </m:sSubSup>
            <m:r>
              <m:t>|</m:t>
            </m:r>
            <m:sSub>
              <m:sSubPr/>
              <m:e>
                <m:r>
                  <m:t>y</m:t>
                </m:r>
              </m:e>
              <m:sub>
                <m:r>
                  <m:t>m</m:t>
                </m:r>
              </m:sub>
            </m:sSub>
            <m:r>
              <m:t>|</m:t>
            </m:r>
          </m:den>
        </m:f>
        <m:r>
          <m:t>.</m:t>
        </m:r>
      </m:oMath>
      <w:r>
        <w:tab/>
      </w:r>
      <w:r>
        <w:rPr>
          <w:rFonts w:ascii="Times New Roman" w:hAnsi="Times New Roman" w:cs="Times New Roman" w:eastAsia="宋体"/>
          <w:sz w:val="21"/>
        </w:rPr>
        <w:t>（3-15）</w:t>
      </w:r>
    </w:p>
    <w:p>
      <w:pPr>
        <w:spacing w:before="0" w:after="0" w:line="300" w:lineRule="auto"/>
        <w:ind w:firstLine="480"/>
        <w:jc w:val="both"/>
      </w:pPr>
      <w:r>
        <w:rPr>
          <w:rFonts w:ascii="Times New Roman" w:hAnsi="Times New Roman" w:cs="Times New Roman" w:eastAsia="宋体"/>
          <w:b w:val="0"/>
          <w:sz w:val="24"/>
        </w:rPr>
        <w:t>MAE和RMSE单位均为kWh/15 min，WAPE无量纲。测试键中零负荷约占87%，MAPE易受零分母影响，故不作为主指标。表3-1汇总11个正式比较模型，并保留EventResidual作为已执行探索路线的结果记录。正式比较模型包括4个传统基线、MLP、GRU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图3-8 训练—预测—评价流程</w:t>
      </w:r>
    </w:p>
    <w:p>
      <w:pPr>
        <w:spacing w:before="0" w:after="0" w:line="300" w:lineRule="auto"/>
        <w:ind w:firstLine="480"/>
        <w:jc w:val="both"/>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pPr>
      <w:r>
        <w:rPr>
          <w:rFonts w:ascii="Times New Roman" w:hAnsi="Times New Roman" w:cs="Times New Roman" w:eastAsia="黑体"/>
          <w:b w:val="0"/>
          <w:sz w:val="28"/>
        </w:rPr>
        <w:t>3.6.2 全局指标对比</w:t>
      </w:r>
    </w:p>
    <w:p>
      <w:pPr>
        <w:keepNext/>
        <w:spacing w:before="60" w:after="60" w:line="240" w:lineRule="auto"/>
        <w:ind w:firstLine="0"/>
        <w:jc w:val="center"/>
      </w:pPr>
      <w:r>
        <w:rPr>
          <w:rFonts w:ascii="Times New Roman" w:hAnsi="Times New Roman" w:cs="Times New Roman" w:eastAsia="黑体"/>
          <w:b w:val="0"/>
          <w:sz w:val="21"/>
        </w:rPr>
        <w:t>表3-1 全局预测指标对比</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MAE标准差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RMSE/(kWh/15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WAPE</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Persistence</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0.07828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0.23946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1.6270</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LightGBM</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0.03758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0.11998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0.7811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XGBoost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0.03873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0.12063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0.8051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ARIMA</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0.02260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0.13229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0.02112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0.10112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0.4390</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0.02965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0.00003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0.10838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0.6162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0.10831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0.6136</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0.01773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0.00054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0.10023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0.3685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0.02057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0.00029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0.09820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0.4276</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0.2902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EventResidual（探索记录）</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0.2889</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0.00023</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0.09918</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0.2860</w:t>
            </w:r>
          </w:p>
        </w:tc>
      </w:tr>
    </w:tbl>
    <w:p>
      <w:pPr>
        <w:spacing w:before="0" w:after="0" w:line="300" w:lineRule="auto"/>
        <w:ind w:firstLine="480"/>
        <w:jc w:val="both"/>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pPr>
      <w:r>
        <w:drawing>
          <wp:inline xmlns:a="http://schemas.openxmlformats.org/drawingml/2006/main" xmlns:pic="http://schemas.openxmlformats.org/drawingml/2006/picture">
            <wp:extent cx="5112000" cy="3624272"/>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85"/>
                    <a:stretch>
                      <a:fillRect/>
                    </a:stretch>
                  </pic:blipFill>
                  <pic:spPr>
                    <a:xfrm>
                      <a:off x="0" y="0"/>
                      <a:ext cx="5112000" cy="3624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图3-9 不同模型的全局MAE</w:t>
      </w:r>
    </w:p>
    <w:p>
      <w:pPr>
        <w:spacing w:before="0" w:after="0" w:line="300" w:lineRule="auto"/>
        <w:ind w:firstLine="480"/>
        <w:jc w:val="both"/>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处较LightGBM的0.05139低55.2%。</w:t>
      </w:r>
    </w:p>
    <w:p>
      <w:pPr>
        <w:spacing w:before="60" w:after="60" w:line="240" w:lineRule="auto"/>
        <w:ind w:firstLine="0"/>
        <w:jc w:val="center"/>
      </w:pPr>
      <w:r>
        <w:drawing>
          <wp:inline xmlns:a="http://schemas.openxmlformats.org/drawingml/2006/main" xmlns:pic="http://schemas.openxmlformats.org/drawingml/2006/picture">
            <wp:extent cx="5112000" cy="2834151"/>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86"/>
                    <a:stretch>
                      <a:fillRect/>
                    </a:stretch>
                  </pic:blipFill>
                  <pic:spPr>
                    <a:xfrm>
                      <a:off x="0" y="0"/>
                      <a:ext cx="5112000" cy="283415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图3-10 不同模型的逐步长MAE</w:t>
      </w:r>
    </w:p>
    <w:p>
      <w:pPr>
        <w:spacing w:before="0" w:after="0" w:line="300" w:lineRule="auto"/>
        <w:ind w:firstLine="480"/>
        <w:jc w:val="both"/>
      </w:pPr>
      <w:r>
        <w:rPr>
          <w:rFonts w:ascii="Times New Roman" w:hAnsi="Times New Roman" w:cs="Times New Roman" w:eastAsia="宋体"/>
          <w:b w:val="0"/>
          <w:sz w:val="18"/>
        </w:rPr>
        <w:t>注：曲线为三种子均值，阴影为跨种子标准差；横轴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18"/>
        </w:rPr>
        <w:t>对应15～60 min预测提前量。</w:t>
      </w:r>
    </w:p>
    <w:p>
      <w:pPr>
        <w:spacing w:before="0" w:after="0" w:line="300" w:lineRule="auto"/>
        <w:ind w:firstLine="480"/>
        <w:jc w:val="both"/>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pPr>
      <w:r>
        <w:drawing>
          <wp:inline xmlns:a="http://schemas.openxmlformats.org/drawingml/2006/main" xmlns:pic="http://schemas.openxmlformats.org/drawingml/2006/picture">
            <wp:extent cx="5112000" cy="3890929"/>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87"/>
                    <a:stretch>
                      <a:fillRect/>
                    </a:stretch>
                  </pic:blipFill>
                  <pic:spPr>
                    <a:xfrm>
                      <a:off x="0" y="0"/>
                      <a:ext cx="5112000" cy="38909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图3-11 模型误差差的点级Bootstrap</w:t>
      </w:r>
    </w:p>
    <w:p>
      <w:pPr>
        <w:spacing w:before="0" w:after="0" w:line="300" w:lineRule="auto"/>
        <w:ind w:firstLine="480"/>
        <w:jc w:val="both"/>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keepNext/>
        <w:spacing w:before="60" w:after="60" w:line="240" w:lineRule="auto"/>
        <w:ind w:firstLine="0"/>
        <w:jc w:val="center"/>
      </w:pPr>
      <w:r>
        <w:rPr>
          <w:rFonts w:ascii="Times New Roman" w:hAnsi="Times New Roman" w:cs="Times New Roman" w:eastAsia="黑体"/>
          <w:b w:val="0"/>
          <w:sz w:val="21"/>
        </w:rPr>
        <w:t>原主实验时间块误差差复核表</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对照（基线−MRG-GCN）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平均误差差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1日块95%区间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正差块</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7日块95%区间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正差块</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0.01576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[0.01517, 0.01640]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187/187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[0.01495, 0.01662]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27/27</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0.00020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[0.00016, 0.00025]</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166/187</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[0.00015, 0.00026]</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27/27</w:t>
            </w:r>
          </w:p>
        </w:tc>
      </w:tr>
    </w:tbl>
    <w:p>
      <w:pPr>
        <w:spacing w:before="0" w:after="0" w:line="300" w:lineRule="auto"/>
        <w:ind w:firstLine="480"/>
        <w:jc w:val="both"/>
      </w:pPr>
      <w:r>
        <w:rPr>
          <w:rFonts w:ascii="Times New Roman" w:hAnsi="Times New Roman" w:cs="Times New Roman" w:eastAsia="宋体"/>
          <w:b w:val="0"/>
          <w:sz w:val="24"/>
        </w:rPr>
        <w:t>下表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w:t>
      </w:r>
    </w:p>
    <w:p>
      <w:pPr>
        <w:spacing w:before="240" w:after="180" w:line="300" w:lineRule="auto"/>
        <w:ind w:firstLine="0"/>
        <w:jc w:val="both"/>
        <w:outlineLvl w:val="2"/>
      </w:pPr>
      <w:r>
        <w:rPr>
          <w:rFonts w:ascii="Times New Roman" w:hAnsi="Times New Roman" w:cs="Times New Roman" w:eastAsia="黑体"/>
          <w:b w:val="0"/>
          <w:sz w:val="28"/>
        </w:rPr>
        <w:t>3.6.3 分层指标对比</w:t>
      </w:r>
    </w:p>
    <w:p>
      <w:pPr>
        <w:spacing w:before="0" w:after="0" w:line="300" w:lineRule="auto"/>
        <w:ind w:firstLine="480"/>
        <w:jc w:val="both"/>
      </w:pPr>
      <w:r>
        <w:rPr>
          <w:rFonts w:ascii="Times New Roman" w:hAnsi="Times New Roman" w:cs="Times New Roman" w:eastAsia="宋体"/>
          <w:b w:val="0"/>
          <w:sz w:val="24"/>
        </w:rPr>
        <w:t>分层结果见表3-2：依据目标侧标签事件target_event划分事件与稳定窗口，并另行报告非零负荷子集。事件窗口占测试预测键的1.43%，冻结规则触发率0.43%不用于本表分层。</w:t>
      </w:r>
    </w:p>
    <w:p>
      <w:pPr>
        <w:keepNext/>
        <w:spacing w:before="60" w:after="60" w:line="240" w:lineRule="auto"/>
        <w:ind w:firstLine="0"/>
        <w:jc w:val="center"/>
      </w:pPr>
      <w:r>
        <w:rPr>
          <w:rFonts w:ascii="Times New Roman" w:hAnsi="Times New Roman" w:cs="Times New Roman" w:eastAsia="黑体"/>
          <w:b w:val="0"/>
          <w:sz w:val="21"/>
        </w:rPr>
        <w:t>表3-2 分层MAE对比</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事件窗口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稳定窗口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非零负荷</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Persistence</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0.4382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0.0731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0.3640</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LightGBM</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0.3074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0.1402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XGBoost</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0.1411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ARIMA</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0.2939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0.0187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0.0909</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0.3114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0.1292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0.3042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0.1274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0.3049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0.1264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0.2732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0.0693</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0.2924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0.0995</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0.2763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0.0720</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EventResidual</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0.2760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0.0715</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0.2761</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0.0100</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0.0711</w:t>
            </w:r>
          </w:p>
        </w:tc>
      </w:tr>
    </w:tbl>
    <w:p>
      <w:pPr>
        <w:spacing w:before="0" w:after="0" w:line="300" w:lineRule="auto"/>
        <w:ind w:firstLine="480"/>
        <w:jc w:val="both"/>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pPr>
      <w:r>
        <w:drawing>
          <wp:inline xmlns:a="http://schemas.openxmlformats.org/drawingml/2006/main" xmlns:pic="http://schemas.openxmlformats.org/drawingml/2006/picture">
            <wp:extent cx="5112000" cy="2561049"/>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88"/>
                    <a:stretch>
                      <a:fillRect/>
                    </a:stretch>
                  </pic:blipFill>
                  <pic:spPr>
                    <a:xfrm>
                      <a:off x="0" y="0"/>
                      <a:ext cx="5112000" cy="25610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图3-12 不同评价窗口的MAE</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pPr>
      <w:r>
        <w:rPr>
          <w:rFonts w:ascii="Times New Roman" w:hAnsi="Times New Roman" w:cs="Times New Roman" w:eastAsia="黑体"/>
          <w:b w:val="0"/>
          <w:sz w:val="28"/>
        </w:rPr>
        <w:t>3.6.4 节点与预测步长分析</w:t>
      </w:r>
    </w:p>
    <w:p>
      <w:pPr>
        <w:spacing w:before="0" w:after="0" w:line="300" w:lineRule="auto"/>
        <w:ind w:firstLine="480"/>
        <w:jc w:val="both"/>
      </w:pPr>
      <w:r>
        <w:rPr>
          <w:rFonts w:ascii="Times New Roman" w:hAnsi="Times New Roman" w:cs="Times New Roman" w:eastAsia="宋体"/>
          <w:b w:val="0"/>
          <w:sz w:val="24"/>
        </w:rPr>
        <w:t>MRG-GCN的逐步长和逐节点误差列于表3-3。</w:t>
      </w:r>
    </w:p>
    <w:p>
      <w:pPr>
        <w:keepNext/>
        <w:spacing w:before="60" w:after="60" w:line="240" w:lineRule="auto"/>
        <w:ind w:firstLine="0"/>
        <w:jc w:val="center"/>
      </w:pPr>
      <w:r>
        <w:rPr>
          <w:rFonts w:ascii="Times New Roman" w:hAnsi="Times New Roman" w:cs="Times New Roman" w:eastAsia="黑体"/>
          <w:b w:val="0"/>
          <w:sz w:val="21"/>
        </w:rPr>
        <w:t>表3-3 MRG-GCN逐步长与逐节点MAE</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预测步长</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t>（15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0.00432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0.02582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0.00616</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2</m:t>
              </m:r>
            </m:oMath>
            <w:r>
              <w:rPr/>
              <w:t>（30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0.01072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0.01171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0.00686</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3</m:t>
              </m:r>
            </m:oMath>
            <w:r>
              <w:rPr/>
              <w:t>（45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0.01697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0.02234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0.00642</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t>（60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0.02302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0.01863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0.01318</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0.01810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0.00839</w:t>
            </w:r>
          </w:p>
        </w:tc>
      </w:tr>
    </w:tbl>
    <w:p>
      <w:pPr>
        <w:spacing w:before="0" w:after="0" w:line="300" w:lineRule="auto"/>
        <w:ind w:firstLine="480"/>
        <w:jc w:val="both"/>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pPr>
      <w:r>
        <w:drawing>
          <wp:inline xmlns:a="http://schemas.openxmlformats.org/drawingml/2006/main" xmlns:pic="http://schemas.openxmlformats.org/drawingml/2006/picture">
            <wp:extent cx="5112000" cy="2215918"/>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89"/>
                    <a:stretch>
                      <a:fillRect/>
                    </a:stretch>
                  </pic:blipFill>
                  <pic:spPr>
                    <a:xfrm>
                      <a:off x="0" y="0"/>
                      <a:ext cx="5112000" cy="221591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图3-13 不同模型的逐节点MAE</w:t>
      </w:r>
    </w:p>
    <w:p>
      <w:pPr>
        <w:spacing w:before="0" w:after="0" w:line="300" w:lineRule="auto"/>
        <w:ind w:firstLine="480"/>
        <w:jc w:val="both"/>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pPr>
      <w:r>
        <w:rPr>
          <w:rFonts w:ascii="Times New Roman" w:hAnsi="Times New Roman" w:cs="Times New Roman" w:eastAsia="黑体"/>
          <w:b w:val="0"/>
          <w:sz w:val="28"/>
        </w:rPr>
        <w:t>3.6.5 模型效率分析</w:t>
      </w:r>
    </w:p>
    <w:p>
      <w:pPr>
        <w:spacing w:before="0" w:after="0" w:line="300" w:lineRule="auto"/>
        <w:ind w:firstLine="480"/>
        <w:jc w:val="both"/>
      </w:pPr>
      <w:r>
        <w:rPr>
          <w:rFonts w:ascii="Times New Roman" w:hAnsi="Times New Roman" w:cs="Times New Roman" w:eastAsia="宋体"/>
          <w:b w:val="0"/>
          <w:sz w:val="24"/>
        </w:rPr>
        <w:t>模型规模与正式训练耗时列于表3-4。</w:t>
      </w:r>
    </w:p>
    <w:p>
      <w:pPr>
        <w:keepNext/>
        <w:spacing w:before="60" w:after="60" w:line="240" w:lineRule="auto"/>
        <w:ind w:firstLine="0"/>
        <w:jc w:val="center"/>
      </w:pPr>
      <w:r>
        <w:rPr>
          <w:rFonts w:ascii="Times New Roman" w:hAnsi="Times New Roman" w:cs="Times New Roman" w:eastAsia="黑体"/>
          <w:b w:val="0"/>
          <w:sz w:val="21"/>
        </w:rPr>
        <w:t>表3-4 模型规模与正式训练耗时</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可训练参数量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单种子训练耗时均值/min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4,068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0.02965</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4,252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51.9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0.02057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16,996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35,005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0.01396</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40,084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0.01773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228,968</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1.3</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0.02112</w:t>
            </w:r>
          </w:p>
        </w:tc>
      </w:tr>
    </w:tbl>
    <w:p>
      <w:pPr>
        <w:spacing w:before="0" w:after="0" w:line="300" w:lineRule="auto"/>
        <w:ind w:firstLine="480"/>
        <w:jc w:val="both"/>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pPr>
      <w:r>
        <w:rPr>
          <w:rFonts w:ascii="Times New Roman" w:hAnsi="Times New Roman" w:cs="Times New Roman" w:eastAsia="宋体"/>
          <w:b w:val="0"/>
          <w:sz w:val="24"/>
        </w:rPr>
        <w:t>从结果解读角度，表3-1应先回答“在统一预测键下哪一组完整配置的误差更低”，再回答“哪些机制值得进一步诊断”。MRG-GCN的全局MAE最低，说明在旧主协议、10个节点、96步输入和4步输出的条件下，固定三关系图与双层门控结构组成的整体方案有效；它并不说明三类关系中的每一种都产生了可分离的边际收益。AdaptiveGraph和EventResidual与MRG-GCN的差距很小，且处于三种子波动量级附近，因此应将它们视为接近的头部配置，而不是给出稳定名次。</w:t>
      </w:r>
    </w:p>
    <w:p>
      <w:pPr>
        <w:spacing w:before="0" w:after="0" w:line="300" w:lineRule="auto"/>
        <w:ind w:firstLine="480"/>
        <w:jc w:val="both"/>
      </w:pPr>
      <w:r>
        <w:rPr>
          <w:rFonts w:ascii="Times New Roman" w:hAnsi="Times New Roman" w:cs="Times New Roman" w:eastAsia="宋体"/>
          <w:b w:val="0"/>
          <w:sz w:val="24"/>
        </w:rPr>
        <w:t>分层指标改变了全局排序的解释方式。事件窗口占比很低，但事件段MAE远高于稳定段；全局MAE主要由大量稳定预测键决定。因而，一个模型可以在全局指标上领先，却在事件段不占优；反过来，事件段的局部改善也未必足以改变整体指标。本文同时报告全局、事件、稳定和非零负荷子集，是为了避免用一个平均数覆盖不同难度的样本。图3-12的对数纵轴只用于展示量级，不表示误差具有对数分布，也不改变MAE的原始计算口径。</w:t>
      </w:r>
    </w:p>
    <w:p>
      <w:pPr>
        <w:spacing w:before="0" w:after="0" w:line="300" w:lineRule="auto"/>
        <w:ind w:firstLine="480"/>
        <w:jc w:val="both"/>
      </w:pPr>
      <w:r>
        <w:rPr>
          <w:rFonts w:ascii="Times New Roman" w:hAnsi="Times New Roman" w:cs="Times New Roman" w:eastAsia="宋体"/>
          <w:b w:val="0"/>
          <w:sz w:val="24"/>
        </w:rPr>
        <w:t>预测步长分析进一步说明，历史信息对近端预测更充分，提前量增加后误差逐步累积。由于每个步长共享同一批预测起点但目标时刻不同，四个步长的误差不是四个独立实验；图3-10的阴影只表示三种子离散度，不能当作预测区间。逐节点分析也具有类似限制：高负荷节点往往对应更大的绝对误差，节点间绝对MAE差异不能直接等价为相对性能差异。若需要比较节点相对误差，应另行预先登记归一化指标，而不能从当前绝对MAE图中补推结论。</w:t>
      </w:r>
    </w:p>
    <w:p>
      <w:pPr>
        <w:spacing w:before="0" w:after="0" w:line="300" w:lineRule="auto"/>
        <w:ind w:firstLine="480"/>
        <w:jc w:val="both"/>
      </w:pPr>
      <w:r>
        <w:rPr>
          <w:rFonts w:ascii="Times New Roman" w:hAnsi="Times New Roman" w:cs="Times New Roman" w:eastAsia="宋体"/>
          <w:b w:val="0"/>
          <w:sz w:val="24"/>
        </w:rPr>
        <w:t>时间块复核的意义在于检查优势是否集中在少数日期。以预测原点的日或周为单位聚合后，MRG-GCN相对TCN的误差差在本测试期内保持为正；相对AdaptiveGraph的差异则幅度很小，部分日块不为正。这一结果与三种子全局均值并不矛盾，反而说明“优于TCN”和“稳定领先AdaptiveGraph”具有不同的证据强度。时间块统计仍只来自同一场站、同一测试期，不能替代跨站或跨年份验证。</w:t>
      </w:r>
    </w:p>
    <w:p>
      <w:pPr>
        <w:spacing w:before="0" w:after="0" w:line="300" w:lineRule="auto"/>
        <w:ind w:firstLine="480"/>
        <w:jc w:val="both"/>
      </w:pPr>
      <w:r>
        <w:rPr>
          <w:rFonts w:ascii="Times New Roman" w:hAnsi="Times New Roman" w:cs="Times New Roman" w:eastAsia="宋体"/>
          <w:b w:val="0"/>
          <w:sz w:val="24"/>
        </w:rPr>
        <w:t>模型效率比较也需服从同样的边界。参数量较小不自动意味着训练时间更短，图聚合、数据布局、早停轮次和硬件都会影响运行耗时；单次正式运行记录不能支持通用速度排名。本文只把表3-4作为本实现的量级参考，不用它证明某一模型在所有设备上都更高效。对硕士论文而言，明确哪些数字是性能证据、哪些数字是工程记录，有助于降低审稿人把不同性质指标混在一起的风险。</w:t>
      </w:r>
    </w:p>
    <w:p>
      <w:pPr>
        <w:spacing w:before="240" w:after="180" w:line="300" w:lineRule="auto"/>
        <w:ind w:firstLine="0"/>
        <w:jc w:val="both"/>
        <w:outlineLvl w:val="2"/>
      </w:pPr>
      <w:r>
        <w:rPr>
          <w:rFonts w:ascii="Times New Roman" w:hAnsi="Times New Roman" w:cs="Times New Roman" w:eastAsia="黑体"/>
          <w:b w:val="0"/>
          <w:sz w:val="28"/>
        </w:rPr>
        <w:t>3.6.6 事件机制消融与归因</w:t>
      </w:r>
    </w:p>
    <w:p>
      <w:pPr>
        <w:spacing w:before="0" w:after="0" w:line="300" w:lineRule="auto"/>
        <w:ind w:firstLine="480"/>
        <w:jc w:val="both"/>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-1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pPr>
      <w:r>
        <w:rPr>
          <w:rFonts w:ascii="Times New Roman" w:hAnsi="Times New Roman" w:cs="Times New Roman" w:eastAsia="黑体"/>
          <w:b/>
          <w:sz w:val="30"/>
        </w:rPr>
        <w:t>3.7 消融实验</w:t>
      </w:r>
    </w:p>
    <w:p>
      <w:pPr>
        <w:spacing w:before="0" w:after="0" w:line="300" w:lineRule="auto"/>
        <w:ind w:firstLine="480"/>
        <w:jc w:val="both"/>
      </w:pPr>
      <w:r>
        <w:rPr>
          <w:rFonts w:ascii="Times New Roman" w:hAnsi="Times New Roman" w:cs="Times New Roman" w:eastAsia="宋体"/>
          <w:b w:val="0"/>
          <w:sz w:val="24"/>
        </w:rPr>
        <w:t>本节将三类操作分开报告：3.7.1为消融套件内的结构变体重训，3.7.2为旧协议已训练模型的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仅前向替换，3.7.5为严格可见输入协议下的等权</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等变体重训。它们的基线、输入协议和回答问题不同，不能合并为同一项消融。</w:t>
      </w:r>
    </w:p>
    <w:p>
      <w:pPr>
        <w:spacing w:before="240" w:after="180" w:line="300" w:lineRule="auto"/>
        <w:ind w:firstLine="0"/>
        <w:jc w:val="both"/>
        <w:outlineLvl w:val="2"/>
      </w:pPr>
      <w:r>
        <w:rPr>
          <w:rFonts w:ascii="Times New Roman" w:hAnsi="Times New Roman" w:cs="Times New Roman" w:eastAsia="黑体"/>
          <w:b w:val="0"/>
          <w:sz w:val="28"/>
        </w:rPr>
        <w:t>3.7.1 组合配置下的结构消融证据</w:t>
      </w:r>
    </w:p>
    <w:p>
      <w:pPr>
        <w:spacing w:before="0" w:after="0" w:line="300" w:lineRule="auto"/>
        <w:ind w:firstLine="480"/>
        <w:jc w:val="both"/>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-1的正式MRG-GCN不是同一比较基准。表3-5(a)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keepNext/>
        <w:spacing w:before="60" w:after="60" w:line="240" w:lineRule="auto"/>
        <w:ind w:firstLine="0"/>
        <w:jc w:val="center"/>
      </w:pPr>
      <w:r>
        <w:rPr>
          <w:rFonts w:ascii="Times New Roman" w:hAnsi="Times New Roman" w:cs="Times New Roman" w:eastAsia="黑体"/>
          <w:b w:val="0"/>
          <w:sz w:val="21"/>
        </w:rPr>
        <w:t>表3-5 消融与参数敏感性结果</w:t>
      </w:r>
    </w:p>
    <w:p>
      <w:pPr>
        <w:spacing w:before="0" w:after="0" w:line="300" w:lineRule="auto"/>
        <w:ind w:firstLine="480"/>
        <w:jc w:val="both"/>
      </w:pPr>
      <w:r>
        <w:rPr>
          <w:rFonts w:ascii="Times New Roman" w:hAnsi="Times New Roman" w:cs="Times New Roman" w:eastAsia="宋体"/>
          <w:b w:val="0"/>
          <w:sz w:val="24"/>
        </w:rPr>
        <w:t>（a）结构消融</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相对内部基线</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完整配置（内部基线）</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仅自适应图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0.01422</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仅固定图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0.01425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+2.5%</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门控关闭（复合变体）</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0.02648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+90.5%</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无图</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0.02960</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+113.0%</w:t>
            </w:r>
          </w:p>
        </w:tc>
      </w:tr>
    </w:tbl>
    <w:p>
      <w:pPr>
        <w:spacing w:before="60" w:after="60" w:line="240" w:lineRule="auto"/>
        <w:ind w:firstLine="0"/>
        <w:jc w:val="center"/>
      </w:pPr>
      <w:r>
        <w:drawing>
          <wp:inline xmlns:a="http://schemas.openxmlformats.org/drawingml/2006/main" xmlns:pic="http://schemas.openxmlformats.org/drawingml/2006/picture">
            <wp:extent cx="5112000" cy="2495772"/>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0"/>
                    <a:stretch>
                      <a:fillRect/>
                    </a:stretch>
                  </pic:blipFill>
                  <pic:spPr>
                    <a:xfrm>
                      <a:off x="0" y="0"/>
                      <a:ext cx="5112000" cy="24957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图3-14 结构消融结果</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注：柱高为三种子均值，误差棒为跨种子标准差。百分比均相对于消融套件的0.01390内部基线，不与表3-1主模型直接换算。</w:t>
      </w:r>
    </w:p>
    <w:p>
      <w:pPr>
        <w:spacing w:before="240" w:after="180" w:line="300" w:lineRule="auto"/>
        <w:ind w:firstLine="0"/>
        <w:jc w:val="both"/>
        <w:outlineLvl w:val="2"/>
      </w:pPr>
      <w:r>
        <w:rPr>
          <w:rFonts w:ascii="Times New Roman" w:hAnsi="Times New Roman" w:cs="Times New Roman" w:eastAsia="黑体"/>
          <w:b w:val="0"/>
          <w:sz w:val="28"/>
        </w:rPr>
        <w:t>3.7.2 门控参数干预</w:t>
      </w:r>
    </w:p>
    <w:p>
      <w:pPr>
        <w:spacing w:before="0" w:after="0" w:line="300" w:lineRule="auto"/>
        <w:ind w:firstLine="480"/>
        <w:jc w:val="both"/>
      </w:pPr>
      <w:r>
        <w:rPr>
          <w:rFonts w:ascii="Times New Roman" w:hAnsi="Times New Roman" w:cs="Times New Roman" w:eastAsia="宋体"/>
          <w:b w:val="0"/>
          <w:sz w:val="24"/>
        </w:rPr>
        <w:t>为检验模型是否依赖学习到的逐层关系分配，保持模型其余参数不变，对两层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7种仅前向干预。表3-5(b)中，等权、层间交换及固定关系组合均高于学习值基线；最小退化为95.9%，最大为233.6%。这表明模型对所学习的层间关系分配存在功能依赖，但结论仅覆盖所检7种组合，不说明学习值是整个连续权重空间的全局最优，也不构成数据层面的因果识别。这里是旧协议下的训练后参数替换，与3.7.5节在新协议中重新训练的mrg_equal_beta不同。详细权重与跨种子差异在第4章L1层分析。</w:t>
      </w:r>
    </w:p>
    <w:p>
      <w:pPr>
        <w:spacing w:before="0" w:after="0" w:line="300" w:lineRule="auto"/>
        <w:ind w:firstLine="480"/>
        <w:jc w:val="both"/>
      </w:pPr>
      <w:r>
        <w:rPr>
          <w:rFonts w:ascii="Times New Roman" w:hAnsi="Times New Roman" w:cs="Times New Roman" w:eastAsia="宋体"/>
          <w:b w:val="0"/>
          <w:sz w:val="24"/>
        </w:rPr>
        <w:t>（b）关系级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参数干预</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相对学习值</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学习值基线</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第一层学习值、第二层固定为轮廓关系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0.02695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+95.9%</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两层等权</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0.03354</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+143.8%</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层间权重交换</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0.03418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+148.4%</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两层固定为行为关系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0.03430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+149.3%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第一层固定为负荷关系、第二层学习值</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0.04106</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+198.4%</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两层固定为轮廓关系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0.04138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+200.7%</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两层固定为负荷关系</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0.04591</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+233.6%</w:t>
            </w:r>
          </w:p>
        </w:tc>
      </w:tr>
    </w:tbl>
    <w:p>
      <w:pPr>
        <w:spacing w:before="240" w:after="180" w:line="300" w:lineRule="auto"/>
        <w:ind w:firstLine="0"/>
        <w:jc w:val="both"/>
        <w:outlineLvl w:val="2"/>
      </w:pPr>
      <w:r>
        <w:rPr>
          <w:rFonts w:ascii="Times New Roman" w:hAnsi="Times New Roman" w:cs="Times New Roman" w:eastAsia="黑体"/>
          <w:b w:val="0"/>
          <w:sz w:val="28"/>
        </w:rPr>
        <w:t>3.7.3 四格诊断</w:t>
      </w:r>
    </w:p>
    <w:p>
      <w:pPr>
        <w:spacing w:before="0" w:after="0" w:line="300" w:lineRule="auto"/>
        <w:ind w:firstLine="480"/>
        <w:jc w:val="both"/>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（3-16）</w:t>
      </w:r>
    </w:p>
    <w:p>
      <w:pPr>
        <w:spacing w:before="0" w:after="0" w:line="300" w:lineRule="auto"/>
        <w:ind w:firstLine="480"/>
        <w:jc w:val="both"/>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，说明分层样本与全局预测键一致。四格诊断的目的，是区分“目标侧是否存在标签事件”和“预测时规则是否触发”对应的误差构成；二者不是分类标签与分类器输出，正文不使用误报、漏报等术语。</w:t>
      </w:r>
    </w:p>
    <w:p>
      <w:pPr>
        <w:spacing w:before="240" w:after="180" w:line="300" w:lineRule="auto"/>
        <w:ind w:firstLine="0"/>
        <w:jc w:val="both"/>
        <w:outlineLvl w:val="2"/>
      </w:pPr>
      <w:r>
        <w:rPr>
          <w:rFonts w:ascii="Times New Roman" w:hAnsi="Times New Roman" w:cs="Times New Roman" w:eastAsia="黑体"/>
          <w:b w:val="0"/>
          <w:sz w:val="28"/>
        </w:rPr>
        <w:t>3.7.4 关系子集与敏感性</w:t>
      </w:r>
    </w:p>
    <w:p>
      <w:pPr>
        <w:spacing w:before="0" w:after="0" w:line="300" w:lineRule="auto"/>
        <w:ind w:firstLine="480"/>
        <w:jc w:val="both"/>
      </w:pPr>
      <w:r>
        <w:rPr>
          <w:rFonts w:ascii="Times New Roman" w:hAnsi="Times New Roman" w:cs="Times New Roman" w:eastAsia="宋体"/>
          <w:b w:val="0"/>
          <w:sz w:val="24"/>
        </w:rPr>
        <w:t>关系子集实验采用另一套完整模型协议，基线MAE为0.01412，不与表3-5(a)或表3-1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（c）关系子集与超参数敏感性</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实验组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组内结论</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三关系</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仅负荷</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仅行为</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仅轮廓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0.01401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数值略低</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0.01448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078"/>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变化不足0.03%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078"/>
            <w:vAlign w:val="center"/>
            <w:tcBorders>
              <w:top w:val="nil"/>
              <w:bottom w:val="single" w:sz="12" w:color="000000"/>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变化不足0.03%</w:t>
            </w:r>
          </w:p>
        </w:tc>
      </w:tr>
    </w:tbl>
    <w:p>
      <w:pPr>
        <w:spacing w:before="240" w:after="180" w:line="300" w:lineRule="auto"/>
        <w:ind w:firstLine="0"/>
        <w:jc w:val="both"/>
        <w:outlineLvl w:val="2"/>
      </w:pPr>
      <w:r>
        <w:rPr>
          <w:rFonts w:ascii="Times New Roman" w:hAnsi="Times New Roman" w:cs="Times New Roman" w:eastAsia="黑体"/>
          <w:b w:val="0"/>
          <w:sz w:val="28"/>
        </w:rPr>
        <w:t>3.7.5 严格可见输入协议下的压力测试</w:t>
      </w:r>
    </w:p>
    <w:p>
      <w:pPr>
        <w:spacing w:before="0" w:after="0" w:line="300" w:lineRule="auto"/>
        <w:ind w:firstLine="480"/>
        <w:jc w:val="both"/>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pPr>
      <w:r>
        <w:rPr>
          <w:rFonts w:ascii="Times New Roman" w:hAnsi="Times New Roman" w:cs="Times New Roman" w:eastAsia="宋体"/>
          <w:b w:val="0"/>
          <w:sz w:val="24"/>
        </w:rPr>
        <w:t>该协议共完成12种配置、每种配置3个随机种子，训练预算和模型选择规则保持一致。结果见表3-7。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keepNext/>
        <w:spacing w:before="60" w:after="60" w:line="240" w:lineRule="auto"/>
        <w:ind w:firstLine="0"/>
        <w:jc w:val="center"/>
      </w:pPr>
      <w:r>
        <w:rPr>
          <w:rFonts w:ascii="Times New Roman" w:hAnsi="Times New Roman" w:cs="Times New Roman" w:eastAsia="黑体"/>
          <w:b w:val="0"/>
          <w:sz w:val="21"/>
        </w:rPr>
        <w:t>表3-7 严格可见输入协议下的正式结果与内部消融</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事件段MAE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平稳段MAE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参数量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最优轮次/实际停止轮次</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agcrn_full</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0.03743±0.00022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0.3774±0.0008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0.0325±0.0002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199,912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1/1/1；9/9/9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mrg_equal_beta</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0.03862±0.00028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0.3812±0.0014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0.0336±0.0003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17/16/13；25/24/21</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mrg_full</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0.03890±0.00010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0.3810±0.0009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0.0339±0.0001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27/19/19；35/27/27</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mrg_no_skip</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0.03900±0.00051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0.3829±0.0019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0.0340±0.0005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30,666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60/21/39；60/29/47</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mrg_no_refine</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0.03931±0.00031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0.3805±0.0015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0.0343±0.0003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30,602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22/28/60；30/36/60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mrg_pattern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0.03948±0.00031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0.3816±0.0025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0.0345±0.0003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48/54/51；56/60/59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mrg_fixed_gate</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0.04111±0.00147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0.3825±0.0008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0.0361±0.0015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28,554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60/58/60；60/60/60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mrg_load</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0.04315±0.00073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0.3805±0.0024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0.0382±0.0008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48/21/51；56/29/59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mrg_event</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0.04559±0.00027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0.3780±0.0004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0.0407±0.0003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5/21/5；13/29/13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mrg_self_loop</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0.04610±0.00057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0.3739±0.0010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0.0413±0.0006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2/1/6；10/9/14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0.04629±0.00019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0.3751±0.0007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0.0415±0.0002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16,996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6/1/8；14/9/16</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tcn_wide</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0.04634±0.00029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0.3746±0.0019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0.0415±0.0003</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32,674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11/4/3；19/12/11</w:t>
            </w:r>
          </w:p>
        </w:tc>
      </w:tr>
    </w:tbl>
    <w:p>
      <w:pPr>
        <w:spacing w:before="0" w:after="0" w:line="300" w:lineRule="auto"/>
        <w:ind w:firstLine="480"/>
        <w:jc w:val="both"/>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pPr>
      <w:r>
        <w:rPr>
          <w:rFonts w:ascii="Times New Roman" w:hAnsi="Times New Roman" w:cs="Times New Roman" w:eastAsia="宋体"/>
          <w:b w:val="0"/>
          <w:sz w:val="24"/>
        </w:rPr>
        <w:t>在同一新协议下，mrg_full比参数量近似匹配的tcn_wide低16.1%的全局MAE，说明删除旧代理负荷输入后，站内关系路径仍保留相对纯时序路径的价值。另一方面，agcrn_full比mrg_full低3.9%，但参数量约为其6.1倍，因此该差异只作为完整能力基线结果，不解释为结构公平比较。内部消融的全局MAE从低到高依次为mrg_equal_beta、mrg_full、mrg_no_skip、mrg_no_refine、mrg_pattern、mrg_fixed_gate、mrg_load和mrg_event。其中固定门值退化最明显，去除跨层拼接和精炼的变化较小；三个单关系变体均劣于三关系融合，轮廓关系优于负荷关系，负荷关系又优于行为关系，支持关系互补性的窄结论。mrg_equal_beta略低于mrg_full但差异处于三种子波动量级，只能表述为“未观察到可辨识的可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增益”，不能写成等权重带来的正向收益。</w:t>
      </w:r>
    </w:p>
    <w:p>
      <w:pPr>
        <w:spacing w:before="0" w:after="0" w:line="300" w:lineRule="auto"/>
        <w:ind w:firstLine="480"/>
        <w:jc w:val="both"/>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本压力测试不改变旧主实验的结论层级，也不补齐新协议下的全部公平基线。严格意义上，行为输入GRU/MLP或线性下界，以及参数量匹配的AGCRN仍未在该协议中执行；旧协议的GRU、MLP和传统基线不能直接搬入表3-7。</w:t>
      </w:r>
    </w:p>
    <w:p>
      <w:pPr>
        <w:spacing w:before="360" w:after="240" w:line="360" w:lineRule="auto"/>
        <w:ind w:firstLine="0"/>
        <w:jc w:val="both"/>
        <w:outlineLvl w:val="1"/>
      </w:pPr>
      <w:r>
        <w:rPr>
          <w:rFonts w:ascii="Times New Roman" w:hAnsi="Times New Roman" w:cs="Times New Roman" w:eastAsia="黑体"/>
          <w:b/>
          <w:sz w:val="30"/>
        </w:rPr>
        <w:t>3.8 方法设计及证据边界</w:t>
      </w:r>
    </w:p>
    <w:p>
      <w:pPr>
        <w:spacing w:before="0" w:after="0" w:line="300" w:lineRule="auto"/>
        <w:ind w:firstLine="480"/>
        <w:jc w:val="both"/>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本章的方法设计主要体现在面向站内充电节点任务的关系构造、门控组合和统一验证协议，而非声称图卷积、TCN或门控机制本身首次出现。各组件对应的实验证据及适用边界见表3-6。</w:t>
      </w:r>
    </w:p>
    <w:p>
      <w:pPr>
        <w:keepNext/>
        <w:spacing w:before="60" w:after="60" w:line="240" w:lineRule="auto"/>
        <w:ind w:firstLine="0"/>
        <w:jc w:val="center"/>
      </w:pPr>
      <w:r>
        <w:rPr>
          <w:rFonts w:ascii="Times New Roman" w:hAnsi="Times New Roman" w:cs="Times New Roman" w:eastAsia="黑体"/>
          <w:b w:val="0"/>
          <w:sz w:val="21"/>
        </w:rPr>
        <w:t>表3-6 方法设计组件与证据对照</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组件</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本文实现</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现有证据与边界</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LRE三关系图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训练期负荷耦合、行为共现、轮廓相似关系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MRG-GCN较无图基线更低；单关系与三关系接近，未证明三类均有独立增量</w:t>
            </w:r>
          </w:p>
        </w:tc>
      </w:tr>
      <w:tr>
        <w:trPr>
          <w:cantSplit/>
        </w:trPr>
        <w:tc>
          <w:tcPr>
            <w:tcW w:type="dxa" w:w="2770"/>
            <w:vAlign w:val="center"/>
            <w:tcBorders>
              <w:top w:val="nil"/>
              <w:bottom w:val="nil"/>
              <w:left w:val="nil"/>
              <w:right w:val="nil"/>
            </w:tcBorders>
          </w:tcPr>
          <w:p>
            <w:pPr>
              <w:spacing w:before="0" w:after="0" w:line="240" w:lineRule="auto"/>
              <w:ind w:firstLine="0"/>
              <w:jc w:val="center"/>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t>门控</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两层独立Softmax关系权重</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7种干预均退化；只支持对所检配置的功能依赖</w:t>
            </w:r>
          </w:p>
        </w:tc>
      </w:tr>
      <w:tr>
        <w:trPr>
          <w:cantSplit/>
        </w:trPr>
        <w:tc>
          <w:tcPr>
            <w:tcW w:type="dxa" w:w="2770"/>
            <w:vAlign w:val="center"/>
            <w:tcBorders>
              <w:top w:val="nil"/>
              <w:bottom w:val="nil"/>
              <w:left w:val="nil"/>
              <w:right w:val="nil"/>
            </w:tcBorders>
          </w:tcPr>
          <w:p>
            <w:pPr>
              <w:spacing w:before="0" w:after="0" w:line="240" w:lineRule="auto"/>
              <w:ind w:firstLine="0"/>
              <w:jc w:val="center"/>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t>门控</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按样本、节点和特征融合自身与邻域消息</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已纳入完整模型，未作单独消融，不报告独立增益</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双层传播与跨层融合</w:t>
            </w:r>
          </w:p>
        </w:tc>
        <w:tc>
          <w:tcPr>
            <w:tcW w:type="dxa" w:w="2770"/>
            <w:vAlign w:val="center"/>
            <w:tcBorders>
              <w:top w:val="nil"/>
              <w:bottom w:val="nil"/>
              <w:left w:val="nil"/>
              <w:right w:val="nil"/>
            </w:tcBorders>
          </w:tcPr>
          <w:p>
            <w:pPr>
              <w:spacing w:before="0" w:after="0" w:line="240" w:lineRule="auto"/>
              <w:ind w:firstLine="0"/>
              <w:jc w:val="center"/>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由完整模型结果支持，未穷举层数和融合形式</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训练时整类屏蔽并至少保留一种关系</w:t>
            </w:r>
          </w:p>
        </w:tc>
        <w:tc>
          <w:tcPr>
            <w:tcW w:type="dxa" w:w="2770"/>
            <w:vAlign w:val="center"/>
            <w:tcBorders>
              <w:top w:val="nil"/>
              <w:bottom w:val="nil"/>
              <w:left w:val="nil"/>
              <w:right w:val="nil"/>
            </w:tcBorders>
          </w:tcPr>
          <w:p>
            <w:pPr>
              <w:spacing w:before="0" w:after="0" w:line="240" w:lineRule="auto"/>
              <w:ind w:firstLine="0"/>
              <w:jc w:val="center"/>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r>
                <m:t>/</m:t>
              </m:r>
              <m:r>
                <m:t>0.4</m:t>
              </m:r>
            </m:oMath>
            <w:r>
              <w:rPr/>
              <w:t>未见实质收益，主模型关闭</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统一诊断接口</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同键评价、四格还原及参数干预</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为第4章三层机制诊断提供可复核接口，不等同于因果识别</w:t>
            </w:r>
          </w:p>
        </w:tc>
      </w:tr>
    </w:tbl>
    <w:p>
      <w:pPr>
        <w:spacing w:before="240" w:after="180" w:line="300" w:lineRule="auto"/>
        <w:ind w:firstLine="0"/>
        <w:jc w:val="both"/>
        <w:outlineLvl w:val="2"/>
      </w:pPr>
      <w:r>
        <w:rPr>
          <w:rFonts w:ascii="Times New Roman" w:hAnsi="Times New Roman" w:cs="Times New Roman" w:eastAsia="黑体"/>
          <w:b w:val="0"/>
          <w:sz w:val="28"/>
        </w:rPr>
        <w:t>3.8.1 新旧输入协议的对应问题</w:t>
      </w:r>
    </w:p>
    <w:p>
      <w:pPr>
        <w:spacing w:before="0" w:after="0" w:line="300" w:lineRule="auto"/>
        <w:ind w:firstLine="480"/>
        <w:jc w:val="both"/>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严格可见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pPr>
      <w:r>
        <w:rPr>
          <w:rFonts w:ascii="Times New Roman" w:hAnsi="Times New Roman" w:cs="Times New Roman" w:eastAsia="宋体"/>
          <w:b w:val="0"/>
          <w:sz w:val="24"/>
        </w:rPr>
        <w:t>旧协议具有完整基线、三种子结果和配套机制诊断，因而承担主要预测结论；新协议仅作为压力测试，报告同协议内的模型排序与组件边界。其中，mrg_full的MAE为0.03890，较容量近似匹配的tcn_wide（0.04634）低16.1%；agcrn_full为0.03743，但参数量约为前者的6.1倍，只作为完整能力基线。内部消融中，mrg_fixed_gate相对mrg_full上升5.68%，而mrg_no_refine和mrg_no_skip变化较小；mrg_equal_beta略优于学习β且差异处于种子波动量级，故不主张可学习β在新协议中产生可辨识增益。单关系模型均劣于三关系融合，但不能据此断言每类关系都有独立正增量。</w:t>
      </w:r>
    </w:p>
    <w:p>
      <w:pPr>
        <w:spacing w:before="0" w:after="0" w:line="300" w:lineRule="auto"/>
        <w:ind w:firstLine="480"/>
        <w:jc w:val="both"/>
      </w:pPr>
      <w:r>
        <w:rPr>
          <w:rFonts w:ascii="Times New Roman" w:hAnsi="Times New Roman" w:cs="Times New Roman" w:eastAsia="宋体"/>
          <w:b w:val="0"/>
          <w:sz w:val="24"/>
        </w:rPr>
        <w:t>新协议36项运行均按同一验证选择和早停规则完成并通过逐运行校验。部分变体达到最大轮次，只表明其在给定预算内未触发早停；除非日志显示验证损失仍持续下降或不同配置采用了不同选择规则，否则不据此删除运行或事后增加训练预算。若需形成新协议下的完整性能排行榜，还应补齐相同输入、调参预算、参数量控制和三种子重复的传统与深度学习基线；在此之前，不使用旧协议结果填补新协议空缺。</w:t>
      </w:r>
    </w:p>
    <w:p>
      <w:pPr>
        <w:spacing w:before="360" w:after="240" w:line="360" w:lineRule="auto"/>
        <w:ind w:firstLine="0"/>
        <w:jc w:val="both"/>
        <w:outlineLvl w:val="1"/>
      </w:pPr>
      <w:r>
        <w:rPr>
          <w:rFonts w:ascii="Times New Roman" w:hAnsi="Times New Roman" w:cs="Times New Roman" w:eastAsia="黑体"/>
          <w:b/>
          <w:sz w:val="30"/>
        </w:rPr>
        <w:t>3.9 本章小结</w:t>
      </w:r>
    </w:p>
    <w:p>
      <w:pPr>
        <w:spacing w:before="0" w:after="0" w:line="300" w:lineRule="auto"/>
        <w:ind w:firstLine="480"/>
        <w:jc w:val="both"/>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节点级门控也缺少独立消融证据。下一章将把这些证据按干预归因、蒸馏验证和四格溯源组织为机制诊断协议。</w:t>
      </w:r>
    </w:p>
    <w:p>
      <w:pPr>
        <w:spacing w:before="0" w:after="0" w:line="300" w:lineRule="auto"/>
        <w:ind w:firstLine="480"/>
        <w:jc w:val="both"/>
      </w:pPr>
      <w:r>
        <w:rPr>
          <w:rFonts w:ascii="Times New Roman" w:hAnsi="Times New Roman" w:cs="Times New Roman" w:eastAsia="宋体"/>
          <w:b w:val="0"/>
          <w:sz w:val="24"/>
        </w:rPr>
        <w:t>为核查输入信息权限的影响，本文另按SG-DATA-006-eventtime-v1完成36项新协议运行。该组只作可见性边界和内部设计压力测试：行为可见输入下，MRG相对容量匹配TCN仍有相对优势，但完整AGCRN能力基线更低，且等权</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与学习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未见可辨识差异；旧协议仍承担主要预测结论，两组结果不合并排名。</w:t>
      </w:r>
    </w:p>
    <w:p>
      <w:pPr>
        <w:sectPr>
          <w:headerReference w:type="default" r:id="rId74"/>
          <w:headerReference w:type="even" r:id="rId75"/>
          <w:footerReference w:type="default" r:id="rId7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pPr>
      <w:r>
        <w:rPr>
          <w:rFonts w:ascii="Times New Roman" w:hAnsi="Times New Roman" w:cs="Times New Roman" w:eastAsia="黑体"/>
          <w:b/>
          <w:sz w:val="30"/>
        </w:rPr>
        <w:t>4.1 引言：MDP协议的定义与设计原则</w:t>
      </w:r>
    </w:p>
    <w:p>
      <w:pPr>
        <w:spacing w:before="0" w:after="0" w:line="300" w:lineRule="auto"/>
        <w:ind w:firstLine="480"/>
        <w:jc w:val="both"/>
      </w:pPr>
      <w:r>
        <w:rPr>
          <w:rFonts w:ascii="Times New Roman" w:hAnsi="Times New Roman" w:cs="Times New Roman" w:eastAsia="宋体"/>
          <w:b w:val="0"/>
          <w:sz w:val="24"/>
        </w:rPr>
        <w:t>第3章给出了MRG-GCN在共同预测键上的误差表现，但预测精度不能说明模型如何使用关系结构，也不能揭示全局误差的样本构成。特征归因或权重可视化能够展示模型读数</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，却无法直接回答关系分配改变后的响应、图模型信息能否被纯时序学生吸收，以及事件样本如何贡献总体误差。针对这三个问题，本文构建三层机制诊断协议（mechanism diagnosis protocol，MDP），以明确的操作和判定边界补充观察式解释。</w:t>
      </w:r>
    </w:p>
    <w:p>
      <w:pPr>
        <w:spacing w:before="0" w:after="0" w:line="300" w:lineRule="auto"/>
        <w:ind w:firstLine="480"/>
        <w:jc w:val="both"/>
      </w:pPr>
      <w:r>
        <w:rPr>
          <w:rFonts w:ascii="Times New Roman" w:hAnsi="Times New Roman" w:cs="Times New Roman" w:eastAsia="宋体"/>
          <w:b w:val="0"/>
          <w:sz w:val="24"/>
        </w:rPr>
        <w:t>MDP按由内到外的顺序设置三个层次。L1为干预归因层，提取并替换关系级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考察模型对关系分配的功能敏感度；L2为蒸馏验证层，以固定图模型为教师、纯TCN为学生，检验所选蒸馏设置能否缩小师生差距；L3为四格溯源层，以目标侧标签事件和冻结规则触发交叉分层，定位不同样本组的误差及其对全局MAE的贡献。每层均包括操作定义、诊断实验和判定边界，整体结构见图4-1，层次与证据边界汇总于表4-1。</w:t>
      </w:r>
    </w:p>
    <w:p>
      <w:pPr>
        <w:spacing w:before="0" w:after="0" w:line="300" w:lineRule="auto"/>
        <w:ind w:firstLine="480"/>
        <w:jc w:val="both"/>
      </w:pPr>
      <w:r>
        <w:rPr>
          <w:rFonts w:ascii="Times New Roman" w:hAnsi="Times New Roman" w:cs="Times New Roman" w:eastAsia="宋体"/>
          <w:b w:val="0"/>
          <w:sz w:val="24"/>
        </w:rPr>
        <w:t>为避免三类证据混用，本章明确区分：权重画像是训练后参数的观察性读数；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替换是在冻结模型上的功能干预；四格诊断是同一主模型三种子预测的样本误差分解。三者使用不同对象和对照条件，不能互相替代。</w:t>
      </w:r>
    </w:p>
    <w:p>
      <w:pPr>
        <w:spacing w:before="60" w:after="60" w:line="240" w:lineRule="auto"/>
        <w:ind w:firstLine="0"/>
        <w:jc w:val="center"/>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9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图4-1 三层机制诊断协议</w:t>
      </w:r>
    </w:p>
    <w:p>
      <w:pPr>
        <w:spacing w:before="0" w:after="0" w:line="300" w:lineRule="auto"/>
        <w:ind w:firstLine="480"/>
        <w:jc w:val="both"/>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keepNext/>
        <w:spacing w:before="60" w:after="60" w:line="240" w:lineRule="auto"/>
        <w:ind w:firstLine="0"/>
        <w:jc w:val="center"/>
      </w:pPr>
      <w:r>
        <w:rPr>
          <w:rFonts w:ascii="Times New Roman" w:hAnsi="Times New Roman" w:cs="Times New Roman" w:eastAsia="黑体"/>
          <w:b w:val="0"/>
          <w:sz w:val="21"/>
        </w:rPr>
        <w:t>表4-1 MDP三层机制画像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层次</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研究问题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操作与证据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本文判定及边界</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L1 干预归因</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模型依赖何种关系分配？</w:t>
            </w:r>
          </w:p>
        </w:tc>
        <w:tc>
          <w:tcPr>
            <w:tcW w:type="dxa" w:w="2078"/>
            <w:vAlign w:val="center"/>
            <w:tcBorders>
              <w:top w:val="nil"/>
              <w:bottom w:val="nil"/>
              <w:left w:val="nil"/>
              <w:right w:val="nil"/>
            </w:tcBorders>
          </w:tcPr>
          <w:p>
            <w:pPr>
              <w:spacing w:before="0" w:after="0" w:line="240" w:lineRule="auto"/>
              <w:ind w:firstLine="0"/>
              <w:jc w:val="center"/>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t>观察＋7种冻结模型前向干预×3种子</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观察到的权重画像与功能响应相互补充；所检替换均退化，不外推连续权重空间</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L2 蒸馏验证</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图模型收益能否被所检纯时序学生吸收？</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StaticGraph→TCN；4个蒸馏权重×3种子</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学生未弥合与教师的差距；结论仅适用于所检学生、目标和权重范围</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L3 四格溯源</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全局误差主要来自何类样本？</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目标侧标签事件×冻结规则触发；样本量加权还原</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事件窗口误差远高于稳定窗口；四格在18项正式运行中均可还原全局MAE</w:t>
            </w:r>
          </w:p>
        </w:tc>
      </w:tr>
    </w:tbl>
    <w:p>
      <w:pPr>
        <w:spacing w:before="360" w:after="240" w:line="360" w:lineRule="auto"/>
        <w:ind w:firstLine="0"/>
        <w:jc w:val="both"/>
        <w:outlineLvl w:val="1"/>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pPr>
      <w:r>
        <w:rPr>
          <w:rFonts w:ascii="Times New Roman" w:hAnsi="Times New Roman" w:cs="Times New Roman" w:eastAsia="黑体"/>
          <w:b w:val="0"/>
          <w:sz w:val="28"/>
        </w:rPr>
        <w:t>4.2.1 观察操作</w:t>
      </w:r>
    </w:p>
    <w:p>
      <w:pPr>
        <w:spacing w:before="0" w:after="0" w:line="300" w:lineRule="auto"/>
        <w:ind w:firstLine="480"/>
        <w:jc w:val="both"/>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pPr>
      <w:r>
        <w:rPr>
          <w:rFonts w:ascii="Times New Roman" w:hAnsi="Times New Roman" w:cs="Times New Roman" w:eastAsia="黑体"/>
          <w:b w:val="0"/>
          <w:sz w:val="28"/>
        </w:rPr>
        <w:t>4.2.2 干预操作</w:t>
      </w:r>
    </w:p>
    <w:p>
      <w:pPr>
        <w:spacing w:before="0" w:after="0" w:line="300" w:lineRule="auto"/>
        <w:ind w:firstLine="480"/>
        <w:jc w:val="both"/>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pPr>
      <w:r>
        <w:rPr>
          <w:rFonts w:ascii="Times New Roman" w:hAnsi="Times New Roman" w:cs="Times New Roman" w:eastAsia="黑体"/>
          <w:b w:val="0"/>
          <w:sz w:val="28"/>
        </w:rPr>
        <w:t>4.2.3 观察证据</w:t>
      </w:r>
    </w:p>
    <w:p>
      <w:pPr>
        <w:spacing w:before="0" w:after="0" w:line="300" w:lineRule="auto"/>
        <w:ind w:firstLine="480"/>
        <w:jc w:val="both"/>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keepNext/>
        <w:spacing w:before="60" w:after="60" w:line="240" w:lineRule="auto"/>
        <w:ind w:firstLine="0"/>
        <w:jc w:val="center"/>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黑体"/>
          <w:b w:val="0"/>
          <w:sz w:val="21"/>
        </w:rPr>
        <w:t>门控权重</w:t>
      </w:r>
    </w:p>
    <w:tbl>
      <w:tblPr>
        <w:tblW w:type="dxa" w:w="8312"/>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val="true"/>
        </w:trPr>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层次</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关系</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seed-2024</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seed-2025</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seed-2026</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样本标准差</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0.3386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0.3481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0.0047</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0.4053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0.4030</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0.3985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0.4022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0.0035</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轮廓相似</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0.2514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0.2584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0.2534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0.2544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0.0036</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0.3537</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0.3465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0.3573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0.3525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0.0055</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0.3026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0.3506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0.3133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0.3222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0.0252</w:t>
            </w:r>
          </w:p>
        </w:tc>
      </w:tr>
      <w:tr>
        <w:trPr>
          <w:cantSplit/>
        </w:trPr>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轮廓相似</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0.3437</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0.3029</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0.3294</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0.3253</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0.0207</w:t>
            </w:r>
          </w:p>
        </w:tc>
      </w:tr>
    </w:tbl>
    <w:p>
      <w:pPr>
        <w:spacing w:before="0" w:after="0" w:line="300" w:lineRule="auto"/>
        <w:ind w:firstLine="480"/>
        <w:jc w:val="both"/>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pPr>
      <w:r>
        <w:rPr>
          <w:rFonts w:ascii="Times New Roman" w:hAnsi="Times New Roman" w:cs="Times New Roman" w:eastAsia="黑体"/>
          <w:b w:val="0"/>
          <w:sz w:val="28"/>
        </w:rPr>
        <w:t>4.2.4 干预证据</w:t>
      </w:r>
    </w:p>
    <w:p>
      <w:pPr>
        <w:spacing w:before="0" w:after="0" w:line="300" w:lineRule="auto"/>
        <w:ind w:firstLine="480"/>
        <w:jc w:val="both"/>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95"/>
                    <a:stretch>
                      <a:fillRect/>
                    </a:stretch>
                  </pic:blipFill>
                  <pic:spPr>
                    <a:xfrm>
                      <a:off x="0" y="0"/>
                      <a:ext cx="5112000" cy="26455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图4-2 两层关系级β门控权重画像</w:t>
      </w:r>
    </w:p>
    <w:p>
      <w:pPr>
        <w:spacing w:before="0" w:after="0" w:line="300" w:lineRule="auto"/>
        <w:ind w:firstLine="480"/>
        <w:jc w:val="both"/>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pPr>
      <w:r>
        <w:drawing>
          <wp:inline xmlns:a="http://schemas.openxmlformats.org/drawingml/2006/main" xmlns:pic="http://schemas.openxmlformats.org/drawingml/2006/picture">
            <wp:extent cx="5112000" cy="263463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96"/>
                    <a:stretch>
                      <a:fillRect/>
                    </a:stretch>
                  </pic:blipFill>
                  <pic:spPr>
                    <a:xfrm>
                      <a:off x="0" y="0"/>
                      <a:ext cx="5112000" cy="26346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图4-3 关系级门控参数干预结果</w:t>
      </w:r>
    </w:p>
    <w:p>
      <w:pPr>
        <w:spacing w:before="0" w:after="0" w:line="300" w:lineRule="auto"/>
        <w:ind w:firstLine="480"/>
        <w:jc w:val="both"/>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pPr>
      <w:r>
        <w:rPr>
          <w:rFonts w:ascii="Times New Roman" w:hAnsi="Times New Roman" w:cs="Times New Roman" w:eastAsia="黑体"/>
          <w:b w:val="0"/>
          <w:sz w:val="28"/>
        </w:rPr>
        <w:t>4.2.5 L1判定结论</w:t>
      </w:r>
    </w:p>
    <w:p>
      <w:pPr>
        <w:spacing w:before="0" w:after="0" w:line="300" w:lineRule="auto"/>
        <w:ind w:firstLine="480"/>
        <w:jc w:val="both"/>
      </w:pPr>
      <w:r>
        <w:rPr>
          <w:rFonts w:ascii="Times New Roman" w:hAnsi="Times New Roman" w:cs="Times New Roman" w:eastAsia="宋体"/>
          <w:b w:val="0"/>
          <w:sz w:val="24"/>
        </w:rPr>
        <w:t>L1的观察和干预结果共同表明，在旧协议的训练后前向替换中，先验等权、固定单关系或层间交换均不能替代学习值。该判定只针对所检7种离散替换；它不等同于等权重重训的结果，也不意味着当前权重是连续空间的全局最优。</w:t>
      </w:r>
    </w:p>
    <w:p>
      <w:pPr>
        <w:spacing w:before="360" w:after="240" w:line="360" w:lineRule="auto"/>
        <w:ind w:firstLine="0"/>
        <w:jc w:val="both"/>
        <w:outlineLvl w:val="1"/>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pPr>
      <w:r>
        <w:rPr>
          <w:rFonts w:ascii="Times New Roman" w:hAnsi="Times New Roman" w:cs="Times New Roman" w:eastAsia="黑体"/>
          <w:b w:val="0"/>
          <w:sz w:val="28"/>
        </w:rPr>
        <w:t>4.3.1 协议操作</w:t>
      </w:r>
    </w:p>
    <w:p>
      <w:pPr>
        <w:spacing w:before="0" w:after="0" w:line="300" w:lineRule="auto"/>
        <w:ind w:firstLine="480"/>
        <w:jc w:val="both"/>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ℒ</m:t>
            </m:r>
          </m:e>
          <m:sub>
            <m:r>
              <m:t>KD</m:t>
            </m:r>
          </m:sub>
        </m:sSub>
        <m:r>
          <m:t>=</m:t>
        </m:r>
        <m:sSub>
          <m:sSubPr/>
          <m:e>
            <m:r>
              <m:t>ℒ</m:t>
            </m:r>
          </m:e>
          <m:sub>
            <m:r>
              <m:t>1</m:t>
            </m:r>
          </m:sub>
        </m:sSub>
        <m:r>
          <m:t>(</m:t>
        </m:r>
        <m:sSub>
          <m:sSubPr/>
          <m:e>
            <m:r>
              <m:t>y</m:t>
            </m:r>
            <m:r>
              <m:t>ˆ</m:t>
            </m:r>
          </m:e>
          <m:sub>
            <m:r>
              <m:t>s</m:t>
            </m:r>
          </m:sub>
        </m:sSub>
        <m:r>
          <m:t>,</m:t>
        </m:r>
        <m:r>
          <m:t>y</m:t>
        </m:r>
        <m:r>
          <m:t>)</m:t>
        </m:r>
        <m:r>
          <m:t>+</m:t>
        </m:r>
        <m:r>
          <m:t>α</m:t>
        </m:r>
        <m:r>
          <m:t>MSE</m:t>
        </m:r>
        <m:r>
          <m:t>⁡</m:t>
        </m:r>
        <m:r>
          <m:t>(</m:t>
        </m:r>
        <m:sSub>
          <m:sSubPr/>
          <m:e>
            <m:r>
              <m:t>y</m:t>
            </m:r>
            <m:r>
              <m:t>ˆ</m:t>
            </m:r>
          </m:e>
          <m:sub>
            <m:r>
              <m:t>s</m:t>
            </m:r>
          </m:sub>
        </m:sSub>
        <m:r>
          <m:t>,</m:t>
        </m:r>
        <m:sSub>
          <m:sSubPr/>
          <m:e>
            <m:r>
              <m:t>y</m:t>
            </m:r>
            <m:r>
              <m:t>ˆ</m:t>
            </m:r>
          </m:e>
          <m:sub>
            <m:r>
              <m:t>t</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m:t>
        </m:r>
        <m:r>
          <m:t>0.1,0.5,1.0,2.0</m:t>
        </m:r>
        <m: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pPr>
      <w:r>
        <w:rPr>
          <w:rFonts w:ascii="Times New Roman" w:hAnsi="Times New Roman" w:cs="Times New Roman" w:eastAsia="黑体"/>
          <w:b w:val="0"/>
          <w:sz w:val="28"/>
        </w:rPr>
        <w:t>4.3.2 诊断实验</w:t>
      </w:r>
    </w:p>
    <w:p>
      <w:pPr>
        <w:spacing w:before="0" w:after="0" w:line="300" w:lineRule="auto"/>
        <w:ind w:firstLine="480"/>
        <w:jc w:val="both"/>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2</m:t>
        </m:r>
      </m:oMath>
      <w:r>
        <w:rPr>
          <w:rFonts w:ascii="Times New Roman" w:hAnsi="Times New Roman" w:cs="Times New Roman" w:eastAsia="宋体"/>
          <w:b w:val="0"/>
          <w:sz w:val="24"/>
        </w:rPr>
        <w:t>仍约为教师MAE的2.1倍。</w:t>
      </w:r>
    </w:p>
    <w:p>
      <w:pPr>
        <w:keepNext/>
        <w:spacing w:before="60" w:after="60" w:line="240" w:lineRule="auto"/>
        <w:ind w:firstLine="0"/>
        <w:jc w:val="center"/>
      </w:pPr>
      <w:r>
        <w:rPr>
          <w:rFonts w:ascii="Times New Roman" w:hAnsi="Times New Roman" w:cs="Times New Roman" w:eastAsia="黑体"/>
          <w:b w:val="0"/>
          <w:sz w:val="21"/>
        </w:rPr>
        <w:t>表4-3 GCN→TCN知识蒸馏结果</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seed-2024</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seed-2025</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seed-2026</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均值±SD</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相对教师倍数</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0.02946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0.02920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0.02934±0.00013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0.02918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0.02931±0.00021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0.02941±0.00014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2.14×</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0.02914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0.02925</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0.02923</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0.02921±0.00006</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2.12×</w:t>
            </w:r>
          </w:p>
        </w:tc>
      </w:tr>
    </w:tbl>
    <w:p>
      <w:pPr>
        <w:spacing w:before="0" w:after="0" w:line="300" w:lineRule="auto"/>
        <w:ind w:firstLine="480"/>
        <w:jc w:val="both"/>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范围。</w:t>
      </w:r>
    </w:p>
    <w:p>
      <w:pPr>
        <w:spacing w:before="240" w:after="180" w:line="300" w:lineRule="auto"/>
        <w:ind w:firstLine="0"/>
        <w:jc w:val="both"/>
        <w:outlineLvl w:val="2"/>
      </w:pPr>
      <w:r>
        <w:rPr>
          <w:rFonts w:ascii="Times New Roman" w:hAnsi="Times New Roman" w:cs="Times New Roman" w:eastAsia="黑体"/>
          <w:b w:val="0"/>
          <w:sz w:val="28"/>
        </w:rPr>
        <w:t>4.3.3 L2判定结论</w:t>
      </w:r>
    </w:p>
    <w:p>
      <w:pPr>
        <w:spacing w:before="0" w:after="0" w:line="300" w:lineRule="auto"/>
        <w:ind w:firstLine="480"/>
        <w:jc w:val="both"/>
      </w:pPr>
      <w:r>
        <w:rPr>
          <w:rFonts w:ascii="Times New Roman" w:hAnsi="Times New Roman" w:cs="Times New Roman" w:eastAsia="宋体"/>
          <w:b w:val="0"/>
          <w:sz w:val="24"/>
        </w:rPr>
        <w:t>在本实验的TCN学生、教师预测蒸馏目标和四个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取值下，蒸馏未弥合师生差距。该结果与L1相互补充：前者说明学习关系分配对当前模型有功能影响，后者说明该预测收益未被所检纯时序学生吸收。它不支持“图结构不可替代”的全称判断；更大容量学生、不同蒸馏目标或其他训练策略仍有待检验。</w:t>
      </w:r>
    </w:p>
    <w:p>
      <w:pPr>
        <w:spacing w:before="360" w:after="240" w:line="360" w:lineRule="auto"/>
        <w:ind w:firstLine="0"/>
        <w:jc w:val="both"/>
        <w:outlineLvl w:val="1"/>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pPr>
      <w:r>
        <w:rPr>
          <w:rFonts w:ascii="Times New Roman" w:hAnsi="Times New Roman" w:cs="Times New Roman" w:eastAsia="黑体"/>
          <w:b w:val="0"/>
          <w:sz w:val="28"/>
        </w:rPr>
        <w:t>4.4.1 协议操作</w:t>
      </w:r>
    </w:p>
    <w:p>
      <w:pPr>
        <w:spacing w:before="0" w:after="0" w:line="300" w:lineRule="auto"/>
        <w:ind w:firstLine="480"/>
        <w:jc w:val="both"/>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事后评价标签，后者是预测时刻可见的规则信号；二者并非分类器的预测与真值，因而不采用混淆矩阵或分类错误术语。</w:t>
      </w:r>
    </w:p>
    <w:p>
      <w:pPr>
        <w:spacing w:before="240" w:after="180" w:line="300" w:lineRule="auto"/>
        <w:ind w:firstLine="0"/>
        <w:jc w:val="both"/>
        <w:outlineLvl w:val="2"/>
      </w:pPr>
      <w:r>
        <w:rPr>
          <w:rFonts w:ascii="Times New Roman" w:hAnsi="Times New Roman" w:cs="Times New Roman" w:eastAsia="黑体"/>
          <w:b w:val="0"/>
          <w:sz w:val="28"/>
        </w:rPr>
        <w:t>4.4.2 诊断实验</w:t>
      </w:r>
    </w:p>
    <w:p>
      <w:pPr>
        <w:spacing w:before="0" w:after="0" w:line="300" w:lineRule="auto"/>
        <w:ind w:firstLine="480"/>
        <w:jc w:val="both"/>
      </w:pPr>
      <w:r>
        <w:rPr>
          <w:rFonts w:ascii="Times New Roman" w:hAnsi="Times New Roman" w:cs="Times New Roman" w:eastAsia="宋体"/>
          <w:b w:val="0"/>
          <w:sz w:val="24"/>
        </w:rPr>
        <w:t>为使L3与主结果保持同一证据口径，三种子均使用原正式StaticGraph逐键预测重建四格，不再使用AdaptiveGraph单种子示例。三种子在四个格中的样本量完全一致：标签事件/规则触发235个，标签事件/规则未触发9,925个，非标签事件/规则触发2,825个，非标签事件/规则未触发699,375个。三种子均值见表4-4，格内标准差只描述种子波动。</w:t>
      </w:r>
    </w:p>
    <w:p>
      <w:pPr>
        <w:keepNext/>
        <w:spacing w:before="60" w:after="60" w:line="240" w:lineRule="auto"/>
        <w:ind w:firstLine="0"/>
        <w:jc w:val="center"/>
      </w:pPr>
      <w:r>
        <w:rPr>
          <w:rFonts w:ascii="Times New Roman" w:hAnsi="Times New Roman" w:cs="Times New Roman" w:eastAsia="黑体"/>
          <w:b w:val="0"/>
          <w:sz w:val="21"/>
        </w:rPr>
        <w:t>表4-4 原正式MRG-GCN三种子四格误差溯源</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分组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target_event</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rule_trigger</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样本量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占比</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MAE（均值±SD）</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标签事件/规则触发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0.21723±0.00598</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标签事件/规则未触发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9,925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1.3933%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0.27747±0.00098</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非标签事件/规则触发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0.3966%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0.07254±0.00591</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非标签事件/规则未触发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699,375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98.1772%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0.00971±0.00019</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合计</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712,360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100.0000%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0.01376±0.00023</w:t>
            </w:r>
          </w:p>
        </w:tc>
      </w:tr>
    </w:tbl>
    <w:p>
      <w:pPr>
        <w:spacing w:before="0" w:after="0" w:line="300" w:lineRule="auto"/>
        <w:ind w:firstLine="480"/>
        <w:jc w:val="both"/>
      </w:pPr>
      <w:r>
        <w:rPr>
          <w:rFonts w:ascii="Times New Roman" w:hAnsi="Times New Roman" w:cs="Times New Roman" w:eastAsia="宋体"/>
          <w:b w:val="0"/>
          <w:sz w:val="24"/>
        </w:rPr>
        <w:t>注：四格MAE为三种子均值±样本标准差；原四格RMSE和WAPE未在本次三种子锁定汇总中重建，故不填入未经核验的数值。</w:t>
      </w:r>
    </w:p>
    <w:p>
      <w:pPr>
        <w:spacing w:before="0" w:after="0" w:line="300" w:lineRule="auto"/>
        <w:ind w:firstLine="480"/>
        <w:jc w:val="both"/>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pPr>
      <w:r>
        <w:drawing>
          <wp:inline xmlns:a="http://schemas.openxmlformats.org/drawingml/2006/main" xmlns:pic="http://schemas.openxmlformats.org/drawingml/2006/picture">
            <wp:extent cx="5112000" cy="2125240"/>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97"/>
                    <a:stretch>
                      <a:fillRect/>
                    </a:stretch>
                  </pic:blipFill>
                  <pic:spPr>
                    <a:xfrm>
                      <a:off x="0" y="0"/>
                      <a:ext cx="5112000" cy="212524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图4-4 事件标签与规则触发的四格诊断</w:t>
      </w:r>
    </w:p>
    <w:p>
      <w:pPr>
        <w:spacing w:before="0" w:after="0" w:line="300" w:lineRule="auto"/>
        <w:ind w:firstLine="480"/>
        <w:jc w:val="both"/>
      </w:pPr>
      <w:r>
        <w:rPr>
          <w:rFonts w:ascii="Times New Roman" w:hAnsi="Times New Roman" w:cs="Times New Roman" w:eastAsia="宋体"/>
          <w:b w:val="0"/>
          <w:sz w:val="18"/>
        </w:rPr>
        <w:t>注：A展示原正式MRG-GCN三种子四格MAE均值、跨种子样本标准差和样本量，B以配对点线对比各格样本占比和按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MAE</m:t>
        </m:r>
      </m:oMath>
      <w:r>
        <w:rPr>
          <w:rFonts w:ascii="Times New Roman" w:hAnsi="Times New Roman" w:cs="Times New Roman" w:eastAsia="宋体"/>
          <w:b w:val="0"/>
          <w:sz w:val="18"/>
        </w:rPr>
        <w:t>计算的绝对误差贡献。四格计数来自共同预测键，三种子均值与离散度可由锁定汇总复算。</w:t>
      </w:r>
    </w:p>
    <w:p>
      <w:pPr>
        <w:spacing w:before="60" w:after="60" w:line="240" w:lineRule="auto"/>
        <w:ind w:firstLine="0"/>
        <w:jc w:val="center"/>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98"/>
                    <a:stretch>
                      <a:fillRect/>
                    </a:stretch>
                  </pic:blipFill>
                  <pic:spPr>
                    <a:xfrm>
                      <a:off x="0" y="0"/>
                      <a:ext cx="5112000" cy="217940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图4-5 不同模型的残差分布</w:t>
      </w:r>
    </w:p>
    <w:p>
      <w:pPr>
        <w:spacing w:before="0" w:after="0" w:line="300" w:lineRule="auto"/>
        <w:ind w:firstLine="480"/>
        <w:jc w:val="both"/>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pPr>
      <w:r>
        <w:drawing>
          <wp:inline xmlns:a="http://schemas.openxmlformats.org/drawingml/2006/main" xmlns:pic="http://schemas.openxmlformats.org/drawingml/2006/picture">
            <wp:extent cx="5112000" cy="289448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99"/>
                    <a:stretch>
                      <a:fillRect/>
                    </a:stretch>
                  </pic:blipFill>
                  <pic:spPr>
                    <a:xfrm>
                      <a:off x="0" y="0"/>
                      <a:ext cx="5112000" cy="289448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图4-6 误差与可见事件分数的关系</w:t>
      </w:r>
    </w:p>
    <w:p>
      <w:pPr>
        <w:spacing w:before="0" w:after="0" w:line="300" w:lineRule="auto"/>
        <w:ind w:firstLine="480"/>
        <w:jc w:val="both"/>
      </w:pPr>
      <w:r>
        <w:rPr>
          <w:rFonts w:ascii="Times New Roman" w:hAnsi="Times New Roman" w:cs="Times New Roman" w:eastAsia="宋体"/>
          <w:b w:val="0"/>
          <w:sz w:val="18"/>
        </w:rPr>
        <w:t>注：使用AdaptiveGraph的seed-2024测试预测键，按预测起点的代理事件分数分为零分数和三个非零组；非零组的分界为测试期非零分数的50%和95%分位数，仅用于描述，不用于规则拟合。点为组内MAE，标注为预测键数。零分数不等同于目标侧非事件，最高分数组也不等同于冻结规则触发组；该图不证明因果作用。</w:t>
      </w:r>
    </w:p>
    <w:p>
      <w:pPr>
        <w:spacing w:before="240" w:after="180" w:line="300" w:lineRule="auto"/>
        <w:ind w:firstLine="0"/>
        <w:jc w:val="both"/>
        <w:outlineLvl w:val="2"/>
      </w:pPr>
      <w:r>
        <w:rPr>
          <w:rFonts w:ascii="Times New Roman" w:hAnsi="Times New Roman" w:cs="Times New Roman" w:eastAsia="黑体"/>
          <w:b w:val="0"/>
          <w:sz w:val="28"/>
        </w:rPr>
        <w:t>4.4.3 还原校验</w:t>
      </w:r>
    </w:p>
    <w:p>
      <w:pPr>
        <w:spacing w:before="0" w:after="0" w:line="300" w:lineRule="auto"/>
        <w:ind w:firstLine="480"/>
        <w:jc w:val="both"/>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（4-1）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b</m:t>
        </m:r>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pPr>
      <w:r>
        <w:rPr>
          <w:rFonts w:ascii="Times New Roman" w:hAnsi="Times New Roman" w:cs="Times New Roman" w:eastAsia="黑体"/>
          <w:b w:val="0"/>
          <w:sz w:val="28"/>
        </w:rPr>
        <w:t>4.4.4 L3判定结论</w:t>
      </w:r>
    </w:p>
    <w:p>
      <w:pPr>
        <w:spacing w:before="0" w:after="0" w:line="300" w:lineRule="auto"/>
        <w:ind w:firstLine="480"/>
        <w:jc w:val="both"/>
      </w:pPr>
      <w:r>
        <w:rPr>
          <w:rFonts w:ascii="Times New Roman" w:hAnsi="Times New Roman" w:cs="Times New Roman" w:eastAsia="宋体"/>
          <w:b w:val="0"/>
          <w:sz w:val="24"/>
        </w:rPr>
        <w:t>L3表明，全局MAE主要反映占比98%以上的非标签事件/规则未触发样本，不能代表标签事件窗口的误差。规则触发与标签事件存在明显错位，故它可作为预测时可见的分层信号，却不能视为标签事件的等价替代。该诊断直接支撑第5章对规则路由分层区间的边界讨论。</w:t>
      </w:r>
    </w:p>
    <w:p>
      <w:pPr>
        <w:spacing w:before="360" w:after="240" w:line="360" w:lineRule="auto"/>
        <w:ind w:firstLine="0"/>
        <w:jc w:val="both"/>
        <w:outlineLvl w:val="1"/>
      </w:pPr>
      <w:r>
        <w:rPr>
          <w:rFonts w:ascii="Times New Roman" w:hAnsi="Times New Roman" w:cs="Times New Roman" w:eastAsia="黑体"/>
          <w:b/>
          <w:sz w:val="30"/>
        </w:rPr>
        <w:t>4.5 协议总结：MDP机制画像与可复用性</w:t>
      </w:r>
    </w:p>
    <w:p>
      <w:pPr>
        <w:spacing w:before="0" w:after="0" w:line="300" w:lineRule="auto"/>
        <w:ind w:firstLine="480"/>
        <w:jc w:val="both"/>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依次回答“模型内部依赖什么”“所检学生能否吸收何种收益”“总体误差由何类样本构成”；L1、L2和L3分别使用主模型权重、冻结模型前向和原正式MRG-GCN三种子逐键预测，图4-5和图4-6仅作seed-2024描述性补充。</w:t>
      </w:r>
    </w:p>
    <w:p>
      <w:pPr>
        <w:spacing w:before="0" w:after="0" w:line="300" w:lineRule="auto"/>
        <w:ind w:firstLine="480"/>
        <w:jc w:val="both"/>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pPr>
      <w:r>
        <w:rPr>
          <w:rFonts w:ascii="Times New Roman" w:hAnsi="Times New Roman" w:cs="Times New Roman" w:eastAsia="黑体"/>
          <w:b/>
          <w:sz w:val="30"/>
        </w:rPr>
        <w:t>4.6 适用范围与外部验证要求</w:t>
      </w:r>
    </w:p>
    <w:p>
      <w:pPr>
        <w:spacing w:before="0" w:after="0" w:line="300" w:lineRule="auto"/>
        <w:ind w:firstLine="480"/>
        <w:jc w:val="both"/>
      </w:pPr>
      <w:r>
        <w:rPr>
          <w:rFonts w:ascii="Times New Roman" w:hAnsi="Times New Roman" w:cs="Times New Roman" w:eastAsia="宋体"/>
          <w:b w:val="0"/>
          <w:sz w:val="24"/>
        </w:rPr>
        <w:t>本章证据限于单站10个主分析节点、既定时间切分和会话重构代理负荷：它支持同一数据口径下的模型比较与机制诊断，不足以确定物理拓扑、关系漂移或其他场站的误差水平。</w:t>
      </w:r>
    </w:p>
    <w:p>
      <w:pPr>
        <w:spacing w:before="0" w:after="0" w:line="300" w:lineRule="auto"/>
        <w:ind w:firstLine="480"/>
        <w:jc w:val="both"/>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1"/>
          <w:headerReference w:type="even" r:id="rId92"/>
          <w:footerReference w:type="default" r:id="rId9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pPr>
      <w:r>
        <w:rPr>
          <w:rFonts w:ascii="Times New Roman" w:hAnsi="Times New Roman" w:cs="Times New Roman" w:eastAsia="黑体"/>
          <w:b/>
          <w:sz w:val="30"/>
        </w:rPr>
        <w:t>5.1 引言</w:t>
      </w:r>
    </w:p>
    <w:p>
      <w:pPr>
        <w:spacing w:before="0" w:after="0" w:line="300" w:lineRule="auto"/>
        <w:ind w:firstLine="480"/>
        <w:jc w:val="both"/>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pPr>
      <w:r>
        <w:rPr>
          <w:rFonts w:ascii="Times New Roman" w:hAnsi="Times New Roman" w:cs="Times New Roman" w:eastAsia="宋体"/>
          <w:b w:val="0"/>
          <w:sz w:val="24"/>
        </w:rPr>
        <w:t>事件窗口MAE约为稳定窗口的28倍，而冻结规则与标签事件存在明显错位。因此，本章将三项结果统一定位为探索性边界证据：TE—PCMCI+给出条件滞后依赖候选，共形给出冻结模型下的经验覆盖，参数替换给出模型内部敏感度。它们不改变主模型训练或第3章排名；其中oracle只作事后参照，不能代表预测时能力。</w:t>
      </w:r>
    </w:p>
    <w:p>
      <w:pPr>
        <w:spacing w:before="360" w:after="240" w:line="360" w:lineRule="auto"/>
        <w:ind w:firstLine="0"/>
        <w:jc w:val="both"/>
        <w:outlineLvl w:val="1"/>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pPr>
      <w:r>
        <w:drawing>
          <wp:inline xmlns:a="http://schemas.openxmlformats.org/drawingml/2006/main" xmlns:pic="http://schemas.openxmlformats.org/drawingml/2006/picture">
            <wp:extent cx="5112000" cy="2716032"/>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03"/>
                    <a:stretch>
                      <a:fillRect/>
                    </a:stretch>
                  </pic:blipFill>
                  <pic:spPr>
                    <a:xfrm>
                      <a:off x="0" y="0"/>
                      <a:ext cx="5112000" cy="27160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图5-1 TE候选生成与PCMCI+条件独立核验流程</w:t>
      </w:r>
    </w:p>
    <w:p>
      <w:pPr>
        <w:spacing w:before="0" w:after="0" w:line="300" w:lineRule="auto"/>
        <w:ind w:firstLine="480"/>
        <w:jc w:val="both"/>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w:t>
      </w:r>
    </w:p>
    <w:p>
      <w:pPr>
        <w:spacing w:before="240" w:after="180" w:line="300" w:lineRule="auto"/>
        <w:ind w:firstLine="0"/>
        <w:jc w:val="both"/>
        <w:outlineLvl w:val="2"/>
      </w:pPr>
      <w:r>
        <w:rPr>
          <w:rFonts w:ascii="Times New Roman" w:hAnsi="Times New Roman" w:cs="Times New Roman" w:eastAsia="黑体"/>
          <w:b w:val="0"/>
          <w:sz w:val="28"/>
        </w:rPr>
        <w:t>5.2.1 问题与动机</w:t>
      </w:r>
    </w:p>
    <w:p>
      <w:pPr>
        <w:spacing w:before="0" w:after="0" w:line="300" w:lineRule="auto"/>
        <w:ind w:firstLine="480"/>
        <w:jc w:val="both"/>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这里的方向只表示信息先后关系。</w:t>
      </w:r>
    </w:p>
    <w:p>
      <w:pPr>
        <w:spacing w:before="240" w:after="180" w:line="300" w:lineRule="auto"/>
        <w:ind w:firstLine="0"/>
        <w:jc w:val="both"/>
        <w:outlineLvl w:val="2"/>
      </w:pPr>
      <w:r>
        <w:rPr>
          <w:rFonts w:ascii="Times New Roman" w:hAnsi="Times New Roman" w:cs="Times New Roman" w:eastAsia="黑体"/>
          <w:b w:val="0"/>
          <w:sz w:val="28"/>
        </w:rPr>
        <w:t>5.2.2 传递熵方向性检验</w:t>
      </w:r>
    </w:p>
    <w:p>
      <w:pPr>
        <w:spacing w:before="0" w:after="0" w:line="300" w:lineRule="auto"/>
        <w:ind w:firstLine="480"/>
        <w:jc w:val="both"/>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TE</m:t>
        </m:r>
        <m:r>
          <m:t>⁡</m:t>
        </m:r>
        <m:r>
          <m:t>(</m:t>
        </m:r>
        <m:r>
          <m:t>X</m:t>
        </m:r>
        <m:r>
          <m:t>→</m:t>
        </m:r>
        <m:r>
          <m:t>Y</m:t>
        </m:r>
        <m:r>
          <m:t>)</m:t>
        </m:r>
        <m:r>
          <m:t>=</m:t>
        </m:r>
        <m:r>
          <m:t>H</m:t>
        </m:r>
        <m:r>
          <m:t>(</m:t>
        </m:r>
        <m:sSub>
          <m:sSubPr/>
          <m:e>
            <m:r>
              <m:t>Y</m:t>
            </m:r>
          </m:e>
          <m:sub>
            <m:r>
              <m:t>t</m:t>
            </m:r>
            <m:r>
              <m:t>+</m:t>
            </m:r>
            <m:r>
              <m:t>1</m:t>
            </m:r>
          </m:sub>
        </m:sSub>
        <m:r>
          <m:t>|</m:t>
        </m:r>
        <m:sSub>
          <m:sSubPr/>
          <m:e>
            <m:r>
              <m:t>Y</m:t>
            </m:r>
          </m:e>
          <m:sub>
            <m:r>
              <m:t>t</m:t>
            </m:r>
          </m:sub>
        </m:sSub>
        <m:r>
          <m:t>)</m:t>
        </m:r>
        <m:r>
          <m:t>−</m:t>
        </m:r>
        <m:r>
          <m:t>H</m:t>
        </m:r>
        <m:r>
          <m:t>(</m:t>
        </m:r>
        <m:sSub>
          <m:sSubPr/>
          <m:e>
            <m:r>
              <m:t>Y</m:t>
            </m:r>
          </m:e>
          <m:sub>
            <m:r>
              <m:t>t</m:t>
            </m:r>
            <m:r>
              <m:t>+</m:t>
            </m:r>
            <m:r>
              <m:t>1</m:t>
            </m:r>
          </m:sub>
        </m:sSub>
        <m:r>
          <m:t>|</m:t>
        </m:r>
        <m:sSub>
          <m:sSubPr/>
          <m:e>
            <m:r>
              <m:t>Y</m:t>
            </m:r>
          </m:e>
          <m:sub>
            <m:r>
              <m:t>t</m:t>
            </m:r>
          </m:sub>
        </m:sSub>
        <m:r>
          <m:t>,</m:t>
        </m:r>
        <m:sSub>
          <m:sSubPr/>
          <m:e>
            <m:r>
              <m:t>X</m:t>
            </m:r>
          </m:e>
          <m:sub>
            <m:r>
              <m:t>t</m:t>
            </m:r>
          </m:sub>
        </m:sSub>
        <m:r>
          <m:t>)</m:t>
        </m:r>
        <m:r>
          <m:t>.</m:t>
        </m:r>
      </m:oMath>
      <w:r>
        <w:tab/>
      </w:r>
      <w:r>
        <w:rPr>
          <w:rFonts w:ascii="Times New Roman" w:hAnsi="Times New Roman" w:cs="Times New Roman" w:eastAsia="宋体"/>
          <w:sz w:val="21"/>
        </w:rPr>
        <w:t>（5-1）</w:t>
      </w:r>
    </w:p>
    <w:p>
      <w:pPr>
        <w:spacing w:before="0" w:after="0" w:line="300" w:lineRule="auto"/>
        <w:ind w:firstLine="480"/>
        <w:jc w:val="both"/>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&lt;</m:t>
        </m:r>
        <m: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pPr>
      <w:r>
        <w:rPr>
          <w:rFonts w:ascii="Times New Roman" w:hAnsi="Times New Roman" w:cs="Times New Roman" w:eastAsia="黑体"/>
          <w:b w:val="0"/>
          <w:sz w:val="28"/>
        </w:rPr>
        <w:t>5.2.3 传递熵存在性与方向不对称证据</w:t>
      </w:r>
    </w:p>
    <w:p>
      <w:pPr>
        <w:spacing w:before="0" w:after="0" w:line="300" w:lineRule="auto"/>
        <w:ind w:firstLine="480"/>
        <w:jc w:val="both"/>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ASYM</m:t>
            </m:r>
          </m:e>
          <m:sub>
            <m:r>
              <m:t>i</m:t>
            </m:r>
            <m:r>
              <m:t>j</m:t>
            </m:r>
          </m:sub>
        </m:sSub>
        <m:r>
          <m:t>⁡</m:t>
        </m:r>
        <m:r>
          <m:t>=</m:t>
        </m:r>
        <m:f>
          <m:num>
            <m:r>
              <m:t>|</m:t>
            </m:r>
            <m:sSub>
              <m:sSubPr/>
              <m:e>
                <m:r>
                  <m:t>TE</m:t>
                </m:r>
              </m:e>
              <m:sub>
                <m:r>
                  <m:t>i</m:t>
                </m:r>
                <m:r>
                  <m:t>→</m:t>
                </m:r>
                <m:r>
                  <m:t>j</m:t>
                </m:r>
              </m:sub>
            </m:sSub>
            <m:r>
              <m:t>⁡</m:t>
            </m:r>
            <m:r>
              <m:t>−</m:t>
            </m:r>
            <m:sSub>
              <m:sSubPr/>
              <m:e>
                <m:r>
                  <m:t>TE</m:t>
                </m:r>
              </m:e>
              <m:sub>
                <m:r>
                  <m:t>j</m:t>
                </m:r>
                <m:r>
                  <m:t>→</m:t>
                </m:r>
                <m:r>
                  <m:t>i</m:t>
                </m:r>
              </m:sub>
            </m:sSub>
            <m:r>
              <m:t>⁡</m:t>
            </m:r>
            <m:r>
              <m:t>|</m:t>
            </m:r>
          </m:num>
          <m:den>
            <m:r>
              <m:t>max</m:t>
            </m:r>
            <m:r>
              <m:t>⁡</m:t>
            </m:r>
            <m:r>
              <m:t>(</m:t>
            </m:r>
            <m:sSub>
              <m:sSubPr/>
              <m:e>
                <m:r>
                  <m:t>TE</m:t>
                </m:r>
              </m:e>
              <m:sub>
                <m:r>
                  <m:t>i</m:t>
                </m:r>
                <m:r>
                  <m:t>→</m:t>
                </m:r>
                <m:r>
                  <m:t>j</m:t>
                </m:r>
              </m:sub>
            </m:sSub>
            <m:r>
              <m:t>⁡</m:t>
            </m:r>
            <m:r>
              <m:t>,</m:t>
            </m:r>
            <m:sSub>
              <m:sSubPr/>
              <m:e>
                <m:r>
                  <m:t>TE</m:t>
                </m:r>
              </m:e>
              <m:sub>
                <m:r>
                  <m:t>j</m:t>
                </m:r>
                <m:r>
                  <m:t>→</m:t>
                </m:r>
                <m:r>
                  <m:t>i</m:t>
                </m:r>
              </m:sub>
            </m:sSub>
            <m:r>
              <m:t>⁡</m:t>
            </m:r>
            <m:r>
              <m:t>)</m:t>
            </m:r>
          </m:den>
        </m:f>
        <m:r>
          <m:t>,</m:t>
        </m:r>
      </m:oMath>
      <w:r>
        <w:tab/>
      </w:r>
      <w:r>
        <w:rPr>
          <w:rFonts w:ascii="Times New Roman" w:hAnsi="Times New Roman" w:cs="Times New Roman" w:eastAsia="宋体"/>
          <w:sz w:val="21"/>
        </w:rPr>
        <w:t>（5-2）</w:t>
      </w:r>
    </w:p>
    <w:p>
      <w:pPr>
        <w:spacing w:before="0" w:after="0" w:line="300" w:lineRule="auto"/>
        <w:ind w:firstLine="480"/>
        <w:jc w:val="both"/>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ASYM</m:t>
        </m:r>
        <m:r>
          <m:t>⁡</m:t>
        </m:r>
        <m:r>
          <m:t>&gt;</m:t>
        </m:r>
        <m: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pPr>
      <w:r>
        <w:drawing>
          <wp:inline xmlns:a="http://schemas.openxmlformats.org/drawingml/2006/main" xmlns:pic="http://schemas.openxmlformats.org/drawingml/2006/picture">
            <wp:extent cx="5112000" cy="2740966"/>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04"/>
                    <a:stretch>
                      <a:fillRect/>
                    </a:stretch>
                  </pic:blipFill>
                  <pic:spPr>
                    <a:xfrm>
                      <a:off x="0" y="0"/>
                      <a:ext cx="5112000" cy="274096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图5-2 传递熵方向性候选结构</w:t>
      </w:r>
    </w:p>
    <w:p>
      <w:pPr>
        <w:spacing w:before="0" w:after="0" w:line="300" w:lineRule="auto"/>
        <w:ind w:firstLine="480"/>
        <w:jc w:val="both"/>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pPr>
      <w:r>
        <w:drawing>
          <wp:inline xmlns:a="http://schemas.openxmlformats.org/drawingml/2006/main" xmlns:pic="http://schemas.openxmlformats.org/drawingml/2006/picture">
            <wp:extent cx="5112000" cy="4918105"/>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05"/>
                    <a:stretch>
                      <a:fillRect/>
                    </a:stretch>
                  </pic:blipFill>
                  <pic:spPr>
                    <a:xfrm>
                      <a:off x="0" y="0"/>
                      <a:ext cx="5112000" cy="4918105"/>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图5-3 双向传递熵与方向不对称性</w:t>
      </w:r>
    </w:p>
    <w:p>
      <w:pPr>
        <w:spacing w:before="0" w:after="0" w:line="300" w:lineRule="auto"/>
        <w:ind w:firstLine="480"/>
        <w:jc w:val="both"/>
      </w:pPr>
      <w:r>
        <w:rPr>
          <w:rFonts w:ascii="Times New Roman" w:hAnsi="Times New Roman" w:cs="Times New Roman" w:eastAsia="宋体"/>
          <w:b w:val="0"/>
          <w:sz w:val="18"/>
        </w:rPr>
        <w:t>注：45个点分别对应10节点的无向节点对，横纵轴为该对两个方向的TE读数，等比例坐标中的45°虚线表示双向相等。颜色和符号区分至少一方向达到名义阈值与两方向均未达到阈值，标注给出不对称度最高的三个节点对。该图为训练期探索性统计，未作多重比较校正。</w:t>
      </w:r>
    </w:p>
    <w:p>
      <w:pPr>
        <w:spacing w:before="240" w:after="180" w:line="300" w:lineRule="auto"/>
        <w:ind w:firstLine="0"/>
        <w:jc w:val="both"/>
        <w:outlineLvl w:val="2"/>
      </w:pPr>
      <w:r>
        <w:rPr>
          <w:rFonts w:ascii="Times New Roman" w:hAnsi="Times New Roman" w:cs="Times New Roman" w:eastAsia="黑体"/>
          <w:b w:val="0"/>
          <w:sz w:val="28"/>
        </w:rPr>
        <w:t>5.2.4 有向候选边与统计关系图的互补性</w:t>
      </w:r>
    </w:p>
    <w:p>
      <w:pPr>
        <w:spacing w:before="0" w:after="0" w:line="300" w:lineRule="auto"/>
        <w:ind w:firstLine="480"/>
        <w:jc w:val="both"/>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keepNext/>
        <w:spacing w:before="60" w:after="60" w:line="240" w:lineRule="auto"/>
        <w:ind w:firstLine="0"/>
        <w:jc w:val="center"/>
      </w:pPr>
      <w:r>
        <w:rPr>
          <w:rFonts w:ascii="Times New Roman" w:hAnsi="Times New Roman" w:cs="Times New Roman" w:eastAsia="黑体"/>
          <w:b w:val="0"/>
          <w:sz w:val="21"/>
        </w:rPr>
        <w:t>表5-1 TE候选与LRE统计关系的覆盖情况</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数值</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说明</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通过名义阈值的有向TE候选</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76/90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未做多重比较校正</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对应无向节点对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31对双向候选，14对单向候选</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至少被一类统计图覆盖的节点对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33/45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探索性比较统一采用top-k=3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未被统计图覆盖的节点对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12/45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仅指当前统计图未覆盖</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与负荷耦合图的Jaccard系数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0.444</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与行为共现图的Jaccard系数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0.489</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与轮廓相似图的Jaccard系数</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0.378</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bl>
    <w:p>
      <w:pPr>
        <w:spacing w:before="60" w:after="60" w:line="240" w:lineRule="auto"/>
        <w:ind w:firstLine="0"/>
        <w:jc w:val="center"/>
      </w:pPr>
      <w:r>
        <w:drawing>
          <wp:inline xmlns:a="http://schemas.openxmlformats.org/drawingml/2006/main" xmlns:pic="http://schemas.openxmlformats.org/drawingml/2006/picture">
            <wp:extent cx="5112000" cy="1815936"/>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06"/>
                    <a:stretch>
                      <a:fillRect/>
                    </a:stretch>
                  </pic:blipFill>
                  <pic:spPr>
                    <a:xfrm>
                      <a:off x="0" y="0"/>
                      <a:ext cx="5112000" cy="181593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图5-4 TE与统计关系权重的对应</w:t>
      </w:r>
    </w:p>
    <w:p>
      <w:pPr>
        <w:spacing w:before="0" w:after="0" w:line="300" w:lineRule="auto"/>
        <w:ind w:firstLine="480"/>
        <w:jc w:val="both"/>
      </w:pPr>
      <w:r>
        <w:rPr>
          <w:rFonts w:ascii="Times New Roman" w:hAnsi="Times New Roman" w:cs="Times New Roman" w:eastAsia="宋体"/>
          <w:b w:val="0"/>
          <w:sz w:val="18"/>
        </w:rPr>
        <w:t>注：90条有向节点对分别与三类固定统计关系权重比较，Spearman系数标注于图内。灰色叉号表示TE为零的边；该图为单种子、未校正的探索性比较。</w:t>
      </w:r>
    </w:p>
    <w:p>
      <w:pPr>
        <w:spacing w:before="240" w:after="180" w:line="300" w:lineRule="auto"/>
        <w:ind w:firstLine="0"/>
        <w:jc w:val="both"/>
        <w:outlineLvl w:val="2"/>
      </w:pPr>
      <w:r>
        <w:rPr>
          <w:rFonts w:ascii="Times New Roman" w:hAnsi="Times New Roman" w:cs="Times New Roman" w:eastAsia="黑体"/>
          <w:b w:val="0"/>
          <w:sz w:val="28"/>
        </w:rPr>
        <w:t>5.2.5 PCMCI+条件独立核验与结构发现定位</w:t>
      </w:r>
    </w:p>
    <w:p>
      <w:pPr>
        <w:spacing w:before="0" w:after="0" w:line="300" w:lineRule="auto"/>
        <w:ind w:firstLine="480"/>
        <w:jc w:val="both"/>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[86,87]</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pPr>
      <w:r>
        <w:drawing>
          <wp:inline xmlns:a="http://schemas.openxmlformats.org/drawingml/2006/main" xmlns:pic="http://schemas.openxmlformats.org/drawingml/2006/picture">
            <wp:extent cx="5112000" cy="3281272"/>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07"/>
                    <a:stretch>
                      <a:fillRect/>
                    </a:stretch>
                  </pic:blipFill>
                  <pic:spPr>
                    <a:xfrm>
                      <a:off x="0" y="0"/>
                      <a:ext cx="5112000" cy="3281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图5-5 PCMCI+条件独立核验结果</w:t>
      </w:r>
    </w:p>
    <w:p>
      <w:pPr>
        <w:spacing w:before="0" w:after="0" w:line="300" w:lineRule="auto"/>
        <w:ind w:firstLine="480"/>
        <w:jc w:val="both"/>
      </w:pPr>
      <w:r>
        <w:rPr>
          <w:rFonts w:ascii="Times New Roman" w:hAnsi="Times New Roman" w:cs="Times New Roman" w:eastAsia="宋体"/>
          <w:b w:val="0"/>
          <w:sz w:val="18"/>
        </w:rPr>
        <w:t>注：左侧有向邻接状态图以行为源节点、列为目标节点，颜色与符号区分双检验达到名义阈值的44对、仅TE达到阈值的32对和仅PCMCI+达到阈值的6对；右侧按相同节点顺序汇总82个节点间有向对的出边数。10个自回归对在两侧均排除，对角线灰色不表示待检验边。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18"/>
        </w:rPr>
        <w:t>，未进行多重比较校正。</w:t>
      </w:r>
    </w:p>
    <w:p>
      <w:pPr>
        <w:spacing w:before="0" w:after="0" w:line="300" w:lineRule="auto"/>
        <w:ind w:firstLine="480"/>
        <w:jc w:val="both"/>
      </w:pPr>
      <w:r>
        <w:rPr>
          <w:rFonts w:ascii="Times New Roman" w:hAnsi="Times New Roman" w:cs="Times New Roman" w:eastAsia="宋体"/>
          <w:b w:val="0"/>
          <w:sz w:val="24"/>
        </w:rPr>
        <w:t>本节停留在条件滞后依赖结构发现：TE提供候选，PCMCI+提供条件独立意义下的交叉核验，结果尚未回灌MRG-GCN。将方向性候选作为新关系输入并重新评估预测增益，属于后续工作。</w:t>
      </w:r>
    </w:p>
    <w:p>
      <w:pPr>
        <w:spacing w:before="240" w:after="180" w:line="300" w:lineRule="auto"/>
        <w:ind w:firstLine="0"/>
        <w:jc w:val="both"/>
        <w:outlineLvl w:val="2"/>
      </w:pPr>
      <w:r>
        <w:rPr>
          <w:rFonts w:ascii="Times New Roman" w:hAnsi="Times New Roman" w:cs="Times New Roman" w:eastAsia="黑体"/>
          <w:b w:val="0"/>
          <w:sz w:val="28"/>
        </w:rPr>
        <w:t>5.2.6 方向性证据的解释边界与复核路径</w:t>
      </w:r>
    </w:p>
    <w:p>
      <w:pPr>
        <w:spacing w:before="0" w:after="0" w:line="300" w:lineRule="auto"/>
        <w:ind w:firstLine="480"/>
        <w:jc w:val="both"/>
      </w:pPr>
      <w:r>
        <w:rPr>
          <w:rFonts w:ascii="Times New Roman" w:hAnsi="Times New Roman" w:cs="Times New Roman" w:eastAsia="宋体"/>
          <w:b w:val="0"/>
          <w:sz w:val="24"/>
        </w:rPr>
        <w:t>本节用于发现训练期节点序列中值得复核的条件滞后依赖，不直接为MRG-GCN新增邻接矩阵。TE与PCMCI+均使用训练期原始时间观测，但前者按有向节点对估计，后者还在多个滞后和条件变量组合下检验。因此，83,198个原始观测、83,103个监督学习预测起点和76/90条候选分别属于时间点、预测键和边三种计数口径，不能混算。</w:t>
      </w:r>
    </w:p>
    <w:p>
      <w:pPr>
        <w:spacing w:before="0" w:after="0" w:line="300" w:lineRule="auto"/>
        <w:ind w:firstLine="480"/>
        <w:jc w:val="both"/>
      </w:pPr>
      <w:r>
        <w:rPr>
          <w:rFonts w:ascii="Times New Roman" w:hAnsi="Times New Roman" w:cs="Times New Roman" w:eastAsia="宋体"/>
          <w:b w:val="0"/>
          <w:sz w:val="24"/>
        </w:rPr>
        <w:t>76/90表示通过本轮名义阈值的TE候选，不是真实方向边占比；44/76表示其中44个有向对在PCMCI+条件检验下仍达到名义阈值，32/76未获确认也不等于TE结果错误。由于两种检验均未作多重比较校正，正文统一将其称为候选。LRE覆盖比较同样只判断固定关系图是否包含相应节点对，不把未覆盖、重复覆盖或相关系数解释为物理拓扑和证据强度。</w:t>
      </w:r>
    </w:p>
    <w:p>
      <w:pPr>
        <w:spacing w:before="0" w:after="0" w:line="300" w:lineRule="auto"/>
        <w:ind w:firstLine="480"/>
        <w:jc w:val="both"/>
      </w:pPr>
      <w:r>
        <w:rPr>
          <w:rFonts w:ascii="Times New Roman" w:hAnsi="Times New Roman" w:cs="Times New Roman" w:eastAsia="宋体"/>
          <w:b w:val="0"/>
          <w:sz w:val="24"/>
        </w:rPr>
        <w:t>本研究未用方向性候选修改主模型，也未据此重新选择节点、阈值或测试窗口。后续若开展增量实验，应在训练期固定候选生成规则、在验证期选择稀疏度，并以相同容量、随机种子和预测键比较原三关系图与方向性扩展图。复核材料需保留节点顺序、训练序列哈希、分箱边界、滞后集合、置换次数、名义阈值和逐边状态；图5-2至图5-5只承担可视化，不替代逐边记录。</w:t>
      </w:r>
    </w:p>
    <w:p>
      <w:pPr>
        <w:spacing w:before="360" w:after="240" w:line="360" w:lineRule="auto"/>
        <w:ind w:firstLine="0"/>
        <w:jc w:val="both"/>
        <w:outlineLvl w:val="1"/>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pPr>
      <w:r>
        <w:rPr>
          <w:rFonts w:ascii="Times New Roman" w:hAnsi="Times New Roman" w:cs="Times New Roman" w:eastAsia="黑体"/>
          <w:b w:val="0"/>
          <w:sz w:val="28"/>
        </w:rPr>
        <w:t>5.3.1 问题与动机</w:t>
      </w:r>
    </w:p>
    <w:p>
      <w:pPr>
        <w:spacing w:before="0" w:after="0" w:line="300" w:lineRule="auto"/>
        <w:ind w:firstLine="480"/>
        <w:jc w:val="both"/>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[88-90]</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pPr>
      <w:r>
        <w:rPr>
          <w:rFonts w:ascii="Times New Roman" w:hAnsi="Times New Roman" w:cs="Times New Roman" w:eastAsia="黑体"/>
          <w:b w:val="0"/>
          <w:sz w:val="28"/>
        </w:rPr>
        <w:t>5.3.2 分层共形方法</w:t>
      </w:r>
    </w:p>
    <w:p>
      <w:pPr>
        <w:spacing w:before="0" w:after="0" w:line="300" w:lineRule="auto"/>
        <w:ind w:firstLine="480"/>
        <w:jc w:val="both"/>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m:t>
        </m:r>
        <m:r>
          <m:t>y</m:t>
        </m:r>
        <m:r>
          <m:t>−</m:t>
        </m:r>
        <m:r>
          <m:t>y</m:t>
        </m:r>
        <m:r>
          <m:t>ˆ</m:t>
        </m:r>
        <m: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stable</m:t>
        </m:r>
        <m:r>
          <m:t>,</m:t>
        </m:r>
        <m:r>
          <m:t>n</m:t>
        </m:r>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y</m:t>
        </m:r>
        <m:r>
          <m:t>ˆ</m:t>
        </m:r>
        <m:r>
          <m:t>−</m:t>
        </m:r>
        <m:r>
          <m:t>q</m:t>
        </m:r>
        <m:r>
          <m:t>,</m:t>
        </m:r>
        <m:r>
          <m:t>y</m:t>
        </m:r>
        <m:r>
          <m:t>ˆ</m:t>
        </m:r>
        <m:r>
          <m:t>+</m:t>
        </m:r>
        <m:r>
          <m:t>q</m:t>
        </m:r>
        <m:r>
          <m:t>]</m:t>
        </m:r>
        <m:r>
          <m:t>,</m:t>
        </m:r>
        <m:r>
          <m:t>q</m:t>
        </m:r>
        <m:r>
          <m:t>=</m:t>
        </m:r>
        <m:r>
          <m:t>{</m:t>
        </m:r>
        <m:m>
          <m:mr>
            <m:e>
              <m:sSub>
                <m:sSubPr/>
                <m:e>
                  <m:r>
                    <m:t>q</m:t>
                  </m:r>
                </m:e>
                <m:sub>
                  <m:r>
                    <m:t>trig</m:t>
                  </m:r>
                </m:sub>
              </m:sSub>
              <m:r>
                <m:t>,</m:t>
              </m:r>
            </m:e>
            <m:e>
              <m:r>
                <m:t>rule_trigger</m:t>
              </m:r>
              <m:r>
                <m:t>=</m:t>
              </m:r>
              <m:r>
                <m:t>1</m:t>
              </m:r>
              <m:r>
                <m:t>,</m:t>
              </m:r>
            </m:e>
          </m:mr>
          <m:mr>
            <m:e>
              <m:sSub>
                <m:sSubPr/>
                <m:e>
                  <m:r>
                    <m:t>q</m:t>
                  </m:r>
                </m:e>
                <m:sub>
                  <m:r>
                    <m:t>stable</m:t>
                  </m:r>
                  <m:r>
                    <m:t>,</m:t>
                  </m:r>
                  <m:r>
                    <m:t>n</m:t>
                  </m:r>
                </m:sub>
              </m:sSub>
              <m:r>
                <m:t>,</m:t>
              </m:r>
            </m:e>
            <m:e>
              <m:r>
                <m:t>rule_trigger</m:t>
              </m:r>
              <m:r>
                <m:t>=</m:t>
              </m:r>
              <m:r>
                <m:t>0</m:t>
              </m:r>
            </m:e>
          </m:mr>
        </m:m>
      </m:oMath>
      <w:r>
        <w:tab/>
      </w:r>
      <w:r>
        <w:rPr>
          <w:rFonts w:ascii="Times New Roman" w:hAnsi="Times New Roman" w:cs="Times New Roman" w:eastAsia="宋体"/>
          <w:sz w:val="21"/>
        </w:rPr>
        <w:t>（5-3）</w:t>
      </w:r>
    </w:p>
    <w:p>
      <w:pPr>
        <w:spacing w:before="0" w:after="0" w:line="300" w:lineRule="auto"/>
        <w:ind w:firstLine="480"/>
        <w:jc w:val="both"/>
      </w:pPr>
      <w:r>
        <w:rPr>
          <w:rFonts w:ascii="Times New Roman" w:hAnsi="Times New Roman" w:cs="Times New Roman" w:eastAsia="宋体"/>
          <w:b w:val="0"/>
          <w:sz w:val="24"/>
        </w:rPr>
        <w:t>标准校准和冻结规则路由均不依赖未来标签，可以在预测时执行；以目标侧标签事件进行分层和路由的结果仅为事后参照（oracle），因为该标签在预测时刻不可获得。可执行路径的可靠性仍须由覆盖率检验。本实现报告经验覆盖率，未实施有限样本秩修正；在校准集和测试集不满足交换性时，不声称90%的覆盖保证。分层校准和测试路由过程见图5-6。</w:t>
      </w:r>
    </w:p>
    <w:p>
      <w:pPr>
        <w:spacing w:before="60" w:after="60" w:line="240" w:lineRule="auto"/>
        <w:ind w:firstLine="0"/>
        <w:jc w:val="center"/>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0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图5-6 冻结规则路由的分层共形方法</w:t>
      </w:r>
    </w:p>
    <w:p>
      <w:pPr>
        <w:spacing w:before="0" w:after="0" w:line="300" w:lineRule="auto"/>
        <w:ind w:firstLine="480"/>
        <w:jc w:val="both"/>
      </w:pPr>
      <w:r>
        <w:rPr>
          <w:rFonts w:ascii="Times New Roman" w:hAnsi="Times New Roman" w:cs="Times New Roman" w:eastAsia="宋体"/>
          <w:b w:val="0"/>
          <w:sz w:val="18"/>
        </w:rPr>
        <w:t>注：冻结主模型在验证集上生成绝对残差，规则触发层和未触发层分别校准区间半宽；测试阶段仅依据预测时刻可见的冻结规则选择半宽并形成预测区间。目标侧标签事件不参与预测时路由。</w:t>
      </w:r>
    </w:p>
    <w:p>
      <w:pPr>
        <w:spacing w:before="240" w:after="180" w:line="300" w:lineRule="auto"/>
        <w:ind w:firstLine="0"/>
        <w:jc w:val="both"/>
        <w:outlineLvl w:val="2"/>
      </w:pPr>
      <w:r>
        <w:rPr>
          <w:rFonts w:ascii="Times New Roman" w:hAnsi="Times New Roman" w:cs="Times New Roman" w:eastAsia="黑体"/>
          <w:b w:val="0"/>
          <w:sz w:val="28"/>
        </w:rPr>
        <w:t>5.3.3 覆盖率与区间宽度结果</w:t>
      </w:r>
    </w:p>
    <w:p>
      <w:pPr>
        <w:spacing w:before="0" w:after="0" w:line="300" w:lineRule="auto"/>
        <w:ind w:firstLine="480"/>
        <w:jc w:val="both"/>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keepNext/>
        <w:spacing w:before="60" w:after="60" w:line="240" w:lineRule="auto"/>
        <w:ind w:firstLine="0"/>
        <w:jc w:val="center"/>
      </w:pPr>
      <w:r>
        <w:rPr>
          <w:rFonts w:ascii="Times New Roman" w:hAnsi="Times New Roman" w:cs="Times New Roman" w:eastAsia="黑体"/>
          <w:b w:val="0"/>
          <w:sz w:val="21"/>
        </w:rPr>
        <w:t>表5-2 不同共形口径的经验覆盖率</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校准与路由方式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整体覆盖率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标签事件窗口覆盖率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稳定窗口覆盖率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解释</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标准共形</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69.6%±1.7%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70.5%±1.8%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全局逐节点校准</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规则路由分层共形</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69.8%±1.8%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3.9%±0.5%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70.7%±1.8%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预测时可执行，覆盖未达标</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标签事件事后参照（oracle）</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70.1%±1.8%</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86.1%±0.0%</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69.9%±1.9%</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标签路由，预测时不可用</w:t>
            </w:r>
          </w:p>
        </w:tc>
      </w:tr>
    </w:tbl>
    <w:p>
      <w:pPr>
        <w:spacing w:before="0" w:after="0" w:line="300" w:lineRule="auto"/>
        <w:ind w:firstLine="480"/>
        <w:jc w:val="both"/>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pPr>
      <w:r>
        <w:rPr>
          <w:rFonts w:ascii="Times New Roman" w:hAnsi="Times New Roman" w:cs="Times New Roman" w:eastAsia="宋体"/>
          <w:b w:val="0"/>
          <w:sz w:val="24"/>
        </w:rPr>
        <w:t>覆盖不足与可见信号和标签事件的错位相一致。测试预测键中，规则触发仅占0.43%，而标签事件占1.43%；在seed-2024四格示例中，3,060个规则触发键中只有235个为标签事件。多数标签事件仍进入未触发层，接受由稳定残差确定的窄区间。该统计关系不能排除残差分布变化和有限样本实现的共同影响。</w:t>
      </w:r>
    </w:p>
    <w:p>
      <w:pPr>
        <w:spacing w:before="0" w:after="0" w:line="300" w:lineRule="auto"/>
        <w:ind w:firstLine="480"/>
        <w:jc w:val="both"/>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pPr>
      <w:r>
        <w:drawing>
          <wp:inline xmlns:a="http://schemas.openxmlformats.org/drawingml/2006/main" xmlns:pic="http://schemas.openxmlformats.org/drawingml/2006/picture">
            <wp:extent cx="5112000" cy="5022378"/>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09"/>
                    <a:stretch>
                      <a:fillRect/>
                    </a:stretch>
                  </pic:blipFill>
                  <pic:spPr>
                    <a:xfrm>
                      <a:off x="0" y="0"/>
                      <a:ext cx="5112000" cy="50223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图5-7 共形覆盖率比较</w:t>
      </w:r>
    </w:p>
    <w:p>
      <w:pPr>
        <w:spacing w:before="0" w:after="0" w:line="300" w:lineRule="auto"/>
        <w:ind w:firstLine="480"/>
        <w:jc w:val="both"/>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w:t>
      </w:r>
    </w:p>
    <w:p>
      <w:pPr>
        <w:spacing w:before="60" w:after="60" w:line="240" w:lineRule="auto"/>
        <w:ind w:firstLine="0"/>
        <w:jc w:val="center"/>
      </w:pPr>
      <w:r>
        <w:drawing>
          <wp:inline xmlns:a="http://schemas.openxmlformats.org/drawingml/2006/main" xmlns:pic="http://schemas.openxmlformats.org/drawingml/2006/picture">
            <wp:extent cx="5112000" cy="2319343"/>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0"/>
                    <a:stretch>
                      <a:fillRect/>
                    </a:stretch>
                  </pic:blipFill>
                  <pic:spPr>
                    <a:xfrm>
                      <a:off x="0" y="0"/>
                      <a:ext cx="5112000" cy="2319343"/>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图5-8 分层残差分位数与区间膨胀</w:t>
      </w:r>
    </w:p>
    <w:p>
      <w:pPr>
        <w:spacing w:before="0" w:after="0" w:line="300" w:lineRule="auto"/>
        <w:ind w:firstLine="480"/>
        <w:jc w:val="both"/>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pPr>
      <w:r>
        <w:rPr>
          <w:rFonts w:ascii="Times New Roman" w:hAnsi="Times New Roman" w:cs="Times New Roman" w:eastAsia="宋体"/>
          <w:b w:val="0"/>
          <w:sz w:val="24"/>
        </w:rPr>
        <w:t>规则路由下各节点的平均区间宽度列于表5-3。</w:t>
      </w:r>
    </w:p>
    <w:p>
      <w:pPr>
        <w:keepNext/>
        <w:spacing w:before="60" w:after="60" w:line="240" w:lineRule="auto"/>
        <w:ind w:firstLine="0"/>
        <w:jc w:val="center"/>
      </w:pPr>
      <w:r>
        <w:rPr>
          <w:rFonts w:ascii="Times New Roman" w:hAnsi="Times New Roman" w:cs="Times New Roman" w:eastAsia="黑体"/>
          <w:b w:val="0"/>
          <w:sz w:val="21"/>
        </w:rPr>
        <w:t>表5-3 规则路由分层共形的节点级区间宽度</w:t>
      </w:r>
    </w:p>
    <w:tbl>
      <w:tblPr>
        <w:tblW w:type="dxa" w:w="8312"/>
        <w:jc w:val="center"/>
        <w:tblLayout w:type="fixed"/>
        <w:tblLook w:firstColumn="1" w:firstRow="1" w:lastColumn="0" w:lastRow="0" w:noHBand="0" w:noVBand="1" w:val="04A0"/>
      </w:tblPr>
      <w:tblGrid>
        <w:gridCol w:w="756"/>
        <w:gridCol w:w="756"/>
        <w:gridCol w:w="756"/>
        <w:gridCol w:w="756"/>
        <w:gridCol w:w="756"/>
        <w:gridCol w:w="756"/>
        <w:gridCol w:w="756"/>
        <w:gridCol w:w="756"/>
        <w:gridCol w:w="756"/>
        <w:gridCol w:w="756"/>
        <w:gridCol w:w="756"/>
      </w:tblGrid>
      <w:tr>
        <w:trPr>
          <w:cantSplit/>
          <w:tblHeader w:val="true"/>
        </w:trPr>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CA-303</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CA-311</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CA-327</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CA-489</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CA-321</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CA-305</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CA-315</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CA-304</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CA-307</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CA-317</w:t>
            </w:r>
          </w:p>
        </w:tc>
      </w:tr>
      <w:tr>
        <w:trPr>
          <w:cantSplit/>
        </w:trPr>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区间宽度/(kWh/15 min)</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0.0105±0.0005</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0.0091±0.0001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0.0091±0.0001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0.0071±0.0001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0.0069±0.0002</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0.0064±0.0006</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0.0051±0.0001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0.0040±0.0002</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0.0028±0.0006</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0.0025±0.0002</w:t>
            </w:r>
          </w:p>
        </w:tc>
      </w:tr>
    </w:tbl>
    <w:p>
      <w:pPr>
        <w:spacing w:before="0" w:after="0" w:line="300" w:lineRule="auto"/>
        <w:ind w:firstLine="480"/>
        <w:jc w:val="both"/>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pPr>
      <w:r>
        <w:rPr>
          <w:rFonts w:ascii="Times New Roman" w:hAnsi="Times New Roman" w:cs="Times New Roman" w:eastAsia="黑体"/>
          <w:b w:val="0"/>
          <w:sz w:val="28"/>
        </w:rPr>
        <w:t>5.3.4 分布漂移与覆盖保证边界</w:t>
      </w:r>
    </w:p>
    <w:p>
      <w:pPr>
        <w:spacing w:before="0" w:after="0" w:line="300" w:lineRule="auto"/>
        <w:ind w:firstLine="480"/>
        <w:jc w:val="both"/>
      </w:pPr>
      <w:r>
        <w:rPr>
          <w:rFonts w:ascii="Times New Roman" w:hAnsi="Times New Roman" w:cs="Times New Roman" w:eastAsia="宋体"/>
          <w:b w:val="0"/>
          <w:sz w:val="24"/>
        </w:rPr>
        <w:t>覆盖不足至少有两条相互关联的证据链。其一是路由错位：标签事件占测试预测键的1.43%，冻结规则触发占0.43%；seed-2024中有9,925个标签事件键未触发规则，而两者同时出现的仅235个，许多困难窗口因而沿用稳定层半宽。这个交叉关系描述的是样本分层，不直接等同于规则漏报率。</w:t>
      </w:r>
    </w:p>
    <w:p>
      <w:pPr>
        <w:spacing w:before="0" w:after="0" w:line="300" w:lineRule="auto"/>
        <w:ind w:firstLine="480"/>
        <w:jc w:val="both"/>
      </w:pPr>
      <w:r>
        <w:rPr>
          <w:rFonts w:ascii="Times New Roman" w:hAnsi="Times New Roman" w:cs="Times New Roman" w:eastAsia="宋体"/>
          <w:b w:val="0"/>
          <w:sz w:val="24"/>
        </w:rPr>
        <w:t>其二是校准失配：即使按事后标签路由，事件覆盖率也只有86.1%，低于90%目标，说明路由错位不是唯一原因。验证—测试残差变化、事件层稀疏、节点与步长汇聚及有限样本分位数均可能参与其中；当前实验没有独立校准集、滚动时间检验或预登记漂移统计，无法进一步分离这些解释。故规则路由从1.9%到3.9%应理解为有限改善，整体约70%的覆盖仍未达到目标。</w:t>
      </w:r>
    </w:p>
    <w:p>
      <w:pPr>
        <w:spacing w:before="240" w:after="180" w:line="300" w:lineRule="auto"/>
        <w:ind w:firstLine="0"/>
        <w:jc w:val="both"/>
        <w:outlineLvl w:val="2"/>
      </w:pPr>
      <w:r>
        <w:rPr>
          <w:rFonts w:ascii="Times New Roman" w:hAnsi="Times New Roman" w:cs="Times New Roman" w:eastAsia="黑体"/>
          <w:b w:val="0"/>
          <w:sz w:val="28"/>
        </w:rPr>
        <w:t>5.3.5 覆盖失败的复核与工程含义</w:t>
      </w:r>
    </w:p>
    <w:p>
      <w:pPr>
        <w:spacing w:before="0" w:after="0" w:line="300" w:lineRule="auto"/>
        <w:ind w:firstLine="480"/>
        <w:jc w:val="both"/>
      </w:pPr>
      <w:r>
        <w:rPr>
          <w:rFonts w:ascii="Times New Roman" w:hAnsi="Times New Roman" w:cs="Times New Roman" w:eastAsia="宋体"/>
          <w:b w:val="0"/>
          <w:sz w:val="24"/>
        </w:rPr>
        <w:t>触发层采用跨节点统一半宽以缓解样本稀疏，未触发层采用逐节点半宽以保留节点差异，这是覆盖与宽度之间的折中。增宽区间会牺牲精度，当前又未设业务可接受宽度，因此该结果更适合用于模型监测：先在独立校准时段比较各节点、各步长的残差分位数，再按月或周核对规则触发率、事件占比、覆盖率和区间宽度。若残差整体上移而路由交集稳定，优先检查分布漂移；若残差接近而事件仍大量未触发，优先改进可见信号和路由定义；两者同时变化时，应重新冻结规则与分位数。规则路由和oracle需继续并列，分别代表可执行路径与事后参照。</w:t>
      </w:r>
    </w:p>
    <w:p>
      <w:pPr>
        <w:spacing w:before="360" w:after="240" w:line="360" w:lineRule="auto"/>
        <w:ind w:firstLine="0"/>
        <w:jc w:val="both"/>
        <w:outlineLvl w:val="1"/>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pPr>
      <w:r>
        <w:rPr>
          <w:rFonts w:ascii="Times New Roman" w:hAnsi="Times New Roman" w:cs="Times New Roman" w:eastAsia="黑体"/>
          <w:b w:val="0"/>
          <w:sz w:val="28"/>
        </w:rPr>
        <w:t>5.4.1 问题与动机</w:t>
      </w:r>
    </w:p>
    <w:p>
      <w:pPr>
        <w:spacing w:before="0" w:after="0" w:line="300" w:lineRule="auto"/>
        <w:ind w:firstLine="480"/>
        <w:jc w:val="both"/>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pPr>
      <w:r>
        <w:rPr>
          <w:rFonts w:ascii="Times New Roman" w:hAnsi="Times New Roman" w:cs="Times New Roman" w:eastAsia="黑体"/>
          <w:b w:val="0"/>
          <w:sz w:val="28"/>
        </w:rPr>
        <w:t>5.4.2 分层参数干预方法</w:t>
      </w:r>
    </w:p>
    <w:p>
      <w:pPr>
        <w:spacing w:before="0" w:after="0" w:line="300" w:lineRule="auto"/>
        <w:ind w:firstLine="480"/>
        <w:jc w:val="both"/>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sSup>
          <m:sSupPr/>
          <m:e>
            <m:r>
              <m:t>MAE</m:t>
            </m:r>
          </m:e>
          <m:sup>
            <m:r>
              <m:t>(</m:t>
            </m:r>
            <m:r>
              <m:t>c</m:t>
            </m:r>
            <m:r>
              <m:t>)</m:t>
            </m:r>
          </m:sup>
        </m:sSup>
        <m:r>
          <m:t>⁡</m:t>
        </m:r>
        <m:r>
          <m:t>=</m:t>
        </m:r>
        <m:f>
          <m:num>
            <m:sSubSup>
              <m:sSubSupPr/>
              <m:e>
                <m:r>
                  <m:t>MAE</m:t>
                </m:r>
              </m:e>
              <m:sub>
                <m:r>
                  <m:t>intervention</m:t>
                </m:r>
              </m:sub>
              <m:sup>
                <m:r>
                  <m:t>(</m:t>
                </m:r>
                <m:r>
                  <m:t>c</m:t>
                </m:r>
                <m:r>
                  <m:t>)</m:t>
                </m:r>
              </m:sup>
            </m:sSubSup>
            <m:r>
              <m:t>⁡</m:t>
            </m:r>
            <m:r>
              <m:t>−</m:t>
            </m:r>
            <m:sSubSup>
              <m:sSubSupPr/>
              <m:e>
                <m:r>
                  <m:t>MAE</m:t>
                </m:r>
              </m:e>
              <m:sub>
                <m:r>
                  <m:t>learned</m:t>
                </m:r>
              </m:sub>
              <m:sup>
                <m:r>
                  <m:t>(</m:t>
                </m:r>
                <m:r>
                  <m:t>c</m:t>
                </m:r>
                <m:r>
                  <m:t>)</m:t>
                </m:r>
              </m:sup>
            </m:sSubSup>
            <m:r>
              <m:t>⁡</m:t>
            </m:r>
          </m:num>
          <m:den>
            <m:sSubSup>
              <m:sSubSupPr/>
              <m:e>
                <m:r>
                  <m:t>MAE</m:t>
                </m:r>
              </m:e>
              <m:sub>
                <m:r>
                  <m:t>learned</m:t>
                </m:r>
              </m:sub>
              <m:sup>
                <m:r>
                  <m:t>(</m:t>
                </m:r>
                <m:r>
                  <m:t>c</m:t>
                </m:r>
                <m:r>
                  <m:t>)</m:t>
                </m:r>
              </m:sup>
            </m:sSubSup>
            <m:r>
              <m:t>⁡</m:t>
            </m:r>
          </m:den>
        </m:f>
        <m:r>
          <m:t>.</m:t>
        </m:r>
      </m:oMath>
      <w:r>
        <w:tab/>
      </w:r>
      <w:r>
        <w:rPr>
          <w:rFonts w:ascii="Times New Roman" w:hAnsi="Times New Roman" w:cs="Times New Roman" w:eastAsia="宋体"/>
          <w:sz w:val="21"/>
        </w:rPr>
        <w:t>（5-4）</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可取全局、标签事件窗口、稳定窗口或节点；该量只描述冻结模型对参数替换的功能敏感度，与4.2的观察性权重画像及4.4的样本误差分解分开解释。</w:t>
      </w:r>
    </w:p>
    <w:p>
      <w:pPr>
        <w:spacing w:before="240" w:after="180" w:line="300" w:lineRule="auto"/>
        <w:ind w:firstLine="0"/>
        <w:jc w:val="both"/>
        <w:outlineLvl w:val="2"/>
      </w:pPr>
      <w:r>
        <w:rPr>
          <w:rFonts w:ascii="Times New Roman" w:hAnsi="Times New Roman" w:cs="Times New Roman" w:eastAsia="黑体"/>
          <w:b w:val="0"/>
          <w:sz w:val="28"/>
        </w:rPr>
        <w:t>5.4.3 分层敏感度结果</w:t>
      </w:r>
    </w:p>
    <w:p>
      <w:pPr>
        <w:spacing w:before="0" w:after="0" w:line="300" w:lineRule="auto"/>
        <w:ind w:firstLine="480"/>
        <w:jc w:val="both"/>
      </w:pPr>
      <w:r>
        <w:rPr>
          <w:rFonts w:ascii="Times New Roman" w:hAnsi="Times New Roman" w:cs="Times New Roman" w:eastAsia="宋体"/>
          <w:b w:val="0"/>
          <w:sz w:val="24"/>
        </w:rPr>
        <w:t>三种子汇总结果见表5-4。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keepNext/>
        <w:spacing w:before="60" w:after="60" w:line="240" w:lineRule="auto"/>
        <w:ind w:firstLine="0"/>
        <w:jc w:val="center"/>
      </w:pPr>
      <w:r>
        <w:rPr>
          <w:rFonts w:ascii="Times New Roman" w:hAnsi="Times New Roman" w:cs="Times New Roman" w:eastAsia="黑体"/>
          <w:b w:val="0"/>
          <w:sz w:val="21"/>
        </w:rPr>
        <w:t>表5-4 分层参数干预敏感度</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干预配置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第一层学习值、第二层固定为轮廓相似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+95.9%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+132.1%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两层固定为行为共现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+149.3%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+202.1%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两层学习值交换</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+199.2%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两层等权</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+143.8%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+192.9%</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第一层固定为负荷耦合、第二层学习值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+263.7%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两层固定为轮廓相似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+274.4%</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两层固定为负荷耦合</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+233.6%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+26.6%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+316.6%</w:t>
            </w:r>
          </w:p>
        </w:tc>
      </w:tr>
    </w:tbl>
    <w:p>
      <w:pPr>
        <w:spacing w:before="0" w:after="0" w:line="300" w:lineRule="auto"/>
        <w:ind w:firstLine="480"/>
        <w:jc w:val="both"/>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pPr>
      <w:r>
        <w:drawing>
          <wp:inline xmlns:a="http://schemas.openxmlformats.org/drawingml/2006/main" xmlns:pic="http://schemas.openxmlformats.org/drawingml/2006/picture">
            <wp:extent cx="5112000" cy="2805168"/>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1"/>
                    <a:stretch>
                      <a:fillRect/>
                    </a:stretch>
                  </pic:blipFill>
                  <pic:spPr>
                    <a:xfrm>
                      <a:off x="0" y="0"/>
                      <a:ext cx="5112000" cy="280516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图5-9 分层参数干预敏感度</w:t>
      </w:r>
    </w:p>
    <w:p>
      <w:pPr>
        <w:spacing w:before="0" w:after="0" w:line="300" w:lineRule="auto"/>
        <w:ind w:firstLine="480"/>
        <w:jc w:val="both"/>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pPr>
      <w:r>
        <w:rPr>
          <w:rFonts w:ascii="Times New Roman" w:hAnsi="Times New Roman" w:cs="Times New Roman" w:eastAsia="黑体"/>
          <w:b w:val="0"/>
          <w:sz w:val="28"/>
        </w:rPr>
        <w:t>5.4.4 分层参数干预结论</w:t>
      </w:r>
    </w:p>
    <w:p>
      <w:pPr>
        <w:spacing w:before="0" w:after="0" w:line="300" w:lineRule="auto"/>
        <w:ind w:firstLine="480"/>
        <w:jc w:val="both"/>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分配均优于替换配置；分层结果进一步显示，稳定窗口的相对变化更大，节点间最大退化幅度不同。它们是模型压力测试中的功能响应，不是关系贡献或节点优先级的直接估计。</w:t>
      </w:r>
    </w:p>
    <w:p>
      <w:pPr>
        <w:spacing w:before="240" w:after="180" w:line="300" w:lineRule="auto"/>
        <w:ind w:firstLine="0"/>
        <w:jc w:val="both"/>
        <w:outlineLvl w:val="2"/>
      </w:pPr>
      <w:r>
        <w:rPr>
          <w:rFonts w:ascii="Times New Roman" w:hAnsi="Times New Roman" w:cs="Times New Roman" w:eastAsia="黑体"/>
          <w:b w:val="0"/>
          <w:sz w:val="28"/>
        </w:rPr>
        <w:t>5.4.5 参数敏感度到工程含义的谨慎映射</w:t>
      </w:r>
    </w:p>
    <w:p>
      <w:pPr>
        <w:spacing w:before="0" w:after="0" w:line="300" w:lineRule="auto"/>
        <w:ind w:firstLine="480"/>
        <w:jc w:val="both"/>
      </w:pPr>
      <w:r>
        <w:rPr>
          <w:rFonts w:ascii="Times New Roman" w:hAnsi="Times New Roman" w:cs="Times New Roman" w:eastAsia="宋体"/>
          <w:b w:val="0"/>
          <w:sz w:val="24"/>
        </w:rPr>
        <w:t>参数干预固定模型、输入和预测键，仅替换两层关系级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因而排除了重新训练路径差异；误差上升表示当前模型表示与替换后的关系分配不匹配，不表示现实负荷会对同类“干预”产生相同变化。分层百分比还受基线大小影响：稳定窗口基线MAE较小，可能放大相对退化；事件窗口则需结合绝对MAE和样本数判断，不能据表5-4断言稳定样本更重要。</w:t>
      </w:r>
    </w:p>
    <w:p>
      <w:pPr>
        <w:spacing w:before="0" w:after="0" w:line="300" w:lineRule="auto"/>
        <w:ind w:firstLine="480"/>
        <w:jc w:val="both"/>
      </w:pPr>
      <w:r>
        <w:rPr>
          <w:rFonts w:ascii="Times New Roman" w:hAnsi="Times New Roman" w:cs="Times New Roman" w:eastAsia="宋体"/>
          <w:b w:val="0"/>
          <w:sz w:val="24"/>
        </w:rPr>
        <w:t>逐节点最大退化不能直接形成“关键节点”清单，因为节点负荷尺度、事件比例和连接结构不同。本节沿用第4章L1的三种子预测与干预结果，不重新训练或改变正式排名；若更换输入协议或关系图，应作为独立实验系列报告。工程上，该结果可作为压力测试信号：局部误差异常时，优先回查构图、节点门控和数据分布，而不是直接删除某类关系。</w:t>
      </w:r>
    </w:p>
    <w:p>
      <w:pPr>
        <w:spacing w:before="0" w:after="0" w:line="300" w:lineRule="auto"/>
        <w:ind w:firstLine="480"/>
        <w:jc w:val="both"/>
      </w:pPr>
      <w:r>
        <w:rPr>
          <w:rFonts w:ascii="Times New Roman" w:hAnsi="Times New Roman" w:cs="Times New Roman" w:eastAsia="宋体"/>
          <w:b w:val="0"/>
          <w:sz w:val="24"/>
        </w:rPr>
        <w:t>后续需补充节点门控独立消融，保存逐种子、逐节点和时间块干预结果，并在外部时段或站点重复协议。方向性检验、共形覆盖和参数敏感度应继续分别复核。</w:t>
      </w:r>
    </w:p>
    <w:p>
      <w:pPr>
        <w:spacing w:before="240" w:after="180" w:line="300" w:lineRule="auto"/>
        <w:ind w:firstLine="0"/>
        <w:jc w:val="both"/>
        <w:outlineLvl w:val="2"/>
      </w:pPr>
      <w:r>
        <w:rPr>
          <w:rFonts w:ascii="Times New Roman" w:hAnsi="Times New Roman" w:cs="Times New Roman" w:eastAsia="黑体"/>
          <w:b w:val="0"/>
          <w:sz w:val="28"/>
        </w:rPr>
        <w:t>5.4.6 证据层级与复现优先级</w:t>
      </w:r>
    </w:p>
    <w:p>
      <w:pPr>
        <w:spacing w:before="0" w:after="0" w:line="300" w:lineRule="auto"/>
        <w:ind w:firstLine="480"/>
        <w:jc w:val="both"/>
      </w:pPr>
      <w:r>
        <w:rPr>
          <w:rFonts w:ascii="Times New Roman" w:hAnsi="Times New Roman" w:cs="Times New Roman" w:eastAsia="宋体"/>
          <w:b w:val="0"/>
          <w:sz w:val="24"/>
        </w:rPr>
        <w:t>三项探索的证据对象不同：TE—PCMCI+针对训练期序列的条件滞后候选，分层共形针对冻结预测的经验覆盖，参数干预针对模型内部关系分配。复现时应先核对支撑主结论的逐键预测、事件掩码和四格汇总，再核对验证残差、规则输入和区间端点，最后检查逐边方向性结果和逐配置干预输出。只有时间戳、节点顺序、预测步长、掩码和模型状态等中间对象一致，最终指标才可比较。</w:t>
      </w:r>
    </w:p>
    <w:p>
      <w:pPr>
        <w:spacing w:before="0" w:after="0" w:line="300" w:lineRule="auto"/>
        <w:ind w:firstLine="480"/>
        <w:jc w:val="both"/>
      </w:pPr>
      <w:r>
        <w:rPr>
          <w:rFonts w:ascii="Times New Roman" w:hAnsi="Times New Roman" w:cs="Times New Roman" w:eastAsia="宋体"/>
          <w:b w:val="0"/>
          <w:sz w:val="24"/>
        </w:rPr>
        <w:t>后续实验宜一次只增加一个预先定义的变量或对照：方向性关系先做外部时段验证，再考虑回灌模型；区间预测先设置独立校准段，再比较路由；门控机制先完成节点门控独立消融。该顺序既保留现有主线，也避免继续堆叠无法区分来源的结果。</w:t>
      </w:r>
    </w:p>
    <w:p>
      <w:pPr>
        <w:spacing w:before="0" w:after="0" w:line="300" w:lineRule="auto"/>
        <w:ind w:firstLine="480"/>
        <w:jc w:val="both"/>
      </w:pPr>
      <w:r>
        <w:rPr>
          <w:rFonts w:ascii="Times New Roman" w:hAnsi="Times New Roman" w:cs="Times New Roman" w:eastAsia="宋体"/>
          <w:b w:val="0"/>
          <w:sz w:val="24"/>
        </w:rPr>
        <w:t>复核记录还应保存指标对应的最小中间对象。方向性分析需保留逐边统计量、滞后和名义阈值状态；共形分析需保留校准残差、逐键路由、上下界和覆盖标记；参数干预需保留原模型哈希、替换后的关系权重和逐键绝对误差。复核者据此可从中间量重算边数、覆盖率和相对MAE，而不必依赖图表中的四舍五入读数，也能判断差异来自数据、协议还是模型状态。</w:t>
      </w:r>
    </w:p>
    <w:p>
      <w:pPr>
        <w:spacing w:before="360" w:after="240" w:line="360" w:lineRule="auto"/>
        <w:ind w:firstLine="0"/>
        <w:jc w:val="both"/>
        <w:outlineLvl w:val="1"/>
      </w:pPr>
      <w:r>
        <w:rPr>
          <w:rFonts w:ascii="Times New Roman" w:hAnsi="Times New Roman" w:cs="Times New Roman" w:eastAsia="黑体"/>
          <w:b/>
          <w:sz w:val="30"/>
        </w:rPr>
        <w:t>5.5 本章小结</w:t>
      </w:r>
    </w:p>
    <w:p>
      <w:pPr>
        <w:spacing w:before="0" w:after="0" w:line="300" w:lineRule="auto"/>
        <w:ind w:firstLine="480"/>
        <w:jc w:val="both"/>
      </w:pPr>
      <w:r>
        <w:rPr>
          <w:rFonts w:ascii="Times New Roman" w:hAnsi="Times New Roman" w:cs="Times New Roman" w:eastAsia="宋体"/>
          <w:b w:val="0"/>
          <w:sz w:val="24"/>
        </w:rPr>
        <w:t>本章围绕关系方向、区间可靠性和分层参数敏感度开展三项探索，结果见表5-5。三类证据对象分开管理：TE—PCMCI+处理训练期条件滞后候选，共形处理冻结预测的经验覆盖，参数替换处理模型内部关系分配响应；它们均使用冻结数据或模型，不改变主模型训练和第3章排名。</w:t>
      </w:r>
    </w:p>
    <w:p>
      <w:pPr>
        <w:keepNext/>
        <w:spacing w:before="60" w:after="60" w:line="240" w:lineRule="auto"/>
        <w:ind w:firstLine="0"/>
        <w:jc w:val="center"/>
      </w:pPr>
      <w:r>
        <w:rPr>
          <w:rFonts w:ascii="Times New Roman" w:hAnsi="Times New Roman" w:cs="Times New Roman" w:eastAsia="黑体"/>
          <w:b w:val="0"/>
          <w:sz w:val="21"/>
        </w:rPr>
        <w:t>表5-5 第5章探索结果汇总</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操作</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主要观察</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结论边界</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统计关系能否呈现方向信息？</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TE候选与PCMCI+条件独立核验</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76/90条TE候选；44/76在PCMCI+下仍达到名义阈值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单数据集、未多重比较校正；为条件滞后依赖候选，不是物理因果边</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点预测能否给出可靠区间？</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标准共形、规则路由分层共形与oracle对比</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标签事件覆盖率1.9%→3.9%；oracle为86.1%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规则路由可在预测时执行但覆盖未达标；oracle仅为事后参照</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关系分配的影响是否分层不同？</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7种参数替换的窗口和节点汇总</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稳定窗口相对退化132.1%～316.6%，事件窗口为5.5%～35.6%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参数干预敏感度，不构成因果效应；分层汇总未保存离散度</w:t>
            </w:r>
          </w:p>
        </w:tc>
      </w:tr>
    </w:tbl>
    <w:p>
      <w:pPr>
        <w:spacing w:before="0" w:after="0" w:line="300" w:lineRule="auto"/>
        <w:ind w:firstLine="480"/>
        <w:jc w:val="both"/>
      </w:pPr>
      <w:r>
        <w:rPr>
          <w:rFonts w:ascii="Times New Roman" w:hAnsi="Times New Roman" w:cs="Times New Roman" w:eastAsia="宋体"/>
          <w:b w:val="0"/>
          <w:sz w:val="24"/>
        </w:rPr>
        <w:t>方向性分析发现了无向统计图未覆盖的候选，区间分析暴露了可见规则路由的覆盖缺口，参数替换则显示关系分配的影响随样本层面而变化。后续应在跨站数据上验证方向性结构，在独立时间段重校准区间，并用更丰富的可见信号评估事件路由与关系图更新。</w:t>
      </w:r>
    </w:p>
    <w:p>
      <w:pPr>
        <w:sectPr>
          <w:headerReference w:type="default" r:id="rId100"/>
          <w:headerReference w:type="even" r:id="rId101"/>
          <w:footerReference w:type="default" r:id="rId10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结  论</w:t>
      </w:r>
    </w:p>
    <w:p>
      <w:pPr>
        <w:spacing w:before="360" w:after="240" w:line="360" w:lineRule="auto"/>
        <w:ind w:firstLine="0"/>
        <w:jc w:val="both"/>
        <w:outlineLvl w:val="1"/>
      </w:pPr>
      <w:r>
        <w:rPr>
          <w:rFonts w:ascii="Times New Roman" w:hAnsi="Times New Roman" w:cs="Times New Roman" w:eastAsia="黑体"/>
          <w:b/>
          <w:sz w:val="30"/>
        </w:rPr>
        <w:t>做了什么</w:t>
      </w:r>
    </w:p>
    <w:p>
      <w:pPr>
        <w:spacing w:before="0" w:after="0" w:line="300" w:lineRule="auto"/>
        <w:ind w:firstLine="480"/>
        <w:jc w:val="both"/>
      </w:pPr>
      <w:r>
        <w:rPr>
          <w:rFonts w:ascii="Times New Roman" w:hAnsi="Times New Roman" w:cs="Times New Roman" w:eastAsia="宋体"/>
          <w:b w:val="0"/>
          <w:sz w:val="24"/>
        </w:rPr>
        <w:t>本文以公开充电会话记录重构的节点代理负荷为对象，面向单站10个主分析节点，按15 min展开数据，采用96步输入、未来4步输出和时间顺序划分开展节点短期负荷预测。旧主协议（SG-DATA-005-primary-tensor、SG-EXP-003）使用会话最终电量与断开时间重构的离线代理负荷，回答固定回溯序列上多关系模型能否改善预测；另行冻结的严格可见输入新协议（SG-DATA-006-eventtime-v1、SG-EXP-019）只使用预测原点前已发生的行为和日历信息，目标仍为事后会话能量代理，回答输入权限收紧后关系结构是否保留相对价值。两套协议的测试预测键不同，旧协议为712,360个、新协议为708,560个，不能合并比较。</w:t>
      </w:r>
    </w:p>
    <w:p>
      <w:pPr>
        <w:spacing w:before="0" w:after="0" w:line="300" w:lineRule="auto"/>
        <w:ind w:firstLine="480"/>
        <w:jc w:val="both"/>
      </w:pPr>
      <w:r>
        <w:rPr>
          <w:rFonts w:ascii="Times New Roman" w:hAnsi="Times New Roman" w:cs="Times New Roman" w:eastAsia="宋体"/>
          <w:b w:val="0"/>
          <w:sz w:val="24"/>
        </w:rPr>
        <w:t>基于训练期负荷耦合、行为共现和轮廓相似关系构建LRE三关系图，提出以TCN为时间骨干、含关系级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的MRG-GCN。围绕模型内部关系分配、图结构收益能否被纯时序模型吸收以及总体误差由哪些样本构成，建立MDP三层诊断：L1参数干预、L2知识蒸馏、L3以target_event和rule_trigger交叉的四格溯源。第5章的方向性候选、共形区间和参数敏感度属于冻结结果上的预测支持探索，不改变正式点预测结论。</w:t>
      </w:r>
    </w:p>
    <w:p>
      <w:pPr>
        <w:spacing w:before="360" w:after="240" w:line="360" w:lineRule="auto"/>
        <w:ind w:firstLine="0"/>
        <w:jc w:val="both"/>
        <w:outlineLvl w:val="1"/>
      </w:pPr>
      <w:r>
        <w:rPr>
          <w:rFonts w:ascii="Times New Roman" w:hAnsi="Times New Roman" w:cs="Times New Roman" w:eastAsia="黑体"/>
          <w:b/>
          <w:sz w:val="30"/>
        </w:rPr>
        <w:t>得到什么</w:t>
      </w:r>
    </w:p>
    <w:p>
      <w:pPr>
        <w:spacing w:before="0" w:after="0" w:line="300" w:lineRule="auto"/>
        <w:ind w:firstLine="480"/>
        <w:jc w:val="both"/>
      </w:pPr>
      <w:r>
        <w:rPr>
          <w:rFonts w:ascii="Times New Roman" w:hAnsi="Times New Roman" w:cs="Times New Roman" w:eastAsia="宋体"/>
          <w:b w:val="0"/>
          <w:sz w:val="24"/>
        </w:rPr>
        <w:t>（1）旧主协议中，正式MRG-GCN（StaticGraph）全局MAE为0.01376 kWh/15 min，WAPE为0.2860；相较TCN和ARIMA，MAE分别降低53.4%和39.1%。MRG-GCN的MAE最低，已报告WAPE中也最低；AGCRN简化变体的RMSE最低。MRG-GCN、AdaptiveGraph和EventResidual的MAE差异与跨种子波动同级，不能建立稳定头部次序；单关系与三关系接近，未证明三类关系各有独立正增量。</w:t>
      </w:r>
    </w:p>
    <w:p>
      <w:pPr>
        <w:spacing w:before="0" w:after="0" w:line="300" w:lineRule="auto"/>
        <w:ind w:firstLine="480"/>
        <w:jc w:val="both"/>
      </w:pPr>
      <w:r>
        <w:rPr>
          <w:rFonts w:ascii="Times New Roman" w:hAnsi="Times New Roman" w:cs="Times New Roman" w:eastAsia="宋体"/>
          <w:b w:val="0"/>
          <w:sz w:val="24"/>
        </w:rPr>
        <w:t>（2）MDP给出三类互补证据：L1中，旧协议训练后前向替换的7种关系级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干预均使MAE退化95.9%～233.6%；L2中，所检四个蒸馏权重下TCN学生MAE约为0.029，未弥合与StaticGraph教师0.01376的差距；L3中，target_event标签事件窗口占测试预测键1.43%，误差约为稳定窗口28倍，rule_trigger触发率为0.43%，且四格加权MAE可还原全局结果。</w:t>
      </w:r>
    </w:p>
    <w:p>
      <w:pPr>
        <w:spacing w:before="0" w:after="0" w:line="300" w:lineRule="auto"/>
        <w:ind w:firstLine="480"/>
        <w:jc w:val="both"/>
      </w:pPr>
      <w:r>
        <w:rPr>
          <w:rFonts w:ascii="Times New Roman" w:hAnsi="Times New Roman" w:cs="Times New Roman" w:eastAsia="宋体"/>
          <w:b w:val="0"/>
          <w:sz w:val="24"/>
        </w:rPr>
        <w:t>（3）新协议中，mrg_full的MAE为0.03890 kWh/15 min，较参数量近似匹配的tcn_wide（0.04634 kWh/15 min）低16.1%；但完整能力基线agcrn_full为0.03743 kWh/15 min，比mrg_full低3.9%。因此，新协议下不能写成MRG-GCN优胜；它只支持“输入权限收紧后，MRG-GCN相对容量匹配TCN仍有价值”的限定判断。</w:t>
      </w:r>
    </w:p>
    <w:p>
      <w:pPr>
        <w:spacing w:before="0" w:after="0" w:line="300" w:lineRule="auto"/>
        <w:ind w:firstLine="480"/>
        <w:jc w:val="both"/>
      </w:pPr>
      <w:r>
        <w:rPr>
          <w:rFonts w:ascii="Times New Roman" w:hAnsi="Times New Roman" w:cs="Times New Roman" w:eastAsia="宋体"/>
          <w:b w:val="0"/>
          <w:sz w:val="24"/>
        </w:rPr>
        <w:t>（4）第5章的探索结果均是边界证据：TE得到76/90条名义候选，其中44/76经PCMCI+后仍达到名义阈值，未作多重比较校正；规则路由将标签事件窗口经验覆盖率从1.9%提高到3.9%，oracle为86.1%，仍低于90%目标；参数替换的稳定窗口相对退化132.1%～316.6%，事件窗口为5.5%～35.6%。</w:t>
      </w:r>
    </w:p>
    <w:p>
      <w:pPr>
        <w:spacing w:before="360" w:after="240" w:line="360" w:lineRule="auto"/>
        <w:ind w:firstLine="0"/>
        <w:jc w:val="both"/>
        <w:outlineLvl w:val="1"/>
      </w:pPr>
      <w:r>
        <w:rPr>
          <w:rFonts w:ascii="Times New Roman" w:hAnsi="Times New Roman" w:cs="Times New Roman" w:eastAsia="黑体"/>
          <w:b/>
          <w:sz w:val="30"/>
        </w:rPr>
        <w:t>能说明什么</w:t>
      </w:r>
    </w:p>
    <w:p>
      <w:pPr>
        <w:spacing w:before="0" w:after="0" w:line="300" w:lineRule="auto"/>
        <w:ind w:firstLine="480"/>
        <w:jc w:val="both"/>
      </w:pPr>
      <w:r>
        <w:rPr>
          <w:rFonts w:ascii="Times New Roman" w:hAnsi="Times New Roman" w:cs="Times New Roman" w:eastAsia="宋体"/>
          <w:b w:val="0"/>
          <w:sz w:val="24"/>
        </w:rPr>
        <w:t>在旧主协议的单站、固定切分、会话重构代理负荷和统一预测键下，MRG-GCN是MAE较低的完整配置，能够作为站内节点关注排序、短时负荷监测和后续容量评估的输入。L1支持对所检学习关系分配存在功能依赖，L2表明该差距未被所检纯时序学生吸收，L3则说明全局MAE不能替代对稀有困难窗口的分层评价。新协议补充了可见信息边界：关系路径相对容量匹配的纯时序路径仍有价值，但完整AGCRN基线略低于MRG-GCN。</w:t>
      </w:r>
    </w:p>
    <w:p>
      <w:pPr>
        <w:spacing w:before="0" w:after="0" w:line="300" w:lineRule="auto"/>
        <w:ind w:firstLine="480"/>
        <w:jc w:val="both"/>
      </w:pPr>
      <w:r>
        <w:rPr>
          <w:rFonts w:ascii="Times New Roman" w:hAnsi="Times New Roman" w:cs="Times New Roman" w:eastAsia="宋体"/>
          <w:b w:val="0"/>
          <w:sz w:val="24"/>
        </w:rPr>
        <w:t>这些结果还说明，target_event是目标侧事后评价标签，rule_trigger是预测时刻可见的冻结规则信号；二者不能混作分类器真值与输出。LRE是训练期固定的无向统计关系，MDP是组织模型内部干预、蒸馏和误差分层的诊断协议，三者均服务于本文实验口径下的可复核比较。</w:t>
      </w:r>
    </w:p>
    <w:p>
      <w:pPr>
        <w:spacing w:before="360" w:after="240" w:line="360" w:lineRule="auto"/>
        <w:ind w:firstLine="0"/>
        <w:jc w:val="both"/>
        <w:outlineLvl w:val="1"/>
      </w:pPr>
      <w:r>
        <w:rPr>
          <w:rFonts w:ascii="Times New Roman" w:hAnsi="Times New Roman" w:cs="Times New Roman" w:eastAsia="黑体"/>
          <w:b/>
          <w:sz w:val="30"/>
        </w:rPr>
        <w:t>不能说明什么</w:t>
      </w:r>
    </w:p>
    <w:p>
      <w:pPr>
        <w:spacing w:before="0" w:after="0" w:line="300" w:lineRule="auto"/>
        <w:ind w:firstLine="480"/>
        <w:jc w:val="both"/>
      </w:pPr>
      <w:r>
        <w:rPr>
          <w:rFonts w:ascii="Times New Roman" w:hAnsi="Times New Roman" w:cs="Times New Roman" w:eastAsia="宋体"/>
          <w:b w:val="0"/>
          <w:sz w:val="24"/>
        </w:rPr>
        <w:t>旧协议的0.01376与新协议的0.03890来自不同输入权限、切分方式和测试预测键，不能直接相减或合并成一条性能曲线；新协议的agcrn_full略低于mrg_full，也不能据此把新协议写成MRG-GCN领先。新协议仍以事后会话能量代理为目标，不是实测功率验证，且未补齐同输入、同预算和参数量控制下的全部基线。</w:t>
      </w:r>
    </w:p>
    <w:p>
      <w:pPr>
        <w:spacing w:before="0" w:after="0" w:line="300" w:lineRule="auto"/>
        <w:ind w:firstLine="480"/>
        <w:jc w:val="both"/>
      </w:pPr>
      <w:r>
        <w:rPr>
          <w:rFonts w:ascii="Times New Roman" w:hAnsi="Times New Roman" w:cs="Times New Roman" w:eastAsia="宋体"/>
          <w:b w:val="0"/>
          <w:sz w:val="24"/>
        </w:rPr>
        <w:t>本文不能据此推断统计关系等同于物理充电桩、馈线或配电拓扑，不能把TE、PCMCI+或参数干预解释为物理因果，也不能把当前共形覆盖结果写成达到90%保证、事件预测能力或在线调度收益。三层诊断分别受7种关系替换、单一TCN学生与四个蒸馏权重、以及事件样本稀少和规则错位的限制；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门控尚无独立消融证据，方向性候选也未回灌MRG-GCN。</w:t>
      </w:r>
    </w:p>
    <w:p>
      <w:pPr>
        <w:spacing w:before="0" w:after="0" w:line="300" w:lineRule="auto"/>
        <w:ind w:firstLine="480"/>
        <w:jc w:val="both"/>
      </w:pPr>
      <w:r>
        <w:rPr>
          <w:rFonts w:ascii="Times New Roman" w:hAnsi="Times New Roman" w:cs="Times New Roman" w:eastAsia="宋体"/>
          <w:b w:val="0"/>
          <w:sz w:val="24"/>
        </w:rPr>
        <w:t>因此，进入业务使用前仍需用真实量测数据核验代理负荷映射，在独立场站和未见时期重做筛选、构图、校准与基线比较，并用预测时可见信号检验事件路由及具体决策增益。当前结论止于单站节点代理负荷上的离线预测、机制诊断和边界识别。</w:t>
      </w:r>
    </w:p>
    <w:p>
      <w:pPr>
        <w:sectPr>
          <w:headerReference w:type="default" r:id="rId112"/>
          <w:headerReference w:type="even" r:id="rId113"/>
          <w:footerReference w:type="default" r:id="rId114"/>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参考文献</w:t>
      </w:r>
    </w:p>
    <w:p>
      <w:pPr>
        <w:spacing w:before="0" w:after="0" w:line="300" w:lineRule="auto"/>
        <w:ind w:left="420" w:hanging="420"/>
        <w:jc w:val="left"/>
      </w:pPr>
      <w:r>
        <w:rPr>
          <w:rFonts w:ascii="Times New Roman" w:hAnsi="Times New Roman" w:cs="Times New Roman" w:eastAsia="宋体"/>
          <w:b w:val="0"/>
          <w:sz w:val="21"/>
        </w:rPr>
        <w:t>[1] 中国电动汽车充电基础设施促进联盟. 2024年全国电动汽车充换电基础设施运行情况[EB/OL]. (2025-01-23)[2026-08-04]. https://www.evcipa.org.cn/newsinfo/8137834.html.</w:t>
      </w:r>
    </w:p>
    <w:p>
      <w:pPr>
        <w:spacing w:before="0" w:after="0" w:line="300" w:lineRule="auto"/>
        <w:ind w:left="420" w:hanging="420"/>
        <w:jc w:val="left"/>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pPr>
      <w:r>
        <w:rPr>
          <w:rFonts w:ascii="Times New Roman" w:hAnsi="Times New Roman" w:cs="Times New Roman" w:eastAsia="宋体"/>
          <w:b w:val="0"/>
          <w:sz w:val="21"/>
        </w:rPr>
        <w:t>[84] BOX G E P, JENKINS G M. Time series analysis: forecasting and control[M]. San Francisco: Holden-Day, 1970.</w:t>
      </w:r>
    </w:p>
    <w:p>
      <w:pPr>
        <w:spacing w:before="0" w:after="0" w:line="300" w:lineRule="auto"/>
        <w:ind w:left="420" w:hanging="420"/>
        <w:jc w:val="left"/>
      </w:pPr>
      <w:r>
        <w:rPr>
          <w:rFonts w:ascii="Times New Roman" w:hAnsi="Times New Roman" w:cs="Times New Roman" w:eastAsia="宋体"/>
          <w:b w:val="0"/>
          <w:sz w:val="21"/>
        </w:rPr>
        <w:t>[85] SCHREIBER T. Measuring information transfer[J]. Physical Review Letters, 2000, 85(2): 461-464.</w:t>
      </w:r>
    </w:p>
    <w:p>
      <w:pPr>
        <w:spacing w:before="0" w:after="0" w:line="300" w:lineRule="auto"/>
        <w:ind w:left="420" w:hanging="420"/>
        <w:jc w:val="left"/>
      </w:pPr>
      <w:r>
        <w:rPr>
          <w:rFonts w:ascii="Times New Roman" w:hAnsi="Times New Roman" w:cs="Times New Roman" w:eastAsia="宋体"/>
          <w:b w:val="0"/>
          <w:sz w:val="21"/>
        </w:rPr>
        <w:t>[86] RUNGE J, NOWACK P, KRETSCHMER M, et al. Detecting and quantifying causal associations in large nonlinear time series datasets[J]. Science Advances, 2019, 5(11): eaau4996.</w:t>
      </w:r>
    </w:p>
    <w:p>
      <w:pPr>
        <w:spacing w:before="0" w:after="0" w:line="300" w:lineRule="auto"/>
        <w:ind w:left="420" w:hanging="420"/>
        <w:jc w:val="left"/>
      </w:pPr>
      <w:r>
        <w:rPr>
          <w:rFonts w:ascii="Times New Roman" w:hAnsi="Times New Roman" w:cs="Times New Roman" w:eastAsia="宋体"/>
          <w:b w:val="0"/>
          <w:sz w:val="21"/>
        </w:rPr>
        <w:t>[87]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pPr>
      <w:r>
        <w:rPr>
          <w:rFonts w:ascii="Times New Roman" w:hAnsi="Times New Roman" w:cs="Times New Roman" w:eastAsia="宋体"/>
          <w:b w:val="0"/>
          <w:sz w:val="21"/>
        </w:rPr>
        <w:t>[88] VOVK V, GAMMERMAN A, SHAFER G. Algorithmic learning in a random world[M]. New York: Springer, 2005.</w:t>
      </w:r>
    </w:p>
    <w:p>
      <w:pPr>
        <w:spacing w:before="0" w:after="0" w:line="300" w:lineRule="auto"/>
        <w:ind w:left="420" w:hanging="420"/>
        <w:jc w:val="left"/>
      </w:pPr>
      <w:r>
        <w:rPr>
          <w:rFonts w:ascii="Times New Roman" w:hAnsi="Times New Roman" w:cs="Times New Roman" w:eastAsia="宋体"/>
          <w:b w:val="0"/>
          <w:sz w:val="21"/>
        </w:rPr>
        <w:t>[89] LEI J, G'SELL M, RINALDO A, et al. Distribution-free predictive inference for regression[J]. Journal of the American Statistical Association, 2018, 113(523): 1094-1111.</w:t>
      </w:r>
    </w:p>
    <w:p>
      <w:pPr>
        <w:spacing w:before="0" w:after="0" w:line="300" w:lineRule="auto"/>
        <w:ind w:left="420" w:hanging="420"/>
        <w:jc w:val="left"/>
      </w:pPr>
      <w:r>
        <w:rPr>
          <w:rFonts w:ascii="Times New Roman" w:hAnsi="Times New Roman" w:cs="Times New Roman" w:eastAsia="宋体"/>
          <w:b w:val="0"/>
          <w:sz w:val="21"/>
        </w:rPr>
        <w:t>[90] GIBBS I, CANDÈS E. Adaptive conformal inference under distribution shift[C]//Advances in Neural Information Processing Systems. 2021, 34: 1660-1672.</w:t>
      </w:r>
    </w:p>
    <w:sectPr>
      <w:headerReference w:type="default" r:id="rId115"/>
      <w:headerReference w:type="even" r:id="rId116"/>
      <w:footerReference w:type="default" r:id="rId11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tabs>
        <w:tab w:pos="8311" w:val="right" w:leader="dot"/>
      </w:tabs>
      <w:spacing w:before="0" w:after="0" w:line="300" w:lineRule="auto"/>
      <w:ind w:left="958" w:leftChars="400" w:firstLine="0"/>
      <w:jc w:val="left"/>
    </w:pPr>
    <w:rPr>
      <w:rFonts w:ascii="Times New Roman" w:hAnsi="Times New Roman" w:cs="Times New Roman" w:eastAsia="宋体"/>
      <w:b w:val="0"/>
      <w:sz w:val="24"/>
    </w:r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pPr>
      <w:tabs>
        <w:tab w:pos="8311" w:val="right" w:leader="dot"/>
      </w:tabs>
      <w:spacing w:before="0" w:after="0" w:line="300" w:lineRule="auto"/>
      <w:ind w:left="0" w:firstLine="0"/>
      <w:jc w:val="left"/>
    </w:pPr>
    <w:rPr>
      <w:rFonts w:ascii="Times New Roman" w:hAnsi="Times New Roman" w:cs="Times New Roman" w:eastAsia="宋体"/>
      <w:b/>
      <w:sz w:val="24"/>
    </w:rPr>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tabs>
        <w:tab w:pos="8311" w:val="right" w:leader="dot"/>
      </w:tabs>
      <w:spacing w:before="0" w:after="0" w:line="300" w:lineRule="auto"/>
      <w:ind w:left="482" w:leftChars="200" w:firstLine="0"/>
      <w:jc w:val="left"/>
    </w:pPr>
    <w:rPr>
      <w:rFonts w:ascii="Times New Roman" w:hAnsi="Times New Roman" w:cs="Times New Roman" w:eastAsia="宋体"/>
      <w:b w:val="0"/>
      <w:sz w:val="24"/>
    </w:r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10.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11.xml"/><Relationship Id="rId54" Type="http://schemas.openxmlformats.org/officeDocument/2006/relationships/header" Target="header28.xml"/><Relationship Id="rId55" Type="http://schemas.openxmlformats.org/officeDocument/2006/relationships/header" Target="header29.xml"/><Relationship Id="rId56" Type="http://schemas.openxmlformats.org/officeDocument/2006/relationships/footer" Target="footer12.xm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eader" Target="header30.xml"/><Relationship Id="rId60" Type="http://schemas.openxmlformats.org/officeDocument/2006/relationships/header" Target="header31.xml"/><Relationship Id="rId61" Type="http://schemas.openxmlformats.org/officeDocument/2006/relationships/footer" Target="footer13.xml"/><Relationship Id="rId62" Type="http://schemas.openxmlformats.org/officeDocument/2006/relationships/image" Target="media/image9.png"/><Relationship Id="rId63" Type="http://schemas.openxmlformats.org/officeDocument/2006/relationships/image" Target="media/image10.png"/><Relationship Id="rId64" Type="http://schemas.openxmlformats.org/officeDocument/2006/relationships/image" Target="media/image11.png"/><Relationship Id="rId65" Type="http://schemas.openxmlformats.org/officeDocument/2006/relationships/image" Target="media/image12.png"/><Relationship Id="rId66" Type="http://schemas.openxmlformats.org/officeDocument/2006/relationships/image" Target="media/image13.png"/><Relationship Id="rId67" Type="http://schemas.openxmlformats.org/officeDocument/2006/relationships/image" Target="media/image14.png"/><Relationship Id="rId68" Type="http://schemas.openxmlformats.org/officeDocument/2006/relationships/image" Target="media/image15.png"/><Relationship Id="rId69" Type="http://schemas.openxmlformats.org/officeDocument/2006/relationships/image" Target="media/image16.png"/><Relationship Id="rId70" Type="http://schemas.openxmlformats.org/officeDocument/2006/relationships/image" Target="media/image17.png"/><Relationship Id="rId71" Type="http://schemas.openxmlformats.org/officeDocument/2006/relationships/image" Target="media/image18.png"/><Relationship Id="rId72" Type="http://schemas.openxmlformats.org/officeDocument/2006/relationships/image" Target="media/image19.png"/><Relationship Id="rId73" Type="http://schemas.openxmlformats.org/officeDocument/2006/relationships/image" Target="media/image20.png"/><Relationship Id="rId74" Type="http://schemas.openxmlformats.org/officeDocument/2006/relationships/header" Target="header32.xml"/><Relationship Id="rId75" Type="http://schemas.openxmlformats.org/officeDocument/2006/relationships/header" Target="header33.xml"/><Relationship Id="rId76" Type="http://schemas.openxmlformats.org/officeDocument/2006/relationships/footer" Target="footer14.xml"/><Relationship Id="rId77" Type="http://schemas.openxmlformats.org/officeDocument/2006/relationships/image" Target="media/image21.png"/><Relationship Id="rId78" Type="http://schemas.openxmlformats.org/officeDocument/2006/relationships/image" Target="media/image22.png"/><Relationship Id="rId79" Type="http://schemas.openxmlformats.org/officeDocument/2006/relationships/image" Target="media/image23.png"/><Relationship Id="rId80" Type="http://schemas.openxmlformats.org/officeDocument/2006/relationships/image" Target="media/image24.png"/><Relationship Id="rId81" Type="http://schemas.openxmlformats.org/officeDocument/2006/relationships/image" Target="media/image25.png"/><Relationship Id="rId82" Type="http://schemas.openxmlformats.org/officeDocument/2006/relationships/image" Target="media/image26.png"/><Relationship Id="rId83" Type="http://schemas.openxmlformats.org/officeDocument/2006/relationships/image" Target="media/image27.png"/><Relationship Id="rId84" Type="http://schemas.openxmlformats.org/officeDocument/2006/relationships/image" Target="media/image28.png"/><Relationship Id="rId85" Type="http://schemas.openxmlformats.org/officeDocument/2006/relationships/image" Target="media/image29.png"/><Relationship Id="rId86" Type="http://schemas.openxmlformats.org/officeDocument/2006/relationships/image" Target="media/image30.png"/><Relationship Id="rId87" Type="http://schemas.openxmlformats.org/officeDocument/2006/relationships/image" Target="media/image31.png"/><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34.xml"/><Relationship Id="rId92" Type="http://schemas.openxmlformats.org/officeDocument/2006/relationships/header" Target="header35.xml"/><Relationship Id="rId93" Type="http://schemas.openxmlformats.org/officeDocument/2006/relationships/footer" Target="footer15.xml"/><Relationship Id="rId94" Type="http://schemas.openxmlformats.org/officeDocument/2006/relationships/image" Target="media/image35.png"/><Relationship Id="rId95" Type="http://schemas.openxmlformats.org/officeDocument/2006/relationships/image" Target="media/image36.png"/><Relationship Id="rId96" Type="http://schemas.openxmlformats.org/officeDocument/2006/relationships/image" Target="media/image37.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40.png"/><Relationship Id="rId100" Type="http://schemas.openxmlformats.org/officeDocument/2006/relationships/header" Target="header36.xml"/><Relationship Id="rId101" Type="http://schemas.openxmlformats.org/officeDocument/2006/relationships/header" Target="header37.xml"/><Relationship Id="rId102" Type="http://schemas.openxmlformats.org/officeDocument/2006/relationships/footer" Target="footer16.xml"/><Relationship Id="rId103" Type="http://schemas.openxmlformats.org/officeDocument/2006/relationships/image" Target="media/image41.png"/><Relationship Id="rId104" Type="http://schemas.openxmlformats.org/officeDocument/2006/relationships/image" Target="media/image42.png"/><Relationship Id="rId105" Type="http://schemas.openxmlformats.org/officeDocument/2006/relationships/image" Target="media/image43.png"/><Relationship Id="rId106" Type="http://schemas.openxmlformats.org/officeDocument/2006/relationships/image" Target="media/image44.png"/><Relationship Id="rId107" Type="http://schemas.openxmlformats.org/officeDocument/2006/relationships/image" Target="media/image45.png"/><Relationship Id="rId108" Type="http://schemas.openxmlformats.org/officeDocument/2006/relationships/image" Target="media/image46.png"/><Relationship Id="rId109" Type="http://schemas.openxmlformats.org/officeDocument/2006/relationships/image" Target="media/image47.png"/><Relationship Id="rId110" Type="http://schemas.openxmlformats.org/officeDocument/2006/relationships/image" Target="media/image48.png"/><Relationship Id="rId111" Type="http://schemas.openxmlformats.org/officeDocument/2006/relationships/image" Target="media/image49.png"/><Relationship Id="rId112" Type="http://schemas.openxmlformats.org/officeDocument/2006/relationships/header" Target="header38.xml"/><Relationship Id="rId113" Type="http://schemas.openxmlformats.org/officeDocument/2006/relationships/header" Target="header39.xml"/><Relationship Id="rId114" Type="http://schemas.openxmlformats.org/officeDocument/2006/relationships/footer" Target="footer17.xml"/><Relationship Id="rId115" Type="http://schemas.openxmlformats.org/officeDocument/2006/relationships/header" Target="header40.xml"/><Relationship Id="rId116" Type="http://schemas.openxmlformats.org/officeDocument/2006/relationships/header" Target="header41.xml"/><Relationship Id="rId117" Type="http://schemas.openxmlformats.org/officeDocument/2006/relationships/footer" Target="footer1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