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28BB212">
      <w:pPr>
        <w:rPr>
          <w:sz w:val="28"/>
          <w:szCs w:val="28"/>
          <w:vertAlign w:val="subscript"/>
        </w:rPr>
      </w:pPr>
      <w:r/>
      <w:r>
        <w:rPr>
          <w:sz w:val="28"/>
          <w:szCs w:val="28"/>
        </w:rPr>
        <mc:AlternateContent>
          <mc:Choice Requires="wps">
            <w:drawing>
              <wp:anchor distT="0" distB="0" distL="114300" distR="114300" simplePos="0" relativeHeight="251659264" behindDoc="0" locked="0" layoutInCell="1" allowOverlap="1">
                <wp:simplePos x="0" y="0"/>
                <wp:positionH relativeFrom="column">
                  <wp:posOffset>3761740</wp:posOffset>
                </wp:positionH>
                <wp:positionV relativeFrom="paragraph">
                  <wp:posOffset>340995</wp:posOffset>
                </wp:positionV>
                <wp:extent cx="1884680" cy="0"/>
                <wp:effectExtent l="0" t="6350" r="0" b="6350"/>
                <wp:wrapNone/>
                <wp:docPr id="1" name="直线 64"/>
                <wp:cNvGraphicFramePr/>
                <a:graphic xmlns:a="http://schemas.openxmlformats.org/drawingml/2006/main">
                  <a:graphicData uri="http://schemas.microsoft.com/office/word/2010/wordprocessingShape">
                    <wps:wsp>
                      <wps:cNvSpPr/>
                      <wps:spPr>
                        <a:xfrm>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4" o:spid="_x0000_s1026" o:spt="20" style="position:absolute;left:0pt;margin-left:296.2pt;margin-top:26.85pt;height:0pt;width:148.4pt;z-index:251659264;mso-width-relative:page;mso-height-relative:page;" filled="f" stroked="t" coordsize="21600,21600" o:gfxdata="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vvrKHX&#10;AAAACQEAAA8AAAAAAAAAAQAgAAAAIgAAAGRycy9kb3ducmV2LnhtbFBLAQIUABQAAAAIAIdO4kAa&#10;SJXO6AEAANwDAAAOAAAAAAAAAAEAIAAAACYBAABkcnMvZTJvRG9jLnhtbFBLBQYAAAAABgAGAFkB&#10;AACABQAAAAA=&#10;">
                <v:fill on="f" focussize="0,0"/>
                <v:stroke color="#000000" joinstyle="round"/>
                <v:imagedata o:title=""/>
                <o:lock v:ext="edit" aspectratio="f"/>
              </v:line>
            </w:pict>
          </mc:Fallback>
        </mc:AlternateContent>
      </w:r>
      <w:r>
        <w:rPr>
          <w:sz w:val="28"/>
          <w:szCs w:val="28"/>
        </w:rPr>
        <w:t xml:space="preserve">分类号                     </w:t>
      </w:r>
      <w:r>
        <w:rPr>
          <w:sz w:val="28"/>
          <w:szCs w:val="28"/>
          <w:vertAlign w:val="subscript"/>
        </w:rPr>
        <w:t xml:space="preserve">  </w:t>
      </w:r>
      <w:r>
        <w:rPr>
          <w:sz w:val="28"/>
          <w:szCs w:val="28"/>
        </w:rPr>
        <w:t xml:space="preserve">         密 级</w:t>
      </w:r>
    </w:p>
    <w:p w14:paraId="595CB970">
      <w:pPr>
        <w:rPr>
          <w:sz w:val="28"/>
          <w:szCs w:val="28"/>
        </w:rPr>
      </w:pPr>
      <w:r>
        <w:rPr>
          <w:sz w:val="28"/>
          <w:szCs w:val="28"/>
        </w:rPr>
        <mc:AlternateContent>
          <mc:Choice Requires="wps">
            <w:drawing>
              <wp:anchor distT="0" distB="0" distL="114300" distR="114300" simplePos="0" relativeHeight="251672576" behindDoc="0" locked="0" layoutInCell="1" allowOverlap="1">
                <wp:simplePos x="0" y="0"/>
                <wp:positionH relativeFrom="column">
                  <wp:posOffset>542290</wp:posOffset>
                </wp:positionH>
                <wp:positionV relativeFrom="paragraph">
                  <wp:posOffset>-83820</wp:posOffset>
                </wp:positionV>
                <wp:extent cx="2028190" cy="0"/>
                <wp:effectExtent l="0" t="6350" r="0" b="6350"/>
                <wp:wrapNone/>
                <wp:docPr id="14" name="直线 65"/>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5" o:spid="_x0000_s1026" o:spt="20" style="position:absolute;left:0pt;margin-left:42.7pt;margin-top:-6.6pt;height:0pt;width:159.7pt;z-index:251672576;mso-width-relative:page;mso-height-relative:page;" filled="f" stroked="t" coordsize="21600,21600" o:gfxdata="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MdlHM&#10;1wAAAAoBAAAPAAAAAAAAAAEAIAAAACIAAABkcnMvZG93bnJldi54bWxQSwECFAAUAAAACACHTuJA&#10;/AVnCOkBAADdAwAADgAAAAAAAAABACAAAAAmAQAAZHJzL2Uyb0RvYy54bWxQSwUGAAAAAAYABgBZ&#10;AQAAgQU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524510</wp:posOffset>
                </wp:positionH>
                <wp:positionV relativeFrom="paragraph">
                  <wp:posOffset>339090</wp:posOffset>
                </wp:positionV>
                <wp:extent cx="2028190" cy="0"/>
                <wp:effectExtent l="0" t="6350" r="0" b="6350"/>
                <wp:wrapNone/>
                <wp:docPr id="2" name="直线 66"/>
                <wp:cNvGraphicFramePr/>
                <a:graphic xmlns:a="http://schemas.openxmlformats.org/drawingml/2006/main">
                  <a:graphicData uri="http://schemas.microsoft.com/office/word/2010/wordprocessingShape">
                    <wps:wsp>
                      <wps:cNvSpPr/>
                      <wps:spPr>
                        <a:xfrm>
                          <a:off x="0" y="0"/>
                          <a:ext cx="2028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6" o:spid="_x0000_s1026" o:spt="20" style="position:absolute;left:0pt;margin-left:41.3pt;margin-top:26.7pt;height:0pt;width:159.7pt;z-index:251660288;mso-width-relative:page;mso-height-relative:page;" filled="f" stroked="t" coordsize="21600,21600" o:gfxdata="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GgB66dYA&#10;AAAIAQAADwAAAAAAAAABACAAAAAiAAAAZHJzL2Rvd25yZXYueG1sUEsBAhQAFAAAAAgAh07iQJRk&#10;A0joAQAA3AMAAA4AAAAAAAAAAQAgAAAAJQEAAGRycy9lMm9Eb2MueG1sUEsFBgAAAAAGAAYAWQEA&#10;AH8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61312" behindDoc="0" locked="0" layoutInCell="1" allowOverlap="1">
                <wp:simplePos x="0" y="0"/>
                <wp:positionH relativeFrom="column">
                  <wp:posOffset>3754120</wp:posOffset>
                </wp:positionH>
                <wp:positionV relativeFrom="paragraph">
                  <wp:posOffset>358140</wp:posOffset>
                </wp:positionV>
                <wp:extent cx="1884680" cy="0"/>
                <wp:effectExtent l="0" t="6350" r="0" b="6350"/>
                <wp:wrapNone/>
                <wp:docPr id="3" name="直线 67"/>
                <wp:cNvGraphicFramePr/>
                <a:graphic xmlns:a="http://schemas.openxmlformats.org/drawingml/2006/main">
                  <a:graphicData uri="http://schemas.microsoft.com/office/word/2010/wordprocessingShape">
                    <wps:wsp>
                      <wps:cNvSpPr/>
                      <wps:spPr>
                        <a:xfrm flipV="1">
                          <a:off x="0" y="0"/>
                          <a:ext cx="18846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7" o:spid="_x0000_s1026" o:spt="20" style="position:absolute;left:0pt;flip:y;margin-left:295.6pt;margin-top:28.2pt;height:0pt;width:148.4pt;z-index:251661312;mso-width-relative:page;mso-height-relative:page;" filled="f" stroked="t" coordsize="21600,21600" o:gfxdata="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fE2Ng1gAAAAkBAAAPAAAAAAAAAAEAIAAAACIAAABkcnMvZG93bnJldi54bWxQSwECFAAUAAAA&#10;CACHTuJAroihT/ABAADmAwAADgAAAAAAAAABACAAAAAlAQAAZHJzL2Uyb0RvYy54bWxQSwUGAAAA&#10;AAYABgBZAQAAhwUAAAAA&#10;">
                <v:fill on="f" focussize="0,0"/>
                <v:stroke color="#000000" joinstyle="round"/>
                <v:imagedata o:title=""/>
                <o:lock v:ext="edit" aspectratio="f"/>
              </v:line>
            </w:pict>
          </mc:Fallback>
        </mc:AlternateContent>
      </w:r>
      <w:r>
        <w:rPr>
          <w:sz w:val="28"/>
          <w:szCs w:val="28"/>
        </w:rPr>
        <w:t>U D C                                编 号</w:t>
      </w:r>
      <w:r/>
    </w:p>
    <w:p w14:paraId="7E48B31B">
      <w:pPr>
        <w:jc w:val="center"/>
        <w:rPr>
          <w:b/>
          <w:sz w:val="84"/>
          <w:szCs w:val="84"/>
        </w:rPr>
      </w:pPr>
    </w:p>
    <w:p w14:paraId="0862A64D">
      <w:pPr>
        <w:jc w:val="center"/>
        <w:rPr>
          <w:b/>
          <w:sz w:val="84"/>
          <w:szCs w:val="84"/>
        </w:rPr>
      </w:pPr>
      <w:r>
        <w:rPr>
          <w:b/>
          <w:sz w:val="44"/>
          <w:szCs w:val="44"/>
        </w:rPr>
        <w:drawing>
          <wp:inline distT="0" distB="0" distL="114300" distR="114300">
            <wp:extent cx="3714115" cy="828675"/>
            <wp:effectExtent l="0" t="0" r="19685" b="9525"/>
            <wp:docPr id="22" name="图片 7"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descr="校名"/>
                    <pic:cNvPicPr>
                      <a:picLocks noChangeAspect="1"/>
                    </pic:cNvPicPr>
                  </pic:nvPicPr>
                  <pic:blipFill>
                    <a:blip r:embed="rId34">
                      <a:biLevel thresh="50000"/>
                      <a:grayscl/>
                    </a:blip>
                    <a:stretch>
                      <a:fillRect/>
                    </a:stretch>
                  </pic:blipFill>
                  <pic:spPr>
                    <a:xfrm>
                      <a:off x="0" y="0"/>
                      <a:ext cx="3714115" cy="828675"/>
                    </a:xfrm>
                    <a:prstGeom prst="rect">
                      <a:avLst/>
                    </a:prstGeom>
                    <a:noFill/>
                    <a:ln>
                      <a:noFill/>
                    </a:ln>
                  </pic:spPr>
                </pic:pic>
              </a:graphicData>
            </a:graphic>
          </wp:inline>
        </w:drawing>
      </w:r>
    </w:p>
    <w:p w14:paraId="5EC5B59F">
      <w:pPr>
        <w:jc w:val="center"/>
        <w:rPr>
          <w:rFonts w:hint="eastAsia"/>
          <w:b/>
          <w:sz w:val="44"/>
          <w:szCs w:val="44"/>
        </w:rPr>
      </w:pPr>
    </w:p>
    <w:p w14:paraId="26A06523">
      <w:pPr>
        <w:jc w:val="center"/>
        <w:rPr>
          <w:b/>
          <w:sz w:val="44"/>
          <w:szCs w:val="44"/>
        </w:rPr>
      </w:pPr>
      <w:r>
        <w:rPr>
          <w:rFonts w:hint="eastAsia"/>
          <w:b/>
          <w:sz w:val="44"/>
          <w:szCs w:val="44"/>
        </w:rPr>
        <w:t>专业学位硕</w:t>
      </w:r>
      <w:r>
        <w:rPr>
          <w:b/>
          <w:sz w:val="44"/>
          <w:szCs w:val="44"/>
        </w:rPr>
        <w:t>士学位论文</w:t>
      </w:r>
    </w:p>
    <w:p w14:paraId="06C89A8C">
      <w:pPr>
        <w:jc w:val="center"/>
        <w:rPr>
          <w:b/>
          <w:sz w:val="44"/>
          <w:szCs w:val="44"/>
        </w:rPr>
      </w:pPr>
    </w:p>
    <w:p w14:paraId="62F943A5">
      <w:pPr>
        <w:jc w:val="center"/>
        <w:rPr>
          <w:b/>
          <w:sz w:val="44"/>
          <w:szCs w:val="44"/>
        </w:rPr>
      </w:pPr>
    </w:p>
    <w:p w14:paraId="6A2A0645">
      <w:pPr>
        <w:rPr>
          <w:b/>
          <w:sz w:val="28"/>
          <w:szCs w:val="28"/>
        </w:rPr>
      </w:pPr>
      <w:r>
        <w:rPr>
          <w:b/>
          <w:sz w:val="28"/>
          <w:szCs w:val="28"/>
        </w:rPr>
        <mc:AlternateContent>
          <mc:Choice Requires="wps">
            <w:drawing>
              <wp:anchor distT="0" distB="0" distL="114300" distR="114300" simplePos="0" relativeHeight="251668480" behindDoc="0" locked="0" layoutInCell="1" allowOverlap="1">
                <wp:simplePos x="0" y="0"/>
                <wp:positionH relativeFrom="column">
                  <wp:posOffset>1195070</wp:posOffset>
                </wp:positionH>
                <wp:positionV relativeFrom="paragraph">
                  <wp:posOffset>316230</wp:posOffset>
                </wp:positionV>
                <wp:extent cx="4057650" cy="0"/>
                <wp:effectExtent l="0" t="6350" r="0" b="6350"/>
                <wp:wrapNone/>
                <wp:docPr id="10" name="直线 69"/>
                <wp:cNvGraphicFramePr/>
                <a:graphic xmlns:a="http://schemas.openxmlformats.org/drawingml/2006/main">
                  <a:graphicData uri="http://schemas.microsoft.com/office/word/2010/wordprocessingShape">
                    <wps:wsp>
                      <wps:cNvSpPr/>
                      <wps:spPr>
                        <a:xfrm>
                          <a:off x="0" y="0"/>
                          <a:ext cx="40576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69" o:spid="_x0000_s1026" o:spt="20" style="position:absolute;left:0pt;margin-left:94.1pt;margin-top:24.9pt;height:0pt;width:319.5pt;z-index:251668480;mso-width-relative:page;mso-height-relative:page;" filled="f" stroked="t" coordsize="21600,21600" o:gfxdata="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OQeEkNUA&#10;AAAJAQAADwAAAAAAAAABACAAAAAiAAAAZHJzL2Rvd25yZXYueG1sUEsBAhQAFAAAAAgAh07iQLxL&#10;YP3pAQAA3QMAAA4AAAAAAAAAAQAgAAAAJAEAAGRycy9lMm9Eb2MueG1sUEsFBgAAAAAGAAYAWQEA&#10;AH8FAAAAAA==&#10;">
                <v:fill on="f" focussize="0,0"/>
                <v:stroke color="#000000" joinstyle="round"/>
                <v:imagedata o:title=""/>
                <o:lock v:ext="edit" aspectratio="f"/>
              </v:line>
            </w:pict>
          </mc:Fallback>
        </mc:AlternateContent>
      </w:r>
      <w:r>
        <w:rPr>
          <w:b/>
          <w:sz w:val="28"/>
          <w:szCs w:val="28"/>
        </w:rPr>
        <w:t xml:space="preserve">题名和副题名  </w:t>
      </w:r>
    </w:p>
    <w:p w14:paraId="05835933">
      <w:pPr>
        <w:rPr>
          <w:b/>
          <w:sz w:val="28"/>
          <w:szCs w:val="28"/>
        </w:rPr>
      </w:pPr>
      <w:r>
        <w:rPr>
          <w:b/>
          <w:sz w:val="28"/>
          <w:szCs w:val="28"/>
        </w:rPr>
        <mc:AlternateContent>
          <mc:Choice Requires="wps">
            <w:drawing>
              <wp:anchor distT="0" distB="0" distL="114300" distR="114300" simplePos="0" relativeHeight="251669504" behindDoc="0" locked="0" layoutInCell="1" allowOverlap="1">
                <wp:simplePos x="0" y="0"/>
                <wp:positionH relativeFrom="column">
                  <wp:posOffset>1170940</wp:posOffset>
                </wp:positionH>
                <wp:positionV relativeFrom="paragraph">
                  <wp:posOffset>325755</wp:posOffset>
                </wp:positionV>
                <wp:extent cx="4066540" cy="0"/>
                <wp:effectExtent l="0" t="6350" r="0" b="6350"/>
                <wp:wrapNone/>
                <wp:docPr id="11" name="直线 70"/>
                <wp:cNvGraphicFramePr/>
                <a:graphic xmlns:a="http://schemas.openxmlformats.org/drawingml/2006/main">
                  <a:graphicData uri="http://schemas.microsoft.com/office/word/2010/wordprocessingShape">
                    <wps:wsp>
                      <wps:cNvSpPr/>
                      <wps:spPr>
                        <a:xfrm flipV="1">
                          <a:off x="0" y="0"/>
                          <a:ext cx="40665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0" o:spid="_x0000_s1026" o:spt="20" style="position:absolute;left:0pt;flip:y;margin-left:92.2pt;margin-top:25.65pt;height:0pt;width:320.2pt;z-index:251669504;mso-width-relative:page;mso-height-relative:page;" filled="f" stroked="t" coordsize="21600,21600" o:gfxdata="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hrQ7/WAAAACQEAAA8AAAAAAAAAAQAgAAAAIgAAAGRycy9kb3ducmV2LnhtbFBLAQIUABQAAAAI&#10;AIdO4kCIX6tt7wEAAOcDAAAOAAAAAAAAAAEAIAAAACUBAABkcnMvZTJvRG9jLnhtbFBLBQYAAAAA&#10;BgAGAFkBAACGBQAAAAA=&#10;">
                <v:fill on="f" focussize="0,0"/>
                <v:stroke color="#000000" joinstyle="round"/>
                <v:imagedata o:title=""/>
                <o:lock v:ext="edit" aspectratio="f"/>
              </v:line>
            </w:pict>
          </mc:Fallback>
        </mc:AlternateContent>
      </w:r>
      <w:r>
        <w:rPr>
          <w:b/>
          <w:sz w:val="28"/>
          <w:szCs w:val="28"/>
        </w:rPr>
        <w:t xml:space="preserve">              </w:t>
      </w:r>
    </w:p>
    <w:p w14:paraId="709FB5C5">
      <w:pPr>
        <w:rPr>
          <w:b/>
          <w:sz w:val="28"/>
          <w:szCs w:val="28"/>
        </w:rPr>
      </w:pPr>
      <w:r>
        <w:rPr>
          <w:b/>
          <w:sz w:val="28"/>
          <w:szCs w:val="28"/>
        </w:rPr>
        <mc:AlternateContent>
          <mc:Choice Requires="wps">
            <w:drawing>
              <wp:anchor distT="0" distB="0" distL="114300" distR="114300" simplePos="0" relativeHeight="251666432" behindDoc="0" locked="0" layoutInCell="1" allowOverlap="1">
                <wp:simplePos x="0" y="0"/>
                <wp:positionH relativeFrom="column">
                  <wp:posOffset>1141730</wp:posOffset>
                </wp:positionH>
                <wp:positionV relativeFrom="paragraph">
                  <wp:posOffset>312420</wp:posOffset>
                </wp:positionV>
                <wp:extent cx="4095750" cy="0"/>
                <wp:effectExtent l="0" t="6350" r="0" b="6350"/>
                <wp:wrapNone/>
                <wp:docPr id="8" name="直线 71"/>
                <wp:cNvGraphicFramePr/>
                <a:graphic xmlns:a="http://schemas.openxmlformats.org/drawingml/2006/main">
                  <a:graphicData uri="http://schemas.microsoft.com/office/word/2010/wordprocessingShape">
                    <wps:wsp>
                      <wps:cNvSpPr/>
                      <wps:spPr>
                        <a:xfrm flipV="1">
                          <a:off x="0" y="0"/>
                          <a:ext cx="40957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1" o:spid="_x0000_s1026" o:spt="20" style="position:absolute;left:0pt;flip:y;margin-left:89.9pt;margin-top:24.6pt;height:0pt;width:322.5pt;z-index:251666432;mso-width-relative:page;mso-height-relative:page;" filled="f" stroked="t" coordsize="21600,21600" o:gfxdata="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5th2PNUAAAAJAQAADwAAAAAAAAABACAAAAAiAAAAZHJzL2Rvd25yZXYueG1sUEsBAhQAFAAAAAgA&#10;h07iQAONedvvAQAA5gMAAA4AAAAAAAAAAQAgAAAAJAEAAGRycy9lMm9Eb2MueG1sUEsFBgAAAAAG&#10;AAYAWQEAAIUFAAAAAA==&#10;">
                <v:fill on="f" focussize="0,0"/>
                <v:stroke color="#000000" joinstyle="round"/>
                <v:imagedata o:title=""/>
                <o:lock v:ext="edit" aspectratio="f"/>
              </v:line>
            </w:pict>
          </mc:Fallback>
        </mc:AlternateContent>
      </w:r>
      <w:r>
        <w:rPr>
          <w:b/>
          <w:sz w:val="28"/>
          <w:szCs w:val="28"/>
        </w:rPr>
        <w:t xml:space="preserve">作 者 姓 名   </w:t>
      </w:r>
    </w:p>
    <w:p w14:paraId="0A8E0818">
      <w:pPr>
        <w:rPr>
          <w:b/>
          <w:sz w:val="28"/>
          <w:szCs w:val="28"/>
        </w:rPr>
      </w:pPr>
      <w:r>
        <w:rPr>
          <w:b/>
          <w:sz w:val="28"/>
          <w:szCs w:val="28"/>
        </w:rPr>
        <mc:AlternateContent>
          <mc:Choice Requires="wps">
            <w:drawing>
              <wp:anchor distT="0" distB="0" distL="114300" distR="114300" simplePos="0" relativeHeight="25166745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9" name="直线 72"/>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2" o:spid="_x0000_s1026" o:spt="20" style="position:absolute;left:0pt;margin-left:133.5pt;margin-top:24.6pt;height:0pt;width:278.3pt;z-index:25166745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KL7YLfX&#10;AAAACQEAAA8AAAAAAAAAAQAgAAAAIgAAAGRycy9kb3ducmV2LnhtbFBLAQIUABQAAAAIAIdO4kB1&#10;43dH6AEAANwDAAAOAAAAAAAAAAEAIAAAACYBAABkcnMvZTJvRG9jLnhtbFBLBQYAAAAABgAGAFkB&#10;AACABQAAAAA=&#10;">
                <v:fill on="f" focussize="0,0"/>
                <v:stroke color="#000000" joinstyle="round"/>
                <v:imagedata o:title=""/>
                <o:lock v:ext="edit" aspectratio="f"/>
              </v:line>
            </w:pict>
          </mc:Fallback>
        </mc:AlternateContent>
      </w:r>
      <w:r>
        <w:rPr>
          <w:b/>
          <w:sz w:val="28"/>
          <w:szCs w:val="28"/>
        </w:rPr>
        <w:t xml:space="preserve">指导教师姓名及职称  </w:t>
      </w:r>
    </w:p>
    <w:p w14:paraId="4A0B3F19">
      <w:pPr>
        <w:rPr>
          <w:b/>
          <w:sz w:val="28"/>
          <w:szCs w:val="28"/>
        </w:rPr>
      </w:pPr>
      <w:r>
        <w:rPr>
          <w:b/>
          <w:sz w:val="28"/>
          <w:szCs w:val="28"/>
        </w:rPr>
        <mc:AlternateContent>
          <mc:Choice Requires="wps">
            <w:drawing>
              <wp:anchor distT="0" distB="0" distL="114300" distR="114300" simplePos="0" relativeHeight="251670528" behindDoc="0" locked="0" layoutInCell="1" allowOverlap="1">
                <wp:simplePos x="0" y="0"/>
                <wp:positionH relativeFrom="column">
                  <wp:posOffset>3455670</wp:posOffset>
                </wp:positionH>
                <wp:positionV relativeFrom="paragraph">
                  <wp:posOffset>316230</wp:posOffset>
                </wp:positionV>
                <wp:extent cx="1800225" cy="0"/>
                <wp:effectExtent l="0" t="6350" r="0" b="6350"/>
                <wp:wrapNone/>
                <wp:docPr id="12" name="直线 73"/>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3" o:spid="_x0000_s1026" o:spt="20" style="position:absolute;left:0pt;flip:y;margin-left:272.1pt;margin-top:24.9pt;height:0pt;width:141.75pt;z-index:251670528;mso-width-relative:page;mso-height-relative:page;" filled="f" stroked="t" coordsize="21600,21600" o:gfxdata="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arOrtYAAAAJAQAADwAAAAAAAAABACAAAAAiAAAAZHJzL2Rvd25yZXYueG1sUEsBAhQAFAAAAAgA&#10;h07iQBb2+hLuAQAA5wMAAA4AAAAAAAAAAQAgAAAAJQEAAGRycy9lMm9Eb2MueG1sUEsFBgAAAAAG&#10;AAYAWQEAAIUFA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4384"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6" name="直线 74"/>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4" o:spid="_x0000_s1026" o:spt="20" style="position:absolute;left:0pt;flip:y;margin-left:93.7pt;margin-top:24.45pt;height:0pt;width:100.6pt;z-index:251664384;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OruHGPABAADmAwAADgAAAAAAAAABACAAAAAlAQAAZHJzL2Uyb0RvYy54bWxQSwUGAAAA&#10;AAYABgBZAQAAhwUAAAAA&#10;">
                <v:fill on="f" focussize="0,0"/>
                <v:stroke color="#000000" joinstyle="round"/>
                <v:imagedata o:title=""/>
                <o:lock v:ext="edit" aspectratio="f"/>
              </v:line>
            </w:pict>
          </mc:Fallback>
        </mc:AlternateContent>
      </w:r>
      <w:r>
        <w:rPr>
          <w:b/>
          <w:sz w:val="28"/>
          <w:szCs w:val="28"/>
        </w:rPr>
        <w:t xml:space="preserve">申请学位级别  </w:t>
      </w:r>
      <w:r>
        <w:rPr>
          <w:rFonts w:hint="eastAsia"/>
          <w:b/>
          <w:sz w:val="28"/>
          <w:szCs w:val="28"/>
        </w:rPr>
        <w:t>专业学位</w:t>
      </w:r>
      <w:r>
        <w:rPr>
          <w:b/>
          <w:sz w:val="28"/>
          <w:szCs w:val="28"/>
        </w:rPr>
        <w:t xml:space="preserve">硕士  </w:t>
      </w:r>
      <w:r>
        <w:rPr>
          <w:rFonts w:hint="eastAsia"/>
          <w:b/>
          <w:sz w:val="28"/>
          <w:szCs w:val="28"/>
        </w:rPr>
        <w:t>类别（领域）</w:t>
      </w:r>
    </w:p>
    <w:p w14:paraId="31132AE4">
      <w:pPr>
        <w:rPr>
          <w:b/>
          <w:sz w:val="28"/>
          <w:szCs w:val="28"/>
        </w:rPr>
      </w:pPr>
      <w:r>
        <w:rPr>
          <w:b/>
          <w:sz w:val="28"/>
          <w:szCs w:val="28"/>
        </w:rPr>
        <mc:AlternateContent>
          <mc:Choice Requires="wps">
            <w:drawing>
              <wp:anchor distT="0" distB="0" distL="114300" distR="114300" simplePos="0" relativeHeight="251671552"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13" name="直线 75"/>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5" o:spid="_x0000_s1026" o:spt="20" style="position:absolute;left:0pt;flip:y;margin-left:287.9pt;margin-top:25.05pt;height:0pt;width:123.9pt;z-index:251671552;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HpRK21gAAAAkBAAAPAAAAAAAAAAEAIAAAACIAAABkcnMvZG93bnJldi54bWxQSwECFAAUAAAA&#10;CACHTuJASv/nt/ABAADnAwAADgAAAAAAAAABACAAAAAlAQAAZHJzL2Uyb0RvYy54bWxQSwUGAAAA&#10;AAYABgBZAQAAhwUAAAAA&#10;">
                <v:fill on="f" focussize="0,0"/>
                <v:stroke color="#000000" joinstyle="round"/>
                <v:imagedata o:title=""/>
                <o:lock v:ext="edit" aspectratio="f"/>
              </v:line>
            </w:pict>
          </mc:Fallback>
        </mc:AlternateContent>
      </w:r>
      <w:r>
        <w:rPr>
          <w:b/>
          <w:sz w:val="28"/>
          <w:szCs w:val="28"/>
        </w:rPr>
        <mc:AlternateContent>
          <mc:Choice Requires="wps">
            <w:drawing>
              <wp:anchor distT="0" distB="0" distL="114300" distR="114300" simplePos="0" relativeHeight="251663360"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5" name="直线 76"/>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6" o:spid="_x0000_s1026" o:spt="20" style="position:absolute;left:0pt;flip:y;margin-left:92.9pt;margin-top:24.3pt;height:0pt;width:99.7pt;z-index:251663360;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oefBHWAAAACQEAAA8AAAAAAAAAAQAgAAAAIgAAAGRycy9kb3ducmV2LnhtbFBLAQIUABQAAAAI&#10;AIdO4kCQmh+H7wEAAOYDAAAOAAAAAAAAAAEAIAAAACUBAABkcnMvZTJvRG9jLnhtbFBLBQYAAAAA&#10;BgAGAFkBAACGBQAAAAA=&#10;">
                <v:fill on="f" focussize="0,0"/>
                <v:stroke color="#000000" joinstyle="round"/>
                <v:imagedata o:title=""/>
                <o:lock v:ext="edit" aspectratio="f"/>
              </v:line>
            </w:pict>
          </mc:Fallback>
        </mc:AlternateContent>
      </w:r>
      <w:r>
        <w:rPr>
          <w:b/>
          <w:sz w:val="28"/>
          <w:szCs w:val="28"/>
        </w:rPr>
        <w:t>论文提交日期                论文答辩日期</w:t>
      </w:r>
    </w:p>
    <w:p w14:paraId="0A70DD6D">
      <w:pPr>
        <w:rPr>
          <w:b/>
          <w:sz w:val="28"/>
          <w:szCs w:val="28"/>
        </w:rPr>
      </w:pPr>
      <w:r>
        <w:rPr>
          <w:b/>
          <w:sz w:val="28"/>
          <w:szCs w:val="28"/>
        </w:rPr>
        <mc:AlternateContent>
          <mc:Choice Requires="wps">
            <w:drawing>
              <wp:anchor distT="0" distB="0" distL="114300" distR="114300" simplePos="0" relativeHeight="251662336"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4" name="直线 77"/>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7" o:spid="_x0000_s1026" o:spt="20" style="position:absolute;left:0pt;margin-left:134.1pt;margin-top:24.9pt;height:0pt;width:279.1pt;z-index:251662336;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fTWJBdYA&#10;AAAJAQAADwAAAAAAAAABACAAAAAiAAAAZHJzL2Rvd25yZXYueG1sUEsBAhQAFAAAAAgAh07iQPGj&#10;AbboAQAA3AMAAA4AAAAAAAAAAQAgAAAAJQEAAGRycy9lMm9Eb2MueG1sUEsFBgAAAAAGAAYAWQEA&#10;AH8FAAAAAA==&#10;">
                <v:fill on="f" focussize="0,0"/>
                <v:stroke color="#000000" joinstyle="round"/>
                <v:imagedata o:title=""/>
                <o:lock v:ext="edit" aspectratio="f"/>
              </v:line>
            </w:pict>
          </mc:Fallback>
        </mc:AlternateContent>
      </w:r>
      <w:r>
        <w:rPr>
          <w:b/>
          <w:sz w:val="28"/>
          <w:szCs w:val="28"/>
        </w:rPr>
        <w:t>学位授予单位和日期  成 都 理 工 大 学（         年     月）</w:t>
      </w:r>
      <w:r/>
    </w:p>
    <w:p w14:paraId="19BE048A">
      <w:pPr>
        <w:ind w:firstLine="3924" w:firstLineChars="1400"/>
        <w:rPr>
          <w:b/>
          <w:sz w:val="28"/>
          <w:szCs w:val="28"/>
        </w:rPr>
      </w:pPr>
    </w:p>
    <w:p w14:paraId="05F42E12">
      <w:pPr>
        <w:ind w:firstLine="3924" w:firstLineChars="1400"/>
        <w:rPr>
          <w:b/>
          <w:sz w:val="28"/>
          <w:szCs w:val="28"/>
        </w:rPr>
      </w:pPr>
      <w:r>
        <w:rPr>
          <w:b/>
          <w:sz w:val="28"/>
          <w:szCs w:val="28"/>
        </w:rPr>
        <mc:AlternateContent>
          <mc:Choice Requires="wps">
            <w:drawing>
              <wp:anchor distT="0" distB="0" distL="114300" distR="114300" simplePos="0" relativeHeight="251665408"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7" name="直线 78"/>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78" o:spid="_x0000_s1026" o:spt="20" style="position:absolute;left:0pt;margin-left:299pt;margin-top:24.9pt;height:0pt;width:114.1pt;z-index:251665408;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bWKVMukBAADcAwAADgAAAAAAAAABACAAAAAmAQAAZHJzL2Uyb0RvYy54bWxQSwUGAAAAAAYABgBZ&#10;AQAAgQUAAAAA&#10;">
                <v:fill on="f" focussize="0,0"/>
                <v:stroke color="#000000" joinstyle="round"/>
                <v:imagedata o:title=""/>
                <o:lock v:ext="edit" aspectratio="f"/>
              </v:line>
            </w:pict>
          </mc:Fallback>
        </mc:AlternateContent>
      </w:r>
      <w:r>
        <w:rPr>
          <w:b/>
          <w:sz w:val="28"/>
          <w:szCs w:val="28"/>
        </w:rPr>
        <w:t xml:space="preserve">答辩委员会主席  </w:t>
      </w:r>
      <w:r/>
    </w:p>
    <w:p w14:paraId="6CF136BB">
      <w:pPr>
        <w:ind w:firstLine="3924" w:firstLineChars="1400"/>
        <w:rPr>
          <w:b/>
          <w:sz w:val="28"/>
          <w:szCs w:val="28"/>
        </w:rPr>
      </w:pPr>
    </w:p>
    <w:p w14:paraId="057BA5EF">
      <w:pPr>
        <w:jc w:val="center"/>
        <w:rPr>
          <w:b/>
          <w:sz w:val="28"/>
          <w:szCs w:val="28"/>
        </w:rPr>
      </w:pPr>
      <w:r>
        <w:rPr>
          <w:b/>
          <w:sz w:val="28"/>
          <w:szCs w:val="28"/>
        </w:rPr>
        <w:t>××××年××月</w:t>
      </w:r>
      <w:r/>
    </w:p>
    <w:p w14:paraId="1D42BAA6">
      <w:pPr>
        <w:rPr>
          <w:sz w:val="28"/>
          <w:szCs w:val="28"/>
          <w:vertAlign w:val="subscript"/>
        </w:rPr>
      </w:pPr>
      <w:r>
        <w:br w:type="page"/>
      </w:r>
      <w:r>
        <w:rPr>
          <w:sz w:val="28"/>
          <w:szCs w:val="28"/>
        </w:rPr>
        <w:t>分类号</w:t>
      </w:r>
      <w:r>
        <w:rPr>
          <w:sz w:val="28"/>
          <w:szCs w:val="28"/>
          <w:u w:val="single"/>
        </w:rPr>
        <w:t xml:space="preserve">                 </w:t>
      </w:r>
      <w:r>
        <w:rPr>
          <w:sz w:val="28"/>
          <w:szCs w:val="28"/>
        </w:rPr>
        <w:t xml:space="preserve">          学校代码：10616</w:t>
      </w:r>
    </w:p>
    <w:p w14:paraId="670726F7">
      <w:pPr>
        <w:rPr>
          <w:sz w:val="28"/>
          <w:szCs w:val="28"/>
          <w:u w:val="single"/>
        </w:rPr>
      </w:pPr>
      <w:r>
        <w:rPr>
          <w:sz w:val="28"/>
          <w:szCs w:val="28"/>
        </w:rPr>
        <w:t xml:space="preserve">U D C </w:t>
      </w:r>
      <w:r>
        <w:rPr>
          <w:sz w:val="28"/>
          <w:szCs w:val="28"/>
          <w:u w:val="single"/>
        </w:rPr>
        <w:t xml:space="preserve">                 </w:t>
      </w:r>
      <w:r>
        <w:rPr>
          <w:sz w:val="28"/>
          <w:szCs w:val="28"/>
        </w:rPr>
        <w:t xml:space="preserve">          密级</w:t>
      </w:r>
      <w:r>
        <w:rPr>
          <w:sz w:val="28"/>
          <w:szCs w:val="28"/>
          <w:u w:val="single"/>
        </w:rPr>
        <w:t xml:space="preserve">      </w:t>
      </w:r>
      <w:r>
        <w:rPr>
          <w:sz w:val="28"/>
          <w:szCs w:val="28"/>
        </w:rPr>
        <w:t xml:space="preserve">  学号：</w:t>
      </w:r>
      <w:r>
        <w:rPr>
          <w:sz w:val="28"/>
          <w:szCs w:val="28"/>
          <w:u w:val="single"/>
        </w:rPr>
        <w:t xml:space="preserve"> </w:t>
      </w:r>
      <w:r>
        <w:rPr>
          <w:sz w:val="28"/>
          <w:szCs w:val="28"/>
          <w:u w:val="single"/>
        </w:rPr>
        <w:t xml:space="preserve"> </w:t>
      </w:r>
      <w:r/>
    </w:p>
    <w:p w14:paraId="3B7DF696">
      <w:pPr>
        <w:jc w:val="center"/>
        <w:rPr>
          <w:b/>
          <w:sz w:val="84"/>
          <w:szCs w:val="84"/>
        </w:rPr>
      </w:pPr>
    </w:p>
    <w:p w14:paraId="2E3129E1">
      <w:pPr>
        <w:jc w:val="center"/>
        <w:rPr>
          <w:b/>
          <w:sz w:val="44"/>
          <w:szCs w:val="44"/>
        </w:rPr>
      </w:pPr>
      <w:r>
        <w:rPr>
          <w:rFonts w:hint="eastAsia"/>
          <w:b/>
          <w:sz w:val="44"/>
          <w:szCs w:val="44"/>
        </w:rPr>
        <w:t>专业学位硕</w:t>
      </w:r>
      <w:r>
        <w:rPr>
          <w:b/>
          <w:sz w:val="44"/>
          <w:szCs w:val="44"/>
        </w:rPr>
        <w:t>士学位论文</w:t>
      </w:r>
    </w:p>
    <w:p w14:paraId="6102E76A">
      <w:pPr>
        <w:jc w:val="center"/>
        <w:rPr>
          <w:b/>
          <w:sz w:val="44"/>
          <w:szCs w:val="44"/>
        </w:rPr>
      </w:pPr>
    </w:p>
    <w:p w14:paraId="10758DD5">
      <w:pPr>
        <w:jc w:val="center"/>
        <w:rPr>
          <w:sz w:val="32"/>
          <w:szCs w:val="32"/>
        </w:rPr>
      </w:pPr>
      <w:r>
        <w:rPr>
          <w:rFonts w:eastAsia="黑体"/>
          <w:b/>
          <w:sz w:val="44"/>
          <w:szCs w:val="44"/>
        </w:rPr>
        <w:t>论文题目</w:t>
      </w:r>
      <w:r/>
    </w:p>
    <w:p w14:paraId="70CCF12D">
      <w:pPr>
        <w:jc w:val="center"/>
        <w:rPr>
          <w:sz w:val="32"/>
          <w:szCs w:val="32"/>
        </w:rPr>
      </w:pPr>
      <w:r>
        <w:rPr>
          <w:sz w:val="32"/>
          <w:szCs w:val="32"/>
        </w:rPr>
        <w:t>作者姓名</w:t>
      </w:r>
      <w:r/>
    </w:p>
    <w:p w14:paraId="66CFC7B3">
      <w:pPr>
        <w:jc w:val="center"/>
        <w:rPr>
          <w:sz w:val="32"/>
          <w:szCs w:val="32"/>
        </w:rPr>
      </w:pPr>
    </w:p>
    <w:p w14:paraId="54A09BD2">
      <w:pPr>
        <w:jc w:val="center"/>
        <w:rPr>
          <w:sz w:val="32"/>
          <w:szCs w:val="32"/>
        </w:rPr>
      </w:pPr>
    </w:p>
    <w:p w14:paraId="793203A7">
      <w:pPr>
        <w:jc w:val="center"/>
        <w:rPr>
          <w:sz w:val="32"/>
          <w:szCs w:val="32"/>
        </w:rPr>
      </w:pPr>
    </w:p>
    <w:p w14:paraId="3AEAB987">
      <w:pPr>
        <w:rPr>
          <w:sz w:val="28"/>
          <w:szCs w:val="28"/>
        </w:rPr>
      </w:pPr>
      <w:r>
        <w:rPr>
          <w:sz w:val="28"/>
          <w:szCs w:val="28"/>
        </w:rPr>
        <mc:AlternateContent>
          <mc:Choice Requires="wps">
            <w:drawing>
              <wp:anchor distT="0" distB="0" distL="114300" distR="114300" simplePos="0" relativeHeight="251677696" behindDoc="0" locked="0" layoutInCell="1" allowOverlap="1">
                <wp:simplePos x="0" y="0"/>
                <wp:positionH relativeFrom="column">
                  <wp:posOffset>1695450</wp:posOffset>
                </wp:positionH>
                <wp:positionV relativeFrom="paragraph">
                  <wp:posOffset>312420</wp:posOffset>
                </wp:positionV>
                <wp:extent cx="3534410" cy="0"/>
                <wp:effectExtent l="0" t="6350" r="0" b="6350"/>
                <wp:wrapNone/>
                <wp:docPr id="19" name="直线 83"/>
                <wp:cNvGraphicFramePr/>
                <a:graphic xmlns:a="http://schemas.openxmlformats.org/drawingml/2006/main">
                  <a:graphicData uri="http://schemas.microsoft.com/office/word/2010/wordprocessingShape">
                    <wps:wsp>
                      <wps:cNvSpPr/>
                      <wps:spPr>
                        <a:xfrm>
                          <a:off x="0" y="0"/>
                          <a:ext cx="353441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3" o:spid="_x0000_s1026" o:spt="20" style="position:absolute;left:0pt;margin-left:133.5pt;margin-top:24.6pt;height:0pt;width:278.3pt;z-index:251677696;mso-width-relative:page;mso-height-relative:page;" filled="f" stroked="t" coordsize="21600,21600" o:gfxdata="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i+2C3&#10;1wAAAAkBAAAPAAAAAAAAAAEAIAAAACIAAABkcnMvZG93bnJldi54bWxQSwECFAAUAAAACACHTuJA&#10;w/58+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指导教师姓名及职称  </w:t>
      </w:r>
    </w:p>
    <w:p w14:paraId="5682FFE1">
      <w:pPr>
        <w:rPr>
          <w:sz w:val="28"/>
          <w:szCs w:val="28"/>
        </w:rPr>
      </w:pPr>
      <w:r>
        <w:rPr>
          <w:sz w:val="28"/>
          <w:szCs w:val="28"/>
        </w:rPr>
        <mc:AlternateContent>
          <mc:Choice Requires="wps">
            <w:drawing>
              <wp:anchor distT="0" distB="0" distL="114300" distR="114300" simplePos="0" relativeHeight="251678720" behindDoc="0" locked="0" layoutInCell="1" allowOverlap="1">
                <wp:simplePos x="0" y="0"/>
                <wp:positionH relativeFrom="column">
                  <wp:posOffset>3465195</wp:posOffset>
                </wp:positionH>
                <wp:positionV relativeFrom="paragraph">
                  <wp:posOffset>316230</wp:posOffset>
                </wp:positionV>
                <wp:extent cx="1800225" cy="0"/>
                <wp:effectExtent l="0" t="6350" r="0" b="6350"/>
                <wp:wrapNone/>
                <wp:docPr id="20" name="直线 84"/>
                <wp:cNvGraphicFramePr/>
                <a:graphic xmlns:a="http://schemas.openxmlformats.org/drawingml/2006/main">
                  <a:graphicData uri="http://schemas.microsoft.com/office/word/2010/wordprocessingShape">
                    <wps:wsp>
                      <wps:cNvSpPr/>
                      <wps:spPr>
                        <a:xfrm flipV="1">
                          <a:off x="0" y="0"/>
                          <a:ext cx="180022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4" o:spid="_x0000_s1026" o:spt="20" style="position:absolute;left:0pt;flip:y;margin-left:272.85pt;margin-top:24.9pt;height:0pt;width:141.75pt;z-index:251678720;mso-width-relative:page;mso-height-relative:page;" filled="f" stroked="t" coordsize="21600,21600" o:gfxdata="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BXNDojWAAAACQEAAA8AAAAAAAAAAQAgAAAAIgAAAGRycy9kb3ducmV2LnhtbFBLAQIUABQAAAAI&#10;AIdO4kAOR/Pz7wEAAOcDAAAOAAAAAAAAAAEAIAAAACUBAABkcnMvZTJvRG9jLnhtbFBLBQYAAAAA&#10;BgAGAFkBAACGBQ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5648" behindDoc="0" locked="0" layoutInCell="1" allowOverlap="1">
                <wp:simplePos x="0" y="0"/>
                <wp:positionH relativeFrom="column">
                  <wp:posOffset>1189990</wp:posOffset>
                </wp:positionH>
                <wp:positionV relativeFrom="paragraph">
                  <wp:posOffset>310515</wp:posOffset>
                </wp:positionV>
                <wp:extent cx="1277620" cy="0"/>
                <wp:effectExtent l="0" t="6350" r="0" b="6350"/>
                <wp:wrapNone/>
                <wp:docPr id="17" name="直线 85"/>
                <wp:cNvGraphicFramePr/>
                <a:graphic xmlns:a="http://schemas.openxmlformats.org/drawingml/2006/main">
                  <a:graphicData uri="http://schemas.microsoft.com/office/word/2010/wordprocessingShape">
                    <wps:wsp>
                      <wps:cNvSpPr/>
                      <wps:spPr>
                        <a:xfrm flipV="1">
                          <a:off x="0" y="0"/>
                          <a:ext cx="127762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5" o:spid="_x0000_s1026" o:spt="20" style="position:absolute;left:0pt;flip:y;margin-left:93.7pt;margin-top:24.45pt;height:0pt;width:100.6pt;z-index:251675648;mso-width-relative:page;mso-height-relative:page;" filled="f" stroked="t" coordsize="21600,21600" o:gfxdata="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X4rKr1gAAAAkBAAAPAAAAAAAAAAEAIAAAACIAAABkcnMvZG93bnJldi54bWxQSwECFAAUAAAA&#10;CACHTuJAKgMe0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申请学位级别   </w:t>
      </w:r>
      <w:r>
        <w:rPr>
          <w:rFonts w:hint="eastAsia"/>
          <w:sz w:val="28"/>
          <w:szCs w:val="28"/>
        </w:rPr>
        <w:t>专业学位硕士</w:t>
      </w:r>
      <w:r>
        <w:rPr>
          <w:sz w:val="28"/>
          <w:szCs w:val="28"/>
        </w:rPr>
        <w:t xml:space="preserve"> </w:t>
      </w:r>
      <w:r>
        <w:rPr>
          <w:rFonts w:hint="eastAsia"/>
          <w:sz w:val="28"/>
          <w:szCs w:val="28"/>
        </w:rPr>
        <w:t>类别（领域）</w:t>
      </w:r>
      <w:r>
        <w:rPr>
          <w:sz w:val="28"/>
          <w:szCs w:val="28"/>
        </w:rPr>
        <w:t xml:space="preserve"> </w:t>
      </w:r>
    </w:p>
    <w:p w14:paraId="6E4283CC">
      <w:pPr>
        <w:rPr>
          <w:sz w:val="28"/>
          <w:szCs w:val="28"/>
        </w:rPr>
      </w:pPr>
      <w:r>
        <w:rPr>
          <w:sz w:val="28"/>
          <w:szCs w:val="28"/>
        </w:rPr>
        <mc:AlternateContent>
          <mc:Choice Requires="wps">
            <w:drawing>
              <wp:anchor distT="0" distB="0" distL="114300" distR="114300" simplePos="0" relativeHeight="251679744" behindDoc="0" locked="0" layoutInCell="1" allowOverlap="1">
                <wp:simplePos x="0" y="0"/>
                <wp:positionH relativeFrom="column">
                  <wp:posOffset>3656330</wp:posOffset>
                </wp:positionH>
                <wp:positionV relativeFrom="paragraph">
                  <wp:posOffset>318135</wp:posOffset>
                </wp:positionV>
                <wp:extent cx="1573530" cy="0"/>
                <wp:effectExtent l="0" t="6350" r="0" b="0"/>
                <wp:wrapNone/>
                <wp:docPr id="21" name="直线 86"/>
                <wp:cNvGraphicFramePr/>
                <a:graphic xmlns:a="http://schemas.openxmlformats.org/drawingml/2006/main">
                  <a:graphicData uri="http://schemas.microsoft.com/office/word/2010/wordprocessingShape">
                    <wps:wsp>
                      <wps:cNvSpPr/>
                      <wps:spPr>
                        <a:xfrm flipV="1">
                          <a:off x="0" y="0"/>
                          <a:ext cx="157353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6" o:spid="_x0000_s1026" o:spt="20" style="position:absolute;left:0pt;flip:y;margin-left:287.9pt;margin-top:25.05pt;height:0pt;width:123.9pt;z-index:251679744;mso-width-relative:page;mso-height-relative:page;" filled="f" stroked="t" coordsize="21600,21600" o:gfxdata="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x6USttYAAAAJAQAADwAAAAAAAAABACAAAAAiAAAAZHJzL2Rvd25yZXYueG1sUEsBAhQAFAAA&#10;AAgAh07iQE0Y9czxAQAA5wMAAA4AAAAAAAAAAQAgAAAAJQEAAGRycy9lMm9Eb2MueG1sUEsFBgAA&#10;AAAGAAYAWQEAAIgFAAAAAA==&#10;">
                <v:fill on="f" focussize="0,0"/>
                <v:stroke color="#000000" joinstyle="round"/>
                <v:imagedata o:title=""/>
                <o:lock v:ext="edit" aspectratio="f"/>
              </v:line>
            </w:pict>
          </mc:Fallback>
        </mc:AlternateContent>
      </w:r>
      <w:r>
        <w:rPr>
          <w:sz w:val="28"/>
          <w:szCs w:val="28"/>
        </w:rPr>
        <mc:AlternateContent>
          <mc:Choice Requires="wps">
            <w:drawing>
              <wp:anchor distT="0" distB="0" distL="114300" distR="114300" simplePos="0" relativeHeight="251674624" behindDoc="0" locked="0" layoutInCell="1" allowOverlap="1">
                <wp:simplePos x="0" y="0"/>
                <wp:positionH relativeFrom="column">
                  <wp:posOffset>1179830</wp:posOffset>
                </wp:positionH>
                <wp:positionV relativeFrom="paragraph">
                  <wp:posOffset>308610</wp:posOffset>
                </wp:positionV>
                <wp:extent cx="1266190" cy="0"/>
                <wp:effectExtent l="0" t="6350" r="0" b="6350"/>
                <wp:wrapNone/>
                <wp:docPr id="16" name="直线 87"/>
                <wp:cNvGraphicFramePr/>
                <a:graphic xmlns:a="http://schemas.openxmlformats.org/drawingml/2006/main">
                  <a:graphicData uri="http://schemas.microsoft.com/office/word/2010/wordprocessingShape">
                    <wps:wsp>
                      <wps:cNvSpPr/>
                      <wps:spPr>
                        <a:xfrm flipV="1">
                          <a:off x="0" y="0"/>
                          <a:ext cx="126619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7" o:spid="_x0000_s1026" o:spt="20" style="position:absolute;left:0pt;flip:y;margin-left:92.9pt;margin-top:24.3pt;height:0pt;width:99.7pt;z-index:251674624;mso-width-relative:page;mso-height-relative:page;" filled="f" stroked="t" coordsize="21600,21600" o:gfxdata="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aHnwR1gAAAAkBAAAPAAAAAAAAAAEAIAAAACIAAABkcnMvZG93bnJldi54bWxQSwECFAAUAAAA&#10;CACHTuJARr87PvABAADnAwAADgAAAAAAAAABACAAAAAlAQAAZHJzL2Uyb0RvYy54bWxQSwUGAAAA&#10;AAYABgBZAQAAhwUAAAAA&#10;">
                <v:fill on="f" focussize="0,0"/>
                <v:stroke color="#000000" joinstyle="round"/>
                <v:imagedata o:title=""/>
                <o:lock v:ext="edit" aspectratio="f"/>
              </v:line>
            </w:pict>
          </mc:Fallback>
        </mc:AlternateContent>
      </w:r>
      <w:r>
        <w:rPr>
          <w:sz w:val="28"/>
          <w:szCs w:val="28"/>
        </w:rPr>
        <w:t xml:space="preserve">论文提交日期                论文答辩日期         </w:t>
      </w:r>
    </w:p>
    <w:p w14:paraId="25B36CC7">
      <w:pPr>
        <w:rPr>
          <w:sz w:val="28"/>
          <w:szCs w:val="28"/>
        </w:rPr>
      </w:pPr>
      <w:r>
        <w:rPr>
          <w:sz w:val="28"/>
          <w:szCs w:val="28"/>
        </w:rPr>
        <mc:AlternateContent>
          <mc:Choice Requires="wps">
            <w:drawing>
              <wp:anchor distT="0" distB="0" distL="114300" distR="114300" simplePos="0" relativeHeight="251673600" behindDoc="0" locked="0" layoutInCell="1" allowOverlap="1">
                <wp:simplePos x="0" y="0"/>
                <wp:positionH relativeFrom="column">
                  <wp:posOffset>1703070</wp:posOffset>
                </wp:positionH>
                <wp:positionV relativeFrom="paragraph">
                  <wp:posOffset>316230</wp:posOffset>
                </wp:positionV>
                <wp:extent cx="3544570" cy="0"/>
                <wp:effectExtent l="0" t="6350" r="0" b="6350"/>
                <wp:wrapNone/>
                <wp:docPr id="15" name="直线 88"/>
                <wp:cNvGraphicFramePr/>
                <a:graphic xmlns:a="http://schemas.openxmlformats.org/drawingml/2006/main">
                  <a:graphicData uri="http://schemas.microsoft.com/office/word/2010/wordprocessingShape">
                    <wps:wsp>
                      <wps:cNvSpPr/>
                      <wps:spPr>
                        <a:xfrm>
                          <a:off x="0" y="0"/>
                          <a:ext cx="35445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8" o:spid="_x0000_s1026" o:spt="20" style="position:absolute;left:0pt;margin-left:134.1pt;margin-top:24.9pt;height:0pt;width:279.1pt;z-index:251673600;mso-width-relative:page;mso-height-relative:page;" filled="f" stroked="t" coordsize="21600,21600" o:gfxdata="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01iQXW&#10;AAAACQEAAA8AAAAAAAAAAQAgAAAAIgAAAGRycy9kb3ducmV2LnhtbFBLAQIUABQAAAAIAIdO4kC0&#10;mUxh6QEAAN0DAAAOAAAAAAAAAAEAIAAAACUBAABkcnMvZTJvRG9jLnhtbFBLBQYAAAAABgAGAFkB&#10;AACABQAAAAA=&#10;">
                <v:fill on="f" focussize="0,0"/>
                <v:stroke color="#000000" joinstyle="round"/>
                <v:imagedata o:title=""/>
                <o:lock v:ext="edit" aspectratio="f"/>
              </v:line>
            </w:pict>
          </mc:Fallback>
        </mc:AlternateContent>
      </w:r>
      <w:r>
        <w:rPr>
          <w:sz w:val="28"/>
          <w:szCs w:val="28"/>
        </w:rPr>
        <w:t>学位授予单位和日期  成 都 理 工 大 学（         年     月）</w:t>
      </w:r>
      <w:r/>
    </w:p>
    <w:p w14:paraId="017E557D">
      <w:pPr>
        <w:ind w:firstLine="3920" w:firstLineChars="1400"/>
        <w:rPr>
          <w:sz w:val="28"/>
          <w:szCs w:val="28"/>
        </w:rPr>
      </w:pPr>
    </w:p>
    <w:p w14:paraId="42850AA3">
      <w:pPr>
        <w:ind w:firstLine="3920" w:firstLineChars="1400"/>
        <w:rPr>
          <w:sz w:val="28"/>
          <w:szCs w:val="28"/>
        </w:rPr>
      </w:pPr>
      <w:r>
        <w:rPr>
          <w:sz w:val="28"/>
          <w:szCs w:val="28"/>
        </w:rPr>
        <mc:AlternateContent>
          <mc:Choice Requires="wps">
            <w:drawing>
              <wp:anchor distT="0" distB="0" distL="114300" distR="114300" simplePos="0" relativeHeight="251676672" behindDoc="0" locked="0" layoutInCell="1" allowOverlap="1">
                <wp:simplePos x="0" y="0"/>
                <wp:positionH relativeFrom="column">
                  <wp:posOffset>3797300</wp:posOffset>
                </wp:positionH>
                <wp:positionV relativeFrom="paragraph">
                  <wp:posOffset>316230</wp:posOffset>
                </wp:positionV>
                <wp:extent cx="1449070" cy="0"/>
                <wp:effectExtent l="0" t="6350" r="0" b="6350"/>
                <wp:wrapNone/>
                <wp:docPr id="18" name="直线 89"/>
                <wp:cNvGraphicFramePr/>
                <a:graphic xmlns:a="http://schemas.openxmlformats.org/drawingml/2006/main">
                  <a:graphicData uri="http://schemas.microsoft.com/office/word/2010/wordprocessingShape">
                    <wps:wsp>
                      <wps:cNvSpPr/>
                      <wps:spPr>
                        <a:xfrm>
                          <a:off x="0" y="0"/>
                          <a:ext cx="144907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线 89" o:spid="_x0000_s1026" o:spt="20" style="position:absolute;left:0pt;margin-left:299pt;margin-top:24.9pt;height:0pt;width:114.1pt;z-index:251676672;mso-width-relative:page;mso-height-relative:page;" filled="f" stroked="t" coordsize="21600,21600" o:gfxdata="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mOj3E&#10;1wAAAAkBAAAPAAAAAAAAAAEAIAAAACIAAABkcnMvZG93bnJldi54bWxQSwECFAAUAAAACACHTuJA&#10;cGMnTekBAADdAwAADgAAAAAAAAABACAAAAAmAQAAZHJzL2Uyb0RvYy54bWxQSwUGAAAAAAYABgBZ&#10;AQAAgQUAAAAA&#10;">
                <v:fill on="f" focussize="0,0"/>
                <v:stroke color="#000000" joinstyle="round"/>
                <v:imagedata o:title=""/>
                <o:lock v:ext="edit" aspectratio="f"/>
              </v:line>
            </w:pict>
          </mc:Fallback>
        </mc:AlternateContent>
      </w:r>
      <w:r>
        <w:rPr>
          <w:sz w:val="28"/>
          <w:szCs w:val="28"/>
        </w:rPr>
        <w:t xml:space="preserve">答辩委员会主席  </w:t>
      </w:r>
      <w:r/>
    </w:p>
    <w:p w14:paraId="2C5F810B">
      <w:pPr>
        <w:ind w:firstLine="3924" w:firstLineChars="1400"/>
        <w:rPr>
          <w:b/>
          <w:sz w:val="28"/>
          <w:szCs w:val="28"/>
        </w:rPr>
      </w:pPr>
    </w:p>
    <w:p w14:paraId="4E2352F5">
      <w:pPr>
        <w:jc w:val="center"/>
        <w:rPr>
          <w:sz w:val="28"/>
          <w:szCs w:val="28"/>
        </w:rPr>
      </w:pPr>
      <w:r>
        <w:rPr>
          <w:sz w:val="28"/>
          <w:szCs w:val="28"/>
        </w:rPr>
        <w:t>××××年××月</w:t>
      </w:r>
      <w:r/>
    </w:p>
    <w:p w14:paraId="370AE568">
      <w:bookmarkStart w:id="77" w:name="_GoBack"/>
      <w:bookmarkEnd w:id="77"/>
    </w:p>
    <w:p w14:paraId="1407323B">
      <w:pPr>
        <w:sectPr>
          <w:headerReference r:id="rId7" w:type="first"/>
          <w:headerReference r:id="rId6" w:type="default"/>
          <w:headerReference w:type="even" r:id="rId43"/>
          <w:pgSz w:w="11906" w:h="16838"/>
          <w:pgMar w:top="1361" w:right="1797" w:bottom="1361" w:left="1797" w:header="851" w:footer="992" w:gutter="0"/>
          <w:cols w:space="720" w:num="1"/>
          <w:titlePg/>
          <w:docGrid w:type="lines" w:linePitch="312" w:charSpace="0"/>
        </w:sectPr>
      </w:pPr>
    </w:p>
    <w:p w14:paraId="7977469E">
      <w:pPr>
        <w:spacing w:before="312" w:beforeLines="100" w:after="312" w:afterLines="100"/>
        <w:jc w:val="center"/>
        <w:rPr>
          <w:rFonts w:eastAsia="黑体"/>
          <w:sz w:val="36"/>
        </w:rPr>
      </w:pPr>
      <w:bookmarkStart w:id="0" w:name="_Toc193097092"/>
      <w:bookmarkStart w:id="1" w:name="_Toc16668"/>
      <w:r>
        <w:rPr>
          <w:rFonts w:eastAsia="黑体"/>
          <w:sz w:val="36"/>
        </w:rPr>
        <w:t>独创性声明</w:t>
      </w:r>
      <w:bookmarkEnd w:id="0"/>
    </w:p>
    <w:p w14:paraId="283D954A">
      <w:pPr>
        <w:autoSpaceDE w:val="0"/>
        <w:autoSpaceDN w:val="0"/>
        <w:adjustRightInd w:val="0"/>
        <w:spacing w:line="336" w:lineRule="auto"/>
        <w:ind w:firstLine="480" w:firstLineChars="200"/>
        <w:rPr>
          <w:sz w:val="24"/>
        </w:rPr>
      </w:pPr>
      <w:r>
        <w:rPr>
          <w:sz w:val="24"/>
        </w:rPr>
        <w:t xml:space="preserve">         </w:t>
      </w:r>
    </w:p>
    <w:p w14:paraId="03086AFD">
      <w:pPr>
        <w:autoSpaceDE w:val="0"/>
        <w:autoSpaceDN w:val="0"/>
        <w:adjustRightInd w:val="0"/>
        <w:spacing w:line="336" w:lineRule="auto"/>
        <w:ind w:firstLine="480" w:firstLineChars="200"/>
        <w:rPr>
          <w:sz w:val="24"/>
        </w:rPr>
      </w:pPr>
      <w:r>
        <w:rPr>
          <w:sz w:val="24"/>
        </w:rPr>
        <w:t>本人声明所呈交的学位论文是本人在导师指导下进行的研究工作及取得的研究成果。据我所知，除了文中特别加以标注和致谢的地方外，论文中不包含其他人已经发表或撰写过的研究成果，也不包含为获得成都理工大学或其他教育机构的学位或证书而使用过的材料。与我一同工作的人员对本研究所做的任何贡献均已在论文中作了明确的说明并表示谢意。</w:t>
      </w:r>
    </w:p>
    <w:p w14:paraId="51DD4EFF">
      <w:pPr>
        <w:autoSpaceDE w:val="0"/>
        <w:autoSpaceDN w:val="0"/>
        <w:adjustRightInd w:val="0"/>
        <w:spacing w:line="336" w:lineRule="auto"/>
        <w:ind w:firstLine="480" w:firstLineChars="200"/>
        <w:rPr>
          <w:sz w:val="24"/>
        </w:rPr>
      </w:pPr>
    </w:p>
    <w:p w14:paraId="2C71AD93">
      <w:pPr>
        <w:autoSpaceDE w:val="0"/>
        <w:autoSpaceDN w:val="0"/>
        <w:adjustRightInd w:val="0"/>
        <w:spacing w:line="336" w:lineRule="auto"/>
        <w:ind w:firstLine="480" w:firstLineChars="200"/>
        <w:rPr>
          <w:sz w:val="24"/>
        </w:rPr>
      </w:pPr>
      <w:r>
        <w:rPr>
          <w:sz w:val="24"/>
        </w:rPr>
        <w:t xml:space="preserve">学位论文作者签名：                </w:t>
      </w:r>
    </w:p>
    <w:p w14:paraId="76E1E576">
      <w:pPr>
        <w:autoSpaceDE w:val="0"/>
        <w:autoSpaceDN w:val="0"/>
        <w:adjustRightInd w:val="0"/>
        <w:spacing w:line="336" w:lineRule="auto"/>
        <w:ind w:firstLine="480" w:firstLineChars="200"/>
        <w:jc w:val="right"/>
        <w:rPr>
          <w:sz w:val="24"/>
        </w:rPr>
      </w:pPr>
      <w:r>
        <w:rPr>
          <w:sz w:val="24"/>
        </w:rPr>
        <w:t xml:space="preserve">        年      月       日</w:t>
      </w:r>
    </w:p>
    <w:p w14:paraId="29AB724C">
      <w:pPr>
        <w:autoSpaceDE w:val="0"/>
        <w:autoSpaceDN w:val="0"/>
        <w:adjustRightInd w:val="0"/>
        <w:spacing w:line="336" w:lineRule="auto"/>
        <w:ind w:firstLine="480" w:firstLineChars="200"/>
        <w:rPr>
          <w:sz w:val="24"/>
        </w:rPr>
      </w:pPr>
    </w:p>
    <w:p w14:paraId="2EAF07CE"/>
    <w:p w14:paraId="3AF0E149"/>
    <w:p w14:paraId="61BF39FC"/>
    <w:p w14:paraId="0EAFDFD8"/>
    <w:p w14:paraId="73409215">
      <w:pPr>
        <w:spacing w:before="312" w:beforeLines="100" w:after="312" w:afterLines="100"/>
        <w:jc w:val="center"/>
        <w:rPr>
          <w:rFonts w:eastAsia="黑体"/>
          <w:sz w:val="36"/>
        </w:rPr>
      </w:pPr>
      <w:bookmarkStart w:id="2" w:name="_Toc193097093"/>
      <w:r>
        <w:rPr>
          <w:rFonts w:eastAsia="黑体"/>
          <w:sz w:val="36"/>
        </w:rPr>
        <w:t>学位论文版权使用授权书</w:t>
      </w:r>
      <w:bookmarkEnd w:id="2"/>
    </w:p>
    <w:p w14:paraId="3636A15E">
      <w:pPr>
        <w:spacing w:line="360" w:lineRule="auto"/>
      </w:pPr>
      <w:r>
        <w:t xml:space="preserve">         </w:t>
      </w:r>
    </w:p>
    <w:p w14:paraId="7839F872">
      <w:pPr>
        <w:autoSpaceDE w:val="0"/>
        <w:autoSpaceDN w:val="0"/>
        <w:adjustRightInd w:val="0"/>
        <w:spacing w:line="336" w:lineRule="auto"/>
        <w:ind w:firstLine="480" w:firstLineChars="200"/>
        <w:rPr>
          <w:sz w:val="24"/>
        </w:rPr>
      </w:pPr>
      <w:r>
        <w:rPr>
          <w:sz w:val="24"/>
        </w:rPr>
        <w:t>本学位论文作者完全了解成都理工大学有关保留、使用学位论文的规定，有权保留并向国家有关部门或机构送交论文的复印件和磁盘，允许论文被查阅和借阅。本人授权成都理工大学可以将学位论文的全部或部分内容编入有关数据库进行检索，可以采用影印、缩印或扫描等复制手段保存、汇编学位论文。</w:t>
      </w:r>
    </w:p>
    <w:p w14:paraId="52EDEF70">
      <w:pPr>
        <w:autoSpaceDE w:val="0"/>
        <w:autoSpaceDN w:val="0"/>
        <w:adjustRightInd w:val="0"/>
        <w:spacing w:line="336" w:lineRule="auto"/>
        <w:ind w:firstLine="480" w:firstLineChars="200"/>
        <w:rPr>
          <w:sz w:val="24"/>
        </w:rPr>
      </w:pPr>
      <w:r>
        <w:rPr>
          <w:sz w:val="24"/>
        </w:rPr>
        <w:t>（保密的学位论文在解密后适用本授权书）</w:t>
      </w:r>
    </w:p>
    <w:p w14:paraId="0F8A6C94">
      <w:pPr>
        <w:autoSpaceDE w:val="0"/>
        <w:autoSpaceDN w:val="0"/>
        <w:adjustRightInd w:val="0"/>
        <w:spacing w:line="336" w:lineRule="auto"/>
        <w:ind w:firstLine="480" w:firstLineChars="200"/>
        <w:rPr>
          <w:sz w:val="24"/>
        </w:rPr>
      </w:pPr>
    </w:p>
    <w:p w14:paraId="3DB9D30E">
      <w:pPr>
        <w:autoSpaceDE w:val="0"/>
        <w:autoSpaceDN w:val="0"/>
        <w:adjustRightInd w:val="0"/>
        <w:spacing w:line="480" w:lineRule="auto"/>
        <w:ind w:firstLine="480" w:firstLineChars="200"/>
        <w:rPr>
          <w:sz w:val="24"/>
        </w:rPr>
      </w:pPr>
      <w:r>
        <w:rPr>
          <w:sz w:val="24"/>
        </w:rPr>
        <w:t>学位论文作者签名：</w:t>
      </w:r>
    </w:p>
    <w:p w14:paraId="39F440B5">
      <w:pPr>
        <w:autoSpaceDE w:val="0"/>
        <w:autoSpaceDN w:val="0"/>
        <w:adjustRightInd w:val="0"/>
        <w:spacing w:line="480" w:lineRule="auto"/>
        <w:ind w:firstLine="480" w:firstLineChars="200"/>
        <w:rPr>
          <w:sz w:val="24"/>
        </w:rPr>
      </w:pPr>
      <w:r>
        <w:rPr>
          <w:sz w:val="24"/>
        </w:rPr>
        <w:t>学位论文作者导师签名：</w:t>
      </w:r>
    </w:p>
    <w:p w14:paraId="066D6A9D">
      <w:pPr>
        <w:autoSpaceDE w:val="0"/>
        <w:autoSpaceDN w:val="0"/>
        <w:adjustRightInd w:val="0"/>
        <w:spacing w:line="336" w:lineRule="auto"/>
        <w:ind w:firstLine="480" w:firstLineChars="200"/>
        <w:rPr>
          <w:sz w:val="24"/>
        </w:rPr>
      </w:pPr>
    </w:p>
    <w:p w14:paraId="15847118">
      <w:pPr>
        <w:autoSpaceDE w:val="0"/>
        <w:autoSpaceDN w:val="0"/>
        <w:adjustRightInd w:val="0"/>
        <w:spacing w:line="336" w:lineRule="auto"/>
        <w:ind w:firstLine="480" w:firstLineChars="200"/>
        <w:jc w:val="right"/>
        <w:rPr>
          <w:sz w:val="24"/>
        </w:rPr>
      </w:pPr>
      <w:r>
        <w:rPr>
          <w:sz w:val="24"/>
        </w:rPr>
        <w:t xml:space="preserve">         年          月        日</w:t>
      </w:r>
    </w:p>
    <w:p w14:paraId="6792E480"/>
    <w:p>
      <w:pPr>
        <w:sectPr>
          <w:headerReference r:id="rId32" w:type="default"/>
          <w:headerReference w:type="even" r:id="rId44"/>
          <w:footnotePr>
            <w:numFmt w:val="decimalEnclosedCircleChinese"/>
            <w:numRestart w:val="eachPage"/>
          </w:footnotePr>
          <w:pgSz w:w="11906" w:h="16838"/>
          <w:pgMar w:top="1440" w:right="1797" w:bottom="1440" w:left="1797" w:header="850" w:footer="992" w:gutter="0"/>
          <w:cols w:space="720" w:num="1"/>
          <w:docGrid w:type="lines" w:linePitch="326" w:charSpace="0"/>
        </w:sectPr>
      </w:pPr>
    </w:p>
    <w:p>
      <w:pPr>
        <w:spacing w:before="0" w:after="0" w:line="240" w:lineRule="auto"/>
        <w:ind w:firstLine="0"/>
        <w:jc w:val="center"/>
      </w:pPr>
      <w:r>
        <w:rPr>
          <w:rFonts w:ascii="Times New Roman" w:hAnsi="Times New Roman" w:cs="Times New Roman" w:eastAsia="黑体"/>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宋体"/>
          <w:b/>
          <w:sz w:val="30"/>
        </w:rPr>
        <w:t>摘  要</w:t>
      </w:r>
    </w:p>
    <w:p>
      <w:pPr>
        <w:spacing w:before="0" w:after="0" w:line="300" w:lineRule="auto"/>
        <w:ind w:firstLine="480"/>
        <w:jc w:val="both"/>
      </w:pPr>
      <w:r>
        <w:rPr>
          <w:rFonts w:ascii="Times New Roman" w:hAnsi="Times New Roman" w:cs="Times New Roman" w:eastAsia="宋体"/>
          <w:b w:val="0"/>
          <w:sz w:val="24"/>
        </w:rPr>
        <w:t>电动汽车充电设施持续扩张，场站内不同节点的负荷差异与短时波动给容量配置、负荷均衡和运行管理带来挑战。现有研究多面向区域、站群或充电站聚合负荷，对站内节点间多类统计关系的利用方式及预测收益来源缺少系统检验。本文以公开充电会话记录重构的节点代理负荷为对象，研究站内充电节点的短期负荷预测与机制诊断。</w:t>
      </w:r>
    </w:p>
    <w:p>
      <w:pPr>
        <w:spacing w:before="0" w:after="0" w:line="300" w:lineRule="auto"/>
        <w:ind w:firstLine="480"/>
        <w:jc w:val="both"/>
      </w:pPr>
      <w:r>
        <w:rPr>
          <w:rFonts w:ascii="Times New Roman" w:hAnsi="Times New Roman" w:cs="Times New Roman" w:eastAsia="宋体"/>
          <w:b w:val="0"/>
          <w:sz w:val="24"/>
        </w:rPr>
        <w:t>将31,424条充电会话按15 min时间网格展开后，得到覆盖118,818个时间步、10个主分析节点的节点代理负荷序列及行为特征；目标侧标签事件与预测时刻可见的冻结规则触发采用不同口径。在此基础上，按负荷耦合、行为共现和轮廓相似构建LRE三关系图，并提出以时间卷积网络为骨干、融合关系级和节点级门控的多关系门控图卷积网络（MRG-GCN）。在相同预测键和三个随机种子的重复实验下，MRG-GCN的全局MAE为0.01376 kWh/15 min，较TCN无图基线降低53.4%，较ARIMA降低39.1%；其MAE最低，并在已报告WAPE的模型中取得最低WAPE。</w:t>
      </w:r>
    </w:p>
    <w:p>
      <w:pPr>
        <w:spacing w:before="0" w:after="0" w:line="300" w:lineRule="auto"/>
        <w:ind w:firstLine="480"/>
        <w:jc w:val="both"/>
      </w:pPr>
      <w:r>
        <w:rPr>
          <w:rFonts w:ascii="Times New Roman" w:hAnsi="Times New Roman" w:cs="Times New Roman" w:eastAsia="宋体"/>
          <w:b w:val="0"/>
          <w:sz w:val="24"/>
        </w:rPr>
        <w:t>三层机制诊断协议依次考察关系分配、结构知识吸收和误差样本构成。L1中，在三种子均值口径下，所检七种关系级门控替换的MAE均高于学习值基线，支持模型对学习关系分配存在功能依赖。L2中，在给定学生架构、蒸馏目标和权重范围内，纯时序学生未弥合与图模型之间的误差差距。L3中，标签事件窗口仅占测试预测键的1.43%，其误差明显高于稳定窗口；冻结规则触发率仅为0.43%，反映了预测时刻可见信息的限制。论文还探索方向性候选结构、规则路由分层共形区间和分层参数敏感度；这些结果不表述为已经可部署的事件预测方案。</w:t>
      </w:r>
    </w:p>
    <w:p>
      <w:pPr>
        <w:spacing w:before="0" w:after="0" w:line="300" w:lineRule="auto"/>
        <w:ind w:firstLine="480"/>
        <w:jc w:val="both"/>
      </w:pPr>
      <w:r>
        <w:rPr>
          <w:rFonts w:ascii="Times New Roman" w:hAnsi="Times New Roman" w:cs="Times New Roman" w:eastAsia="宋体"/>
          <w:b w:val="0"/>
          <w:sz w:val="24"/>
        </w:rPr>
        <w:t>本文在站内节点尺度构建语义可区分的多关系图预测模型，并通过协议化诊断分析模型内部结构、能力边界与误差样本构成。研究结论仅适用于由会话记录重构的节点代理负荷口径，相关实现和评价协议可供同类场站研究复核。</w:t>
      </w:r>
    </w:p>
    <w:p>
      <w:pPr>
        <w:spacing w:before="0" w:after="0" w:line="300" w:lineRule="auto"/>
        <w:ind w:firstLine="0"/>
        <w:jc w:val="both"/>
      </w:pPr>
      <w:r>
        <w:rPr>
          <w:rFonts w:ascii="Times New Roman" w:hAnsi="Times New Roman" w:cs="Times New Roman" w:eastAsia="宋体"/>
          <w:b/>
          <w:sz w:val="24"/>
        </w:rPr>
        <w:t>关键词：充电节点短期负荷预测；多关系图卷积；机制诊断；事件窗口；共形预测区间</w:t>
      </w:r>
    </w:p>
    <w:p>
      <w:pPr>
        <w:sectPr>
          <w:headerReference w:type="default" r:id="rId45"/>
          <w:headerReference w:type="even" r:id="rId46"/>
          <w:footerReference w:type="default" r:id="rId47"/>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tart="1"/>
        </w:sectPr>
      </w:pPr>
    </w:p>
    <w:p>
      <w:pPr>
        <w:spacing w:before="0" w:after="0" w:line="240" w:lineRule="auto"/>
        <w:ind w:firstLine="0"/>
        <w:jc w:val="center"/>
      </w:pPr>
      <w:r>
        <w:rPr>
          <w:rFonts w:ascii="Times New Roman" w:hAnsi="Times New Roman" w:cs="Times New Roman" w:eastAsia="Times New Roman"/>
          <w:b/>
          <w:sz w:val="30"/>
        </w:rPr>
        <w:t>基于站内多关系图与机制诊断的充电节点短期负荷预测研究</w:t>
      </w:r>
    </w:p>
    <w:p>
      <w:pPr>
        <w:spacing w:before="360" w:after="360" w:line="240" w:lineRule="auto"/>
        <w:ind w:firstLine="0"/>
        <w:jc w:val="center"/>
      </w:pPr>
      <w:r>
        <w:rPr>
          <w:rFonts w:ascii="Times New Roman" w:hAnsi="Times New Roman" w:cs="Times New Roman" w:eastAsia="Times New Roman"/>
          <w:b/>
          <w:sz w:val="30"/>
        </w:rPr>
        <w:t>Abstract</w:t>
      </w:r>
    </w:p>
    <w:p>
      <w:pPr>
        <w:spacing w:before="0" w:after="0" w:line="300" w:lineRule="auto"/>
        <w:ind w:firstLine="480"/>
        <w:jc w:val="both"/>
      </w:pPr>
      <w:r>
        <w:rPr>
          <w:rFonts w:ascii="Times New Roman" w:hAnsi="Times New Roman" w:cs="Times New Roman" w:eastAsia="Times New Roman"/>
          <w:b w:val="0"/>
          <w:sz w:val="24"/>
        </w:rPr>
        <w:t>With the continued expansion of electric-vehicle charging infrastructure, heterogeneous loads and short-term fluctuations across charging nodes within a station create challenges for capacity allocation, load balancing, and operational management. Existing studies mainly focus on aggregated loads at regional, station-cluster, or station levels, while the use of multiple statistical relationships among within-station nodes and the sources of forecasting gains remain insufficiently examined. This thesis investigates short-term load forecasting and mechanism diagnosis for charging nodes, using proxy loads reconstructed from public charging-session records.</w:t>
      </w:r>
    </w:p>
    <w:p>
      <w:pPr>
        <w:spacing w:before="0" w:after="0" w:line="300" w:lineRule="auto"/>
        <w:ind w:firstLine="480"/>
        <w:jc w:val="both"/>
      </w:pPr>
      <w:r>
        <w:rPr>
          <w:rFonts w:ascii="Times New Roman" w:hAnsi="Times New Roman" w:cs="Times New Roman" w:eastAsia="Times New Roman"/>
          <w:b w:val="0"/>
          <w:sz w:val="24"/>
        </w:rPr>
        <w:t>First, 31,424 charging sessions are expanded onto a 15-minute grid to construct proxy-load sequences and behavioral features for 10 primary analysis nodes over 118,818 time steps. Target-side event labels are explicitly distinguished from frozen rule triggers observable at forecast time. Second, a relation extraction module is built from load coupling, behavioral co-occurrence, and profile similarity, and a multi-relational gated graph convolutional network (MRG-GCN) is proposed. The model uses a temporal convolutional network as its backbone and combines relation-level and node-level gates across two graph-convolution layers. Under identical forecast keys and three random seeds, MRG-GCN achieves a global MAE of 0.01376 kWh/15 min, reducing MAE by 53.4% relative to the graph-free TCN and by 39.1% relative to ARIMA. It attains the lowest MAE and the lowest WAPE among models for which WAPE is available.</w:t>
      </w:r>
    </w:p>
    <w:p>
      <w:pPr>
        <w:spacing w:before="0" w:after="0" w:line="300" w:lineRule="auto"/>
        <w:ind w:firstLine="480"/>
        <w:jc w:val="both"/>
      </w:pPr>
      <w:r>
        <w:rPr>
          <w:rFonts w:ascii="Times New Roman" w:hAnsi="Times New Roman" w:cs="Times New Roman" w:eastAsia="Times New Roman"/>
          <w:b w:val="0"/>
          <w:sz w:val="24"/>
        </w:rPr>
        <w:t>The thesis further develops a three-layer mechanism diagnosis protocol comprising parameter-intervention attribution, knowledge-distillation validation, and four-cell event error tracing. When averaged across the three random seeds, all seven examined replacements of relation-level gates yield higher MAE than the learned-weight baseline, supporting a functional dependence on learned relation allocation. Under the examined student architecture, distillation target, and weights, a purely temporal student does not close the error gap to the graph model. The four-cell diagnosis shows that labeled event windows account for only 1.43% of test forecast keys but have substantially higher error than stable windows; the frozen rule-trigger rate is only 0.43%, revealing the boundary imposed by forecast-time observable information. Finally, directional candidate structure discovery, rule-routed conformal intervals, and stratified parameter sensitivity are explored as forecasting-support evidence only, rather than as a deployable event-prediction solution.</w:t>
      </w:r>
    </w:p>
    <w:p>
      <w:pPr>
        <w:spacing w:before="0" w:after="0" w:line="300" w:lineRule="auto"/>
        <w:ind w:firstLine="480"/>
        <w:jc w:val="both"/>
      </w:pPr>
      <w:r>
        <w:rPr>
          <w:rFonts w:ascii="Times New Roman" w:hAnsi="Times New Roman" w:cs="Times New Roman" w:eastAsia="Times New Roman"/>
          <w:b w:val="0"/>
          <w:sz w:val="24"/>
        </w:rPr>
        <w:t>The contribution of this thesis is a within-station, distinguishable multi-relational graph forecasting model together with a protocol that connects internal model structure, model-capability boundaries, and the sample composition of error. The conclusions are limited to proxy loads reconstructed from charging-session records and provide a reproducible path for multi-node short-term forecasting and mechanism analysis at charging stations.</w:t>
      </w:r>
    </w:p>
    <w:p>
      <w:pPr>
        <w:spacing w:before="0" w:after="0" w:line="300" w:lineRule="auto"/>
        <w:ind w:firstLine="0"/>
        <w:jc w:val="both"/>
      </w:pPr>
      <w:r>
        <w:rPr>
          <w:rFonts w:ascii="Times New Roman" w:hAnsi="Times New Roman" w:cs="Times New Roman" w:eastAsia="Times New Roman"/>
          <w:b/>
          <w:sz w:val="24"/>
        </w:rPr>
        <w:t>Keywords: short-term charging-node load forecasting; multi-relational graph convolution; mechanism diagnosis; event window; conformal prediction interval</w:t>
      </w:r>
    </w:p>
    <w:p>
      <w:pPr>
        <w:sectPr>
          <w:headerReference w:type="default" r:id="rId48"/>
          <w:headerReference w:type="even" r:id="rId49"/>
          <w:footerReference w:type="default" r:id="rId50"/>
          <w:footnotePr>
            <w:numFmt w:val="decimalEnclosedCircleChinese"/>
            <w:numRestart w:val="eachPage"/>
          </w:footnotePr>
          <w:pgSz w:w="11906" w:h="16838"/>
          <w:pgMar w:top="1440" w:right="1797" w:bottom="1440" w:left="1797" w:header="850" w:footer="992" w:gutter="0"/>
          <w:cols w:space="720" w:num="1"/>
          <w:docGrid w:type="lines" w:linePitch="326" w:charSpace="0"/>
          <w:pgNumType w:fmt="upperRoman"/>
        </w:sectPr>
      </w:pPr>
    </w:p>
    <w:p>
      <w:pPr>
        <w:spacing w:before="480" w:after="360" w:line="240" w:lineRule="auto"/>
        <w:ind w:firstLine="0"/>
        <w:jc w:val="center"/>
      </w:pPr>
      <w:r>
        <w:rPr>
          <w:rFonts w:ascii="Times New Roman" w:hAnsi="Times New Roman" w:cs="Times New Roman" w:eastAsia="黑体"/>
          <w:b/>
          <w:sz w:val="36"/>
        </w:rPr>
        <w:t>目  录</w:t>
      </w:r>
    </w:p>
    <w:p>
      <w:pPr>
        <w:pStyle w:val="16"/>
        <w:tabs>
          <w:tab w:pos="8311" w:val="right" w:leader="dot"/>
        </w:tabs>
        <w:spacing w:before="0" w:after="0" w:line="300" w:lineRule="auto"/>
        <w:ind w:left="0" w:firstLine="0"/>
        <w:jc w:val="left"/>
      </w:pPr>
      <w:r>
        <w:fldChar w:fldCharType="begin"/>
      </w:r>
      <w:r>
        <w:instrText xml:space="preserve"> TOC \o "1-3" \h \z \u </w:instrText>
      </w:r>
      <w:r>
        <w:fldChar w:fldCharType="separate"/>
      </w:r>
      <w:r>
        <w:rPr>
          <w:rFonts w:ascii="Times New Roman" w:hAnsi="Times New Roman" w:cs="Times New Roman" w:eastAsia="宋体"/>
          <w:b/>
          <w:sz w:val="24"/>
        </w:rPr>
        <w:t>第1章  绪论</w:t>
      </w:r>
      <w:r>
        <w:tab/>
      </w:r>
      <w:r>
        <w:rPr>
          <w:rFonts w:ascii="Times New Roman" w:hAnsi="Times New Roman" w:cs="Times New Roman" w:eastAsia="宋体"/>
          <w:b/>
          <w:sz w:val="24"/>
        </w:rPr>
        <w:t>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1.1 研究背景与意义</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1.1.1 电动汽车充电负荷增长与节点级预测需求</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1.1.2 离散会话记录与节点代理负荷预测问题</w:t>
      </w:r>
      <w:r>
        <w:tab/>
      </w:r>
      <w:r>
        <w:rPr>
          <w:rFonts w:ascii="Times New Roman" w:hAnsi="Times New Roman" w:cs="Times New Roman" w:eastAsia="宋体"/>
          <w:b w:val="0"/>
          <w:sz w:val="24"/>
        </w:rPr>
        <w:t>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1.1.3 站内节点关系建模与事件窗口预测意义</w:t>
      </w:r>
      <w:r>
        <w:tab/>
      </w:r>
      <w:r>
        <w:rPr>
          <w:rFonts w:ascii="Times New Roman" w:hAnsi="Times New Roman" w:cs="Times New Roman" w:eastAsia="宋体"/>
          <w:b w:val="0"/>
          <w:sz w:val="24"/>
        </w:rPr>
        <w:t>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1.2 国内外研究现状</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1.2.1 电动汽车充电负荷时间序列预测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1.2.2 多节点负荷与时空图预测</w:t>
      </w:r>
      <w:r>
        <w:tab/>
      </w:r>
      <w:r>
        <w:rPr>
          <w:rFonts w:ascii="Times New Roman" w:hAnsi="Times New Roman" w:cs="Times New Roman" w:eastAsia="宋体"/>
          <w:b w:val="0"/>
          <w:sz w:val="24"/>
        </w:rPr>
        <w:t>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1.2.3 充电行为特征与事件建模</w:t>
      </w:r>
      <w:r>
        <w:tab/>
      </w:r>
      <w:r>
        <w:rPr>
          <w:rFonts w:ascii="Times New Roman" w:hAnsi="Times New Roman" w:cs="Times New Roman" w:eastAsia="宋体"/>
          <w:b w:val="0"/>
          <w:sz w:val="24"/>
        </w:rPr>
        <w:t>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1.2.4 模型可解释性与机制诊断</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1.3 现有研究不足</w:t>
      </w:r>
      <w:r>
        <w:tab/>
      </w:r>
      <w:r>
        <w:rPr>
          <w:rFonts w:ascii="Times New Roman" w:hAnsi="Times New Roman" w:cs="Times New Roman" w:eastAsia="宋体"/>
          <w:b w:val="0"/>
          <w:sz w:val="24"/>
        </w:rPr>
        <w:t>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1.4 研究目标与主要内容</w:t>
      </w:r>
      <w:r>
        <w:tab/>
      </w:r>
      <w:r>
        <w:rPr>
          <w:rFonts w:ascii="Times New Roman" w:hAnsi="Times New Roman" w:cs="Times New Roman" w:eastAsia="宋体"/>
          <w:b w:val="0"/>
          <w:sz w:val="24"/>
        </w:rPr>
        <w:t>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1.5 技术路线</w:t>
      </w:r>
      <w:r>
        <w:tab/>
      </w:r>
      <w:r>
        <w:rPr>
          <w:rFonts w:ascii="Times New Roman" w:hAnsi="Times New Roman" w:cs="Times New Roman" w:eastAsia="宋体"/>
          <w:b w:val="0"/>
          <w:sz w:val="24"/>
        </w:rPr>
        <w:t>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1.6 论文组织结构</w:t>
      </w:r>
      <w:r>
        <w:tab/>
      </w:r>
      <w:r>
        <w:rPr>
          <w:rFonts w:ascii="Times New Roman" w:hAnsi="Times New Roman" w:cs="Times New Roman" w:eastAsia="宋体"/>
          <w:b w:val="0"/>
          <w:sz w:val="24"/>
        </w:rPr>
        <w:t>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1.7 本章小结</w:t>
      </w:r>
      <w:r>
        <w:tab/>
      </w:r>
      <w:r>
        <w:rPr>
          <w:rFonts w:ascii="Times New Roman" w:hAnsi="Times New Roman" w:cs="Times New Roman" w:eastAsia="宋体"/>
          <w:b w:val="0"/>
          <w:sz w:val="24"/>
        </w:rPr>
        <w:t>10</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第2章  充电行为数据与特征分析</w:t>
      </w:r>
      <w:r>
        <w:tab/>
      </w:r>
      <w:r>
        <w:rPr>
          <w:rFonts w:ascii="Times New Roman" w:hAnsi="Times New Roman" w:cs="Times New Roman" w:eastAsia="宋体"/>
          <w:b/>
          <w:sz w:val="24"/>
        </w:rPr>
        <w:t>11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2.1 数据来源与重构口径</w:t>
      </w:r>
      <w:r>
        <w:tab/>
      </w:r>
      <w:r>
        <w:rPr>
          <w:rFonts w:ascii="Times New Roman" w:hAnsi="Times New Roman" w:cs="Times New Roman" w:eastAsia="宋体"/>
          <w:b w:val="0"/>
          <w:sz w:val="24"/>
        </w:rPr>
        <w:t>11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2.1.1 旧主实验与事件时刻可见协议的任务边界</w:t>
      </w:r>
      <w:r>
        <w:tab/>
      </w:r>
      <w:r>
        <w:rPr>
          <w:rFonts w:ascii="Times New Roman" w:hAnsi="Times New Roman" w:cs="Times New Roman" w:eastAsia="宋体"/>
          <w:b w:val="0"/>
          <w:sz w:val="24"/>
        </w:rPr>
        <w:t>13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2.2 节点可用性筛选与质量门禁</w:t>
      </w:r>
      <w:r>
        <w:tab/>
      </w:r>
      <w:r>
        <w:rPr>
          <w:rFonts w:ascii="Times New Roman" w:hAnsi="Times New Roman" w:cs="Times New Roman" w:eastAsia="宋体"/>
          <w:b w:val="0"/>
          <w:sz w:val="24"/>
        </w:rPr>
        <w:t>14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2.3 节点负荷统计特征</w:t>
      </w:r>
      <w:r>
        <w:tab/>
      </w:r>
      <w:r>
        <w:rPr>
          <w:rFonts w:ascii="Times New Roman" w:hAnsi="Times New Roman" w:cs="Times New Roman" w:eastAsia="宋体"/>
          <w:b w:val="0"/>
          <w:sz w:val="24"/>
        </w:rPr>
        <w:t>16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2.4 事件分数构成与事件窗口统计</w:t>
      </w:r>
      <w:r>
        <w:tab/>
      </w:r>
      <w:r>
        <w:rPr>
          <w:rFonts w:ascii="Times New Roman" w:hAnsi="Times New Roman" w:cs="Times New Roman" w:eastAsia="宋体"/>
          <w:b w:val="0"/>
          <w:sz w:val="24"/>
        </w:rPr>
        <w:t>19</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2.5 特征构成与输入结构</w:t>
      </w:r>
      <w:r>
        <w:tab/>
      </w:r>
      <w:r>
        <w:rPr>
          <w:rFonts w:ascii="Times New Roman" w:hAnsi="Times New Roman" w:cs="Times New Roman" w:eastAsia="宋体"/>
          <w:b w:val="0"/>
          <w:sz w:val="24"/>
        </w:rPr>
        <w:t>22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2.6 数据特征对建模的启示</w:t>
      </w:r>
      <w:r>
        <w:tab/>
      </w:r>
      <w:r>
        <w:rPr>
          <w:rFonts w:ascii="Times New Roman" w:hAnsi="Times New Roman" w:cs="Times New Roman" w:eastAsia="宋体"/>
          <w:b w:val="0"/>
          <w:sz w:val="24"/>
        </w:rPr>
        <w:t>24</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2.7 本章小结</w:t>
      </w:r>
      <w:r>
        <w:tab/>
      </w:r>
      <w:r>
        <w:rPr>
          <w:rFonts w:ascii="Times New Roman" w:hAnsi="Times New Roman" w:cs="Times New Roman" w:eastAsia="宋体"/>
          <w:b w:val="0"/>
          <w:sz w:val="24"/>
        </w:rPr>
        <w:t>25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第3章  基于多关系门控图卷积的节点短期负荷预测</w:t>
      </w:r>
      <w:r>
        <w:tab/>
      </w:r>
      <w:r>
        <w:rPr>
          <w:rFonts w:ascii="Times New Roman" w:hAnsi="Times New Roman" w:cs="Times New Roman" w:eastAsia="宋体"/>
          <w:b/>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3.1 引言</w:t>
      </w:r>
      <w:r>
        <w:tab/>
      </w:r>
      <w:r>
        <w:rPr>
          <w:rFonts w:ascii="Times New Roman" w:hAnsi="Times New Roman" w:cs="Times New Roman" w:eastAsia="宋体"/>
          <w:b w:val="0"/>
          <w:sz w:val="24"/>
        </w:rPr>
        <w:t>26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3.2 预测任务形式化定义</w:t>
      </w:r>
      <w:r>
        <w:tab/>
      </w:r>
      <w:r>
        <w:rPr>
          <w:rFonts w:ascii="Times New Roman" w:hAnsi="Times New Roman" w:cs="Times New Roman" w:eastAsia="宋体"/>
          <w:b w:val="0"/>
          <w:sz w:val="24"/>
        </w:rPr>
        <w:t>28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3.3 场景驱动的LRE三关系图构建</w:t>
      </w:r>
      <w:r>
        <w:tab/>
      </w:r>
      <w:r>
        <w:rPr>
          <w:rFonts w:ascii="Times New Roman" w:hAnsi="Times New Roman" w:cs="Times New Roman" w:eastAsia="宋体"/>
          <w:b w:val="0"/>
          <w:sz w:val="24"/>
        </w:rPr>
        <w:t>29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3.3.1 负荷耦合关系图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3.3.2 行为共现关系图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3.3.3 轮廓相似关系图</w:t>
      </w:r>
      <w:r>
        <w:tab/>
      </w:r>
      <w:r>
        <w:rPr>
          <w:rFonts w:ascii="Times New Roman" w:hAnsi="Times New Roman" w:cs="Times New Roman" w:eastAsia="宋体"/>
          <w:b w:val="0"/>
          <w:sz w:val="24"/>
        </w:rPr>
        <w:t>30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3.3.4 top-k稀疏化与对称归一化</w:t>
      </w:r>
      <w:r>
        <w:tab/>
      </w:r>
      <w:r>
        <w:rPr>
          <w:rFonts w:ascii="Times New Roman" w:hAnsi="Times New Roman" w:cs="Times New Roman" w:eastAsia="宋体"/>
          <w:b w:val="0"/>
          <w:sz w:val="24"/>
        </w:rPr>
        <w:t>30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3.4 时间基线：TCN</w:t>
      </w:r>
      <w:r>
        <w:tab/>
      </w:r>
      <w:r>
        <w:rPr>
          <w:rFonts w:ascii="Times New Roman" w:hAnsi="Times New Roman" w:cs="Times New Roman" w:eastAsia="宋体"/>
          <w:b w:val="0"/>
          <w:sz w:val="24"/>
        </w:rPr>
        <w:t>31</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3.5 双层多关系门控图卷积网络（MRG-GCN）</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 总体架构</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3.5.2 单关系消息传递</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3.5.3 关系级门控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3.5.4 节点级门控</w:t>
      </w:r>
      <w:r>
        <w:tab/>
      </w:r>
      <w:r>
        <w:rPr>
          <w:rFonts w:ascii="Times New Roman" w:hAnsi="Times New Roman" w:cs="Times New Roman" w:eastAsia="宋体"/>
          <w:b w:val="0"/>
          <w:sz w:val="24"/>
        </w:rPr>
        <w:t>32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3.5.5 关系随机失活</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3.5.6 逐层关系选择与跨层融合</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3.5.7 目标函数与训练策略</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3.5.8 与现有方法的区别</w:t>
      </w:r>
      <w:r>
        <w:tab/>
      </w:r>
      <w:r>
        <w:rPr>
          <w:rFonts w:ascii="Times New Roman" w:hAnsi="Times New Roman" w:cs="Times New Roman" w:eastAsia="宋体"/>
          <w:b w:val="0"/>
          <w:sz w:val="24"/>
        </w:rPr>
        <w:t>33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3.5.9 节点门控与残差更新的分工</w:t>
      </w:r>
      <w:r>
        <w:tab/>
      </w:r>
      <w:r>
        <w:rPr>
          <w:rFonts w:ascii="Times New Roman" w:hAnsi="Times New Roman" w:cs="Times New Roman" w:eastAsia="宋体"/>
          <w:b w:val="0"/>
          <w:sz w:val="24"/>
        </w:rPr>
        <w:t>34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3.5.10 跨层表示的使用原则</w:t>
      </w:r>
      <w:r>
        <w:tab/>
      </w:r>
      <w:r>
        <w:rPr>
          <w:rFonts w:ascii="Times New Roman" w:hAnsi="Times New Roman" w:cs="Times New Roman" w:eastAsia="宋体"/>
          <w:b w:val="0"/>
          <w:sz w:val="24"/>
        </w:rPr>
        <w:t>35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3.6 对比实验</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3.6.1 实验协议</w:t>
      </w:r>
      <w:r>
        <w:tab/>
      </w:r>
      <w:r>
        <w:rPr>
          <w:rFonts w:ascii="Times New Roman" w:hAnsi="Times New Roman" w:cs="Times New Roman" w:eastAsia="宋体"/>
          <w:b w:val="0"/>
          <w:sz w:val="24"/>
        </w:rPr>
        <w:t>37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3.6.2 全局指标对比</w:t>
      </w:r>
      <w:r>
        <w:tab/>
      </w:r>
      <w:r>
        <w:rPr>
          <w:rFonts w:ascii="Times New Roman" w:hAnsi="Times New Roman" w:cs="Times New Roman" w:eastAsia="宋体"/>
          <w:b w:val="0"/>
          <w:sz w:val="24"/>
        </w:rPr>
        <w:t>38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3.6.3 分层指标对比</w:t>
      </w:r>
      <w:r>
        <w:tab/>
      </w:r>
      <w:r>
        <w:rPr>
          <w:rFonts w:ascii="Times New Roman" w:hAnsi="Times New Roman" w:cs="Times New Roman" w:eastAsia="宋体"/>
          <w:b w:val="0"/>
          <w:sz w:val="24"/>
        </w:rPr>
        <w:t>42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3.6.4 节点与预测步长分析</w:t>
      </w:r>
      <w:r>
        <w:tab/>
      </w:r>
      <w:r>
        <w:rPr>
          <w:rFonts w:ascii="Times New Roman" w:hAnsi="Times New Roman" w:cs="Times New Roman" w:eastAsia="宋体"/>
          <w:b w:val="0"/>
          <w:sz w:val="24"/>
        </w:rPr>
        <w:t>43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3.6.5 模型效率分析</w:t>
      </w:r>
      <w:r>
        <w:tab/>
      </w:r>
      <w:r>
        <w:rPr>
          <w:rFonts w:ascii="Times New Roman" w:hAnsi="Times New Roman" w:cs="Times New Roman" w:eastAsia="宋体"/>
          <w:b w:val="0"/>
          <w:sz w:val="24"/>
        </w:rPr>
        <w:t>44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3.6.6 事件机制消融与归因</w:t>
      </w:r>
      <w:r>
        <w:tab/>
      </w:r>
      <w:r>
        <w:rPr>
          <w:rFonts w:ascii="Times New Roman" w:hAnsi="Times New Roman" w:cs="Times New Roman" w:eastAsia="宋体"/>
          <w:b w:val="0"/>
          <w:sz w:val="24"/>
        </w:rPr>
        <w:t>45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3.7 消融实验</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3.7.1 组合配置下的结构消融证据</w:t>
      </w:r>
      <w:r>
        <w:tab/>
      </w:r>
      <w:r>
        <w:rPr>
          <w:rFonts w:ascii="Times New Roman" w:hAnsi="Times New Roman" w:cs="Times New Roman" w:eastAsia="宋体"/>
          <w:b w:val="0"/>
          <w:sz w:val="24"/>
        </w:rPr>
        <w:t>46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3.7.2 门控参数干预</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3.7.3 四格诊断</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3.7.4 关系子集与敏感性</w:t>
      </w:r>
      <w:r>
        <w:tab/>
      </w:r>
      <w:r>
        <w:rPr>
          <w:rFonts w:ascii="Times New Roman" w:hAnsi="Times New Roman" w:cs="Times New Roman" w:eastAsia="宋体"/>
          <w:b w:val="0"/>
          <w:sz w:val="24"/>
        </w:rPr>
        <w:t>47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3.7.5 严格可见输入协议下的压力测试</w:t>
      </w:r>
      <w:r>
        <w:tab/>
      </w:r>
      <w:r>
        <w:rPr>
          <w:rFonts w:ascii="Times New Roman" w:hAnsi="Times New Roman" w:cs="Times New Roman" w:eastAsia="宋体"/>
          <w:b w:val="0"/>
          <w:sz w:val="24"/>
        </w:rPr>
        <w:t>48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3.8 方法设计及证据边界</w:t>
      </w:r>
      <w:r>
        <w:tab/>
      </w:r>
      <w:r>
        <w:rPr>
          <w:rFonts w:ascii="Times New Roman" w:hAnsi="Times New Roman" w:cs="Times New Roman" w:eastAsia="宋体"/>
          <w:b w:val="0"/>
          <w:sz w:val="24"/>
        </w:rPr>
        <w:t>50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3.8.1 新旧输入协议的对应问题</w:t>
      </w:r>
      <w:r>
        <w:tab/>
      </w:r>
      <w:r>
        <w:rPr>
          <w:rFonts w:ascii="Times New Roman" w:hAnsi="Times New Roman" w:cs="Times New Roman" w:eastAsia="宋体"/>
          <w:b w:val="0"/>
          <w:sz w:val="24"/>
        </w:rPr>
        <w:t>50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3.9 本章小结</w:t>
      </w:r>
      <w:r>
        <w:tab/>
      </w:r>
      <w:r>
        <w:rPr>
          <w:rFonts w:ascii="Times New Roman" w:hAnsi="Times New Roman" w:cs="Times New Roman" w:eastAsia="宋体"/>
          <w:b w:val="0"/>
          <w:sz w:val="24"/>
        </w:rPr>
        <w:t>51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第4章  三层机制诊断协议（MDP）与模型可解释性分析</w:t>
      </w:r>
      <w:r>
        <w:tab/>
      </w:r>
      <w:r>
        <w:rPr>
          <w:rFonts w:ascii="Times New Roman" w:hAnsi="Times New Roman" w:cs="Times New Roman" w:eastAsia="宋体"/>
          <w:b/>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4.1 引言：MDP协议的定义与设计原则</w:t>
      </w:r>
      <w:r>
        <w:tab/>
      </w:r>
      <w:r>
        <w:rPr>
          <w:rFonts w:ascii="Times New Roman" w:hAnsi="Times New Roman" w:cs="Times New Roman" w:eastAsia="宋体"/>
          <w:b w:val="0"/>
          <w:sz w:val="24"/>
        </w:rPr>
        <w:t>53</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4.2 L1干预归因层（IA）：关系分配的功能依赖</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4.2.1 观察操作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4.2.2 干预操作</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4.2.3 观察证据</w:t>
      </w:r>
      <w:r>
        <w:tab/>
      </w:r>
      <w:r>
        <w:rPr>
          <w:rFonts w:ascii="Times New Roman" w:hAnsi="Times New Roman" w:cs="Times New Roman" w:eastAsia="宋体"/>
          <w:b w:val="0"/>
          <w:sz w:val="24"/>
        </w:rPr>
        <w:t>54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4.2.4 干预证据</w:t>
      </w:r>
      <w:r>
        <w:tab/>
      </w:r>
      <w:r>
        <w:rPr>
          <w:rFonts w:ascii="Times New Roman" w:hAnsi="Times New Roman" w:cs="Times New Roman" w:eastAsia="宋体"/>
          <w:b w:val="0"/>
          <w:sz w:val="24"/>
        </w:rPr>
        <w:t>55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4.2.5 L1判定结论</w:t>
      </w:r>
      <w:r>
        <w:tab/>
      </w:r>
      <w:r>
        <w:rPr>
          <w:rFonts w:ascii="Times New Roman" w:hAnsi="Times New Roman" w:cs="Times New Roman" w:eastAsia="宋体"/>
          <w:b w:val="0"/>
          <w:sz w:val="24"/>
        </w:rPr>
        <w:t>56</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4.3 L2蒸馏验证层（DV）：结构信息的可吸收性</w:t>
      </w:r>
      <w:r>
        <w:tab/>
      </w:r>
      <w:r>
        <w:rPr>
          <w:rFonts w:ascii="Times New Roman" w:hAnsi="Times New Roman" w:cs="Times New Roman" w:eastAsia="宋体"/>
          <w:b w:val="0"/>
          <w:sz w:val="24"/>
        </w:rPr>
        <w:t>56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4.3.1 协议操作</w:t>
      </w:r>
      <w:r>
        <w:tab/>
      </w:r>
      <w:r>
        <w:rPr>
          <w:rFonts w:ascii="Times New Roman" w:hAnsi="Times New Roman" w:cs="Times New Roman" w:eastAsia="宋体"/>
          <w:b w:val="0"/>
          <w:sz w:val="24"/>
        </w:rPr>
        <w:t>56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4.3.2 诊断实验</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4.3.3 L2判定结论</w:t>
      </w:r>
      <w:r>
        <w:tab/>
      </w:r>
      <w:r>
        <w:rPr>
          <w:rFonts w:ascii="Times New Roman" w:hAnsi="Times New Roman" w:cs="Times New Roman" w:eastAsia="宋体"/>
          <w:b w:val="0"/>
          <w:sz w:val="24"/>
        </w:rPr>
        <w:t>57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4.4 L3四格溯源层（FET）：全局误差构成</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4.4.1 协议操作</w:t>
      </w:r>
      <w:r>
        <w:tab/>
      </w:r>
      <w:r>
        <w:rPr>
          <w:rFonts w:ascii="Times New Roman" w:hAnsi="Times New Roman" w:cs="Times New Roman" w:eastAsia="宋体"/>
          <w:b w:val="0"/>
          <w:sz w:val="24"/>
        </w:rPr>
        <w:t>57</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4.4.2 诊断实验</w:t>
      </w:r>
      <w:r>
        <w:tab/>
      </w:r>
      <w:r>
        <w:rPr>
          <w:rFonts w:ascii="Times New Roman" w:hAnsi="Times New Roman" w:cs="Times New Roman" w:eastAsia="宋体"/>
          <w:b w:val="0"/>
          <w:sz w:val="24"/>
        </w:rPr>
        <w:t>58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4.4.3 还原校验</w:t>
      </w:r>
      <w:r>
        <w:tab/>
      </w:r>
      <w:r>
        <w:rPr>
          <w:rFonts w:ascii="Times New Roman" w:hAnsi="Times New Roman" w:cs="Times New Roman" w:eastAsia="宋体"/>
          <w:b w:val="0"/>
          <w:sz w:val="24"/>
        </w:rPr>
        <w:t>60</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4.4.4 L3判定结论</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4.5 协议总结：MDP机制画像与可复用性</w:t>
      </w:r>
      <w:r>
        <w:tab/>
      </w:r>
      <w:r>
        <w:rPr>
          <w:rFonts w:ascii="Times New Roman" w:hAnsi="Times New Roman" w:cs="Times New Roman" w:eastAsia="宋体"/>
          <w:b w:val="0"/>
          <w:sz w:val="24"/>
        </w:rPr>
        <w:t>60</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4.6 适用范围与外部验证要求</w:t>
      </w:r>
      <w:r>
        <w:tab/>
      </w:r>
      <w:r>
        <w:rPr>
          <w:rFonts w:ascii="Times New Roman" w:hAnsi="Times New Roman" w:cs="Times New Roman" w:eastAsia="宋体"/>
          <w:b w:val="0"/>
          <w:sz w:val="24"/>
        </w:rPr>
        <w:t>61</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第5章  模型结构分析与预测支持探索</w:t>
      </w:r>
      <w:r>
        <w:tab/>
      </w:r>
      <w:r>
        <w:rPr>
          <w:rFonts w:ascii="Times New Roman" w:hAnsi="Times New Roman" w:cs="Times New Roman" w:eastAsia="宋体"/>
          <w:b/>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5.1 引言</w:t>
      </w:r>
      <w:r>
        <w:tab/>
      </w:r>
      <w:r>
        <w:rPr>
          <w:rFonts w:ascii="Times New Roman" w:hAnsi="Times New Roman" w:cs="Times New Roman" w:eastAsia="宋体"/>
          <w:b w:val="0"/>
          <w:sz w:val="24"/>
        </w:rPr>
        <w:t>62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5.2 从统计相关到有向信息流：关系图方向性分析</w:t>
      </w:r>
      <w:r>
        <w:tab/>
      </w:r>
      <w:r>
        <w:rPr>
          <w:rFonts w:ascii="Times New Roman" w:hAnsi="Times New Roman" w:cs="Times New Roman" w:eastAsia="宋体"/>
          <w:b w:val="0"/>
          <w:sz w:val="24"/>
        </w:rPr>
        <w:t>62</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5.2.1 问题与动机</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5.2.2 传递熵方向性检验</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5.2.3 传递熵存在性与方向不对称证据</w:t>
      </w:r>
      <w:r>
        <w:tab/>
      </w:r>
      <w:r>
        <w:rPr>
          <w:rFonts w:ascii="Times New Roman" w:hAnsi="Times New Roman" w:cs="Times New Roman" w:eastAsia="宋体"/>
          <w:b w:val="0"/>
          <w:sz w:val="24"/>
        </w:rPr>
        <w:t>63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5.2.4 有向候选边与统计关系图的互补性</w:t>
      </w:r>
      <w:r>
        <w:tab/>
      </w:r>
      <w:r>
        <w:rPr>
          <w:rFonts w:ascii="Times New Roman" w:hAnsi="Times New Roman" w:cs="Times New Roman" w:eastAsia="宋体"/>
          <w:b w:val="0"/>
          <w:sz w:val="24"/>
        </w:rPr>
        <w:t>65</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5.2.5 PCMCI+条件独立核验与结构发现定位</w:t>
      </w:r>
      <w:r>
        <w:tab/>
      </w:r>
      <w:r>
        <w:rPr>
          <w:rFonts w:ascii="Times New Roman" w:hAnsi="Times New Roman" w:cs="Times New Roman" w:eastAsia="宋体"/>
          <w:b w:val="0"/>
          <w:sz w:val="24"/>
        </w:rPr>
        <w:t>66</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5.2.6 方向性证据的解释边界与复核路径</w:t>
      </w:r>
      <w:r>
        <w:tab/>
      </w:r>
      <w:r>
        <w:rPr>
          <w:rFonts w:ascii="Times New Roman" w:hAnsi="Times New Roman" w:cs="Times New Roman" w:eastAsia="宋体"/>
          <w:b w:val="0"/>
          <w:sz w:val="24"/>
        </w:rPr>
        <w:t>67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5.3 事件感知的区间预测：分层共形预测</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5.3.1 问题与动机</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5.3.2 分层共形方法</w:t>
      </w:r>
      <w:r>
        <w:tab/>
      </w:r>
      <w:r>
        <w:rPr>
          <w:rFonts w:ascii="Times New Roman" w:hAnsi="Times New Roman" w:cs="Times New Roman" w:eastAsia="宋体"/>
          <w:b w:val="0"/>
          <w:sz w:val="24"/>
        </w:rPr>
        <w:t>68</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5.3.3 覆盖率与区间宽度结果</w:t>
      </w:r>
      <w:r>
        <w:tab/>
      </w:r>
      <w:r>
        <w:rPr>
          <w:rFonts w:ascii="Times New Roman" w:hAnsi="Times New Roman" w:cs="Times New Roman" w:eastAsia="宋体"/>
          <w:b w:val="0"/>
          <w:sz w:val="24"/>
        </w:rPr>
        <w:t>69</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5.3.4 分布漂移与覆盖保证边界</w:t>
      </w:r>
      <w:r>
        <w:tab/>
      </w:r>
      <w:r>
        <w:rPr>
          <w:rFonts w:ascii="Times New Roman" w:hAnsi="Times New Roman" w:cs="Times New Roman" w:eastAsia="宋体"/>
          <w:b w:val="0"/>
          <w:sz w:val="24"/>
        </w:rPr>
        <w:t>71</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5.3.5 覆盖失败的可复核诊断框架</w:t>
      </w:r>
      <w:r>
        <w:tab/>
      </w:r>
      <w:r>
        <w:rPr>
          <w:rFonts w:ascii="Times New Roman" w:hAnsi="Times New Roman" w:cs="Times New Roman" w:eastAsia="宋体"/>
          <w:b w:val="0"/>
          <w:sz w:val="24"/>
        </w:rPr>
        <w:t>72</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5.4 门控分配的分层参数干预敏感度</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5.4.1 问题与动机</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5.4.2 分层参数干预方法</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5.4.3 分层敏感度结果</w:t>
      </w:r>
      <w:r>
        <w:tab/>
      </w:r>
      <w:r>
        <w:rPr>
          <w:rFonts w:ascii="Times New Roman" w:hAnsi="Times New Roman" w:cs="Times New Roman" w:eastAsia="宋体"/>
          <w:b w:val="0"/>
          <w:sz w:val="24"/>
        </w:rPr>
        <w:t>73</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5.4.4 分层参数干预结论</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5.4.5 参数敏感度到工程含义的谨慎映射</w:t>
      </w:r>
      <w:r>
        <w:tab/>
      </w:r>
      <w:r>
        <w:rPr>
          <w:rFonts w:ascii="Times New Roman" w:hAnsi="Times New Roman" w:cs="Times New Roman" w:eastAsia="宋体"/>
          <w:b w:val="0"/>
          <w:sz w:val="24"/>
        </w:rPr>
        <w:t>74</w:t>
      </w:r>
    </w:p>
    <w:p>
      <w:pPr>
        <w:pStyle w:val="9"/>
        <w:tabs>
          <w:tab w:pos="8311" w:val="right" w:leader="dot"/>
        </w:tabs>
        <w:spacing w:before="0" w:after="0" w:line="300" w:lineRule="auto"/>
        <w:ind w:left="958" w:firstLine="0"/>
        <w:jc w:val="left"/>
      </w:pPr>
      <w:r>
        <w:rPr>
          <w:rFonts w:ascii="Times New Roman" w:hAnsi="Times New Roman" w:cs="Times New Roman" w:eastAsia="宋体"/>
          <w:b w:val="0"/>
          <w:sz w:val="24"/>
        </w:rPr>
        <w:t>5.4.6 证据层级与复现优先级</w:t>
      </w:r>
      <w:r>
        <w:tab/>
      </w:r>
      <w:r>
        <w:rPr>
          <w:rFonts w:ascii="Times New Roman" w:hAnsi="Times New Roman" w:cs="Times New Roman" w:eastAsia="宋体"/>
          <w:b w:val="0"/>
          <w:sz w:val="24"/>
        </w:rPr>
        <w:t>75</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5.5 本章小结</w:t>
      </w:r>
      <w:r>
        <w:tab/>
      </w:r>
      <w:r>
        <w:rPr>
          <w:rFonts w:ascii="Times New Roman" w:hAnsi="Times New Roman" w:cs="Times New Roman" w:eastAsia="宋体"/>
          <w:b w:val="0"/>
          <w:sz w:val="24"/>
        </w:rPr>
        <w:t>75</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结  论</w:t>
      </w:r>
      <w:r>
        <w:tab/>
      </w:r>
      <w:r>
        <w:rPr>
          <w:rFonts w:ascii="Times New Roman" w:hAnsi="Times New Roman" w:cs="Times New Roman" w:eastAsia="宋体"/>
          <w:b/>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研究工作总结</w:t>
      </w:r>
      <w:r>
        <w:tab/>
      </w:r>
      <w:r>
        <w:rPr>
          <w:rFonts w:ascii="Times New Roman" w:hAnsi="Times New Roman" w:cs="Times New Roman" w:eastAsia="宋体"/>
          <w:b w:val="0"/>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主要研究结论</w:t>
      </w:r>
      <w:r>
        <w:tab/>
      </w:r>
      <w:r>
        <w:rPr>
          <w:rFonts w:ascii="Times New Roman" w:hAnsi="Times New Roman" w:cs="Times New Roman" w:eastAsia="宋体"/>
          <w:b w:val="0"/>
          <w:sz w:val="24"/>
        </w:rPr>
        <w:t>77</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工程应用意义与适用范围</w:t>
      </w:r>
      <w:r>
        <w:tab/>
      </w:r>
      <w:r>
        <w:rPr>
          <w:rFonts w:ascii="Times New Roman" w:hAnsi="Times New Roman" w:cs="Times New Roman" w:eastAsia="宋体"/>
          <w:b w:val="0"/>
          <w:sz w:val="24"/>
        </w:rPr>
        <w:t>78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研究局限</w:t>
      </w:r>
      <w:r>
        <w:tab/>
      </w:r>
      <w:r>
        <w:rPr>
          <w:rFonts w:ascii="Times New Roman" w:hAnsi="Times New Roman" w:cs="Times New Roman" w:eastAsia="宋体"/>
          <w:b w:val="0"/>
          <w:sz w:val="24"/>
        </w:rPr>
        <w:t>78</w:t>
      </w:r>
    </w:p>
    <w:p>
      <w:pPr>
        <w:pStyle w:val="20"/>
        <w:tabs>
          <w:tab w:pos="8311" w:val="right" w:leader="dot"/>
        </w:tabs>
        <w:spacing w:before="0" w:after="0" w:line="300" w:lineRule="auto"/>
        <w:ind w:left="482" w:firstLine="0"/>
        <w:jc w:val="left"/>
      </w:pPr>
      <w:r>
        <w:rPr>
          <w:rFonts w:ascii="Times New Roman" w:hAnsi="Times New Roman" w:cs="Times New Roman" w:eastAsia="宋体"/>
          <w:b w:val="0"/>
          <w:sz w:val="24"/>
        </w:rPr>
        <w:t>研究展望</w:t>
      </w:r>
      <w:r>
        <w:tab/>
      </w:r>
      <w:r>
        <w:rPr>
          <w:rFonts w:ascii="Times New Roman" w:hAnsi="Times New Roman" w:cs="Times New Roman" w:eastAsia="宋体"/>
          <w:b w:val="0"/>
          <w:sz w:val="24"/>
        </w:rPr>
        <w:t>79</w:t>
      </w:r>
    </w:p>
    <w:p>
      <w:pPr>
        <w:pStyle w:val="16"/>
        <w:tabs>
          <w:tab w:pos="8311" w:val="right" w:leader="dot"/>
        </w:tabs>
        <w:spacing w:before="0" w:after="0" w:line="300" w:lineRule="auto"/>
        <w:ind w:left="0" w:firstLine="0"/>
        <w:jc w:val="left"/>
      </w:pPr>
      <w:r>
        <w:rPr>
          <w:rFonts w:ascii="Times New Roman" w:hAnsi="Times New Roman" w:cs="Times New Roman" w:eastAsia="宋体"/>
          <w:b/>
          <w:sz w:val="24"/>
        </w:rPr>
        <w:t>参考文献</w:t>
      </w:r>
      <w:r>
        <w:tab/>
      </w:r>
      <w:r>
        <w:rPr>
          <w:rFonts w:ascii="Times New Roman" w:hAnsi="Times New Roman" w:cs="Times New Roman" w:eastAsia="宋体"/>
          <w:b/>
          <w:sz w:val="24"/>
        </w:rPr>
        <w:t>80</w:t>
      </w:r>
      <w:r>
        <w:fldChar w:fldCharType="end"/>
      </w:r>
    </w:p>
    <w:p>
      <w:pPr>
        <w:sectPr>
          <w:headerReference w:type="default" r:id="rId51"/>
          <w:headerReference w:type="even" r:id="rId52"/>
          <w:footerReference w:type="default" r:id="rId53"/>
          <w:footnotePr>
            <w:numFmt w:val="decimalEnclosedCircleChinese"/>
            <w:numRestart w:val="eachPage"/>
          </w:footnotePr>
          <w:pgSz w:w="11906" w:h="16838"/>
          <w:pgMar w:top="1440" w:right="1797" w:bottom="1440" w:left="1797" w:header="850" w:footer="992" w:gutter="0"/>
          <w:cols w:space="720" w:num="1"/>
          <w:docGrid w:type="lines" w:linePitch="326" w:charSpace="0"/>
          <w:pgNumType w:fmt="lowerRoman" w:start="1"/>
        </w:sectPr>
      </w:pPr>
    </w:p>
    <w:p>
      <w:pPr>
        <w:pStyle w:val="3"/>
        <w:spacing w:before="240" w:after="60" w:line="240" w:lineRule="auto"/>
        <w:ind w:firstLine="0"/>
        <w:jc w:val="center"/>
        <w:outlineLvl w:val="0"/>
      </w:pPr>
      <w:r>
        <w:rPr>
          <w:rFonts w:ascii="Times New Roman" w:hAnsi="Times New Roman" w:cs="Times New Roman" w:eastAsia="黑体"/>
          <w:b/>
          <w:sz w:val="36"/>
        </w:rPr>
        <w:t>第1章  绪论</w:t>
      </w:r>
    </w:p>
    <w:p>
      <w:pPr>
        <w:spacing w:before="360" w:after="240" w:line="360" w:lineRule="auto"/>
        <w:ind w:firstLine="0"/>
        <w:jc w:val="both"/>
        <w:outlineLvl w:val="1"/>
      </w:pPr>
      <w:r>
        <w:rPr>
          <w:rFonts w:ascii="Times New Roman" w:hAnsi="Times New Roman" w:cs="Times New Roman" w:eastAsia="黑体"/>
          <w:b/>
          <w:sz w:val="30"/>
        </w:rPr>
        <w:t>1.1 研究背景与意义</w:t>
      </w:r>
    </w:p>
    <w:p>
      <w:pPr>
        <w:spacing w:before="240" w:after="180" w:line="300" w:lineRule="auto"/>
        <w:ind w:firstLine="0"/>
        <w:jc w:val="both"/>
        <w:outlineLvl w:val="2"/>
      </w:pPr>
      <w:r>
        <w:rPr>
          <w:rFonts w:ascii="Times New Roman" w:hAnsi="Times New Roman" w:cs="Times New Roman" w:eastAsia="黑体"/>
          <w:b w:val="0"/>
          <w:sz w:val="28"/>
        </w:rPr>
        <w:t>1.1.1 电动汽车充电负荷增长与节点级预测需求</w:t>
      </w:r>
    </w:p>
    <w:p>
      <w:pPr>
        <w:spacing w:before="0" w:after="0" w:line="300" w:lineRule="auto"/>
        <w:ind w:firstLine="480"/>
        <w:jc w:val="both"/>
      </w:pPr>
      <w:r>
        <w:rPr>
          <w:rFonts w:ascii="Times New Roman" w:hAnsi="Times New Roman" w:cs="Times New Roman" w:eastAsia="宋体"/>
          <w:b w:val="0"/>
          <w:sz w:val="24"/>
        </w:rPr>
        <w:t>在“双碳”目标和新能源汽车产业发展政策的持续推动下，我国电动汽车保有量及配套充电基础设施规模不断扩大。截至2024年底，全国公共充电桩保有量达到357.9万台</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充电设施规模增长使电动汽车由分散的小规模用电负荷逐步转变为配电系统中不可忽视的柔性负荷资源。与此同时，用户到达时刻、停留时长、充电需求及设施使用状态具有较强的不确定性，导致充电负荷在时间和空间上呈现随机性、间歇性与不均衡性</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。因此，准确刻画并预测充电负荷，是配电容量配置、场站运行管理和有序充电调度的基础。</w:t>
      </w:r>
    </w:p>
    <w:p>
      <w:pPr>
        <w:spacing w:before="0" w:after="0" w:line="300" w:lineRule="auto"/>
        <w:ind w:firstLine="480"/>
        <w:jc w:val="both"/>
      </w:pPr>
      <w:r>
        <w:rPr>
          <w:rFonts w:ascii="Times New Roman" w:hAnsi="Times New Roman" w:cs="Times New Roman" w:eastAsia="宋体"/>
          <w:b w:val="0"/>
          <w:sz w:val="24"/>
        </w:rPr>
        <w:t>现有研究多以区域、站群或单个充电站的聚合负荷为预测对象，其结果能够支持电网侧调度和站级容量规划，但难以直接回答场站内部各充电节点在未来时段的负荷分配问题</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。对于站内运行而言，不同充电节点的活跃水平、峰值时段和负荷波动并不一致。以节点为粒度的短期预测可为多桩负荷均衡、局部容量约束识别、设备利用率分析以及有序充放电优化提供更细粒度的信息</w:t>
      </w:r>
      <w:r>
        <w:rPr>
          <w:rFonts w:ascii="Times New Roman" w:hAnsi="Times New Roman" w:cs="Times New Roman" w:eastAsia="宋体"/>
          <w:b w:val="0"/>
          <w:sz w:val="24"/>
          <w:vertAlign w:val="superscript"/>
        </w:rPr>
        <w:t>[5-6]</w:t>
      </w:r>
      <w:r>
        <w:rPr>
          <w:rFonts w:ascii="Times New Roman" w:hAnsi="Times New Roman" w:cs="Times New Roman" w:eastAsia="宋体"/>
          <w:b w:val="0"/>
          <w:sz w:val="24"/>
        </w:rPr>
        <w:t>，其空间分辨率更接近场站实际控制与运维对象。</w:t>
      </w:r>
    </w:p>
    <w:p>
      <w:pPr>
        <w:spacing w:before="0" w:after="0" w:line="300" w:lineRule="auto"/>
        <w:ind w:firstLine="480"/>
        <w:jc w:val="both"/>
      </w:pPr>
      <w:r>
        <w:rPr>
          <w:rFonts w:ascii="Times New Roman" w:hAnsi="Times New Roman" w:cs="Times New Roman" w:eastAsia="宋体"/>
          <w:b w:val="0"/>
          <w:sz w:val="24"/>
        </w:rPr>
        <w:t>节点级预测也比聚合负荷预测面临更突出的数据困难。多个用户行为在聚合后能够相互平滑，而单个节点通常包含大量零负荷时段和少量突变时段，负荷序列的稀疏性、非平稳性与节点异质性更加明显。若仅依赖单节点历史序列进行外推，模型可能难以利用同一场站内其他节点的同步变化和互补信息。因此，本文首先要解决的问题是：在明确数据物理口径的前提下刻画站内节点关系，并建立适合稀疏负荷的短期预测方法。</w:t>
      </w:r>
    </w:p>
    <w:p>
      <w:pPr>
        <w:spacing w:before="240" w:after="180" w:line="300" w:lineRule="auto"/>
        <w:ind w:firstLine="0"/>
        <w:jc w:val="both"/>
        <w:outlineLvl w:val="2"/>
      </w:pPr>
      <w:r>
        <w:rPr>
          <w:rFonts w:ascii="Times New Roman" w:hAnsi="Times New Roman" w:cs="Times New Roman" w:eastAsia="黑体"/>
          <w:b w:val="0"/>
          <w:sz w:val="28"/>
        </w:rPr>
        <w:t>1.1.2 离散会话记录与节点代理负荷预测问题</w:t>
      </w:r>
    </w:p>
    <w:p>
      <w:pPr>
        <w:spacing w:before="0" w:after="0" w:line="300" w:lineRule="auto"/>
        <w:ind w:firstLine="480"/>
        <w:jc w:val="both"/>
      </w:pPr>
      <w:r>
        <w:rPr>
          <w:rFonts w:ascii="Times New Roman" w:hAnsi="Times New Roman" w:cs="Times New Roman" w:eastAsia="宋体"/>
          <w:b w:val="0"/>
          <w:sz w:val="24"/>
        </w:rPr>
        <w:t>充电运营平台的数据通常以离散会话记录形式保存，每条记录包含充电节点标识、接入时刻、离站时刻和充电电量等字段，而不是连续采样的电表功率序列。利用这类运营数据预测时，需先将会话在统一时间网格上展开或聚合，形成可供时序模型处理的等间隔负荷序列</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。本文以15 min为时间粒度，将原始充电会话重构为“时间步—节点”二维序列，并将每个时间片内由会话记录分配得到的能量定义为节点代理负荷。</w:t>
      </w:r>
    </w:p>
    <w:p>
      <w:pPr>
        <w:spacing w:before="0" w:after="0" w:line="300" w:lineRule="auto"/>
        <w:ind w:firstLine="480"/>
        <w:jc w:val="both"/>
      </w:pPr>
      <w:r>
        <w:rPr>
          <w:rFonts w:ascii="Times New Roman" w:hAnsi="Times New Roman" w:cs="Times New Roman" w:eastAsia="宋体"/>
          <w:b w:val="0"/>
          <w:sz w:val="24"/>
        </w:rPr>
        <w:t>节点代理负荷与在线电表实测功率具有不同的物理口径。前者是依据会话起止时间和充电电量重构的时间片能量，用于描述节点在离散时间网格上的充电需求；后者则是计量装置对实际功率过程的连续或高频采样。受会话信息粒度、能量分配假设和设备运行状态等因素影响，二者不能直接等同。因此，本文的预测对象始终限定为会话记录重构得到的节点代理负荷，研究结论不外推为对在线电表实测功率的预测结论。</w:t>
      </w:r>
    </w:p>
    <w:p>
      <w:pPr>
        <w:spacing w:before="0" w:after="0" w:line="300" w:lineRule="auto"/>
        <w:ind w:firstLine="480"/>
        <w:jc w:val="both"/>
      </w:pPr>
      <w:r>
        <w:rPr>
          <w:rFonts w:ascii="Times New Roman" w:hAnsi="Times New Roman" w:cs="Times New Roman" w:eastAsia="宋体"/>
          <w:b w:val="0"/>
          <w:sz w:val="24"/>
        </w:rPr>
        <w:t>会话重构既解决了模型输入的时间对齐问题，也限定了后续分析的统计边界。节点在无充电会话时对应大量零值，常用百分比误差指标可能因分母接近零而失真；不同节点的会话数量、活跃月份和负荷水平也存在差异。因此，数据重构、节点筛选、评价指标选择与模型设计需要在统一数据口径下协同确定。</w:t>
      </w:r>
    </w:p>
    <w:p>
      <w:pPr>
        <w:spacing w:before="240" w:after="180" w:line="300" w:lineRule="auto"/>
        <w:ind w:firstLine="0"/>
        <w:jc w:val="both"/>
        <w:outlineLvl w:val="2"/>
      </w:pPr>
      <w:r>
        <w:rPr>
          <w:rFonts w:ascii="Times New Roman" w:hAnsi="Times New Roman" w:cs="Times New Roman" w:eastAsia="黑体"/>
          <w:b w:val="0"/>
          <w:sz w:val="28"/>
        </w:rPr>
        <w:t>1.1.3 站内节点关系建模与事件窗口预测意义</w:t>
      </w:r>
    </w:p>
    <w:p>
      <w:pPr>
        <w:spacing w:before="0" w:after="0" w:line="300" w:lineRule="auto"/>
        <w:ind w:firstLine="480"/>
        <w:jc w:val="both"/>
      </w:pPr>
      <w:r>
        <w:rPr>
          <w:rFonts w:ascii="Times New Roman" w:hAnsi="Times New Roman" w:cs="Times New Roman" w:eastAsia="宋体"/>
          <w:b w:val="0"/>
          <w:sz w:val="24"/>
        </w:rPr>
        <w:t>同一场站内的充电节点处于共同的用户到达过程和运行环境中，其负荷变化并非完全相互独立。节点之间可能表现出长期负荷同步、充电行为共同出现以及日内负荷轮廓相似等统计联系</w:t>
      </w:r>
      <w:r>
        <w:rPr>
          <w:rFonts w:ascii="Times New Roman" w:hAnsi="Times New Roman" w:cs="Times New Roman" w:eastAsia="宋体"/>
          <w:b w:val="0"/>
          <w:sz w:val="24"/>
          <w:vertAlign w:val="superscript"/>
        </w:rPr>
        <w:t>[10-11]</w:t>
      </w:r>
      <w:r>
        <w:rPr>
          <w:rFonts w:ascii="Times New Roman" w:hAnsi="Times New Roman" w:cs="Times New Roman" w:eastAsia="宋体"/>
          <w:b w:val="0"/>
          <w:sz w:val="24"/>
        </w:rPr>
        <w:t>。图神经网络能够将节点表示与关系结构结合，通过邻居信息传播补充单节点时间序列中缺失的横向信息，因而已被用于充电站群和多节点负荷预测</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。需要强调的是，本文研究的图边由训练期数据统计得到，表示站内节点间的统计交互，而不是配电网电气连接或充电设施物理拓扑。</w:t>
      </w:r>
    </w:p>
    <w:p>
      <w:pPr>
        <w:spacing w:before="0" w:after="0" w:line="300" w:lineRule="auto"/>
        <w:ind w:firstLine="480"/>
        <w:jc w:val="both"/>
      </w:pPr>
      <w:r>
        <w:rPr>
          <w:rFonts w:ascii="Times New Roman" w:hAnsi="Times New Roman" w:cs="Times New Roman" w:eastAsia="宋体"/>
          <w:b w:val="0"/>
          <w:sz w:val="24"/>
        </w:rPr>
        <w:t>仅建立图结构仍不足以回答多类关系如何参与预测。负荷耦合、行为共现和轮廓相似反映的是不同层面的关联，若将其简单合并为单一邻接矩阵，各类关系的语义和作用路径将难以区分；若采用固定等权融合，又可能忽略不同传播层和不同节点对关系信息的需求差异。因此，模型需要在多关系消息传递基础上引入可学习的关系选择和节点信息保留机制，并通过消融和参数干预判断其是否真正依赖这些结构，不能仅凭门控权重可视化作出解释。</w:t>
      </w:r>
    </w:p>
    <w:p>
      <w:pPr>
        <w:spacing w:before="0" w:after="0" w:line="300" w:lineRule="auto"/>
        <w:ind w:firstLine="480"/>
        <w:jc w:val="both"/>
      </w:pPr>
      <w:r>
        <w:rPr>
          <w:rFonts w:ascii="Times New Roman" w:hAnsi="Times New Roman" w:cs="Times New Roman" w:eastAsia="宋体"/>
          <w:b w:val="0"/>
          <w:sz w:val="24"/>
        </w:rPr>
        <w:t>除周期性变化外，充电节点还会出现由接入、离站、活跃会话变化或负荷跳变构成的稀疏行为变化窗口，本文将其统称为事件窗口，并在第2章区分目标侧标签事件与冻结规则触发。此类窗口不同于可提前获知的节假日或特殊日</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只能依据运行过程中可见的行为信号识别。由于少量高误差样本容易被大量稳定样本稀释，仅报告全局平均误差难以揭示其误差水平和总体贡献。基于这一特点，本文同时考察关系结构的功能依赖、误差来源及事件窗口的不确定性边界，形成“预测方法—机制诊断—预测支持探索”的研究主线。</w:t>
      </w:r>
    </w:p>
    <w:p>
      <w:pPr>
        <w:spacing w:before="360" w:after="240" w:line="360" w:lineRule="auto"/>
        <w:ind w:firstLine="0"/>
        <w:jc w:val="both"/>
        <w:outlineLvl w:val="1"/>
      </w:pPr>
      <w:r>
        <w:rPr>
          <w:rFonts w:ascii="Times New Roman" w:hAnsi="Times New Roman" w:cs="Times New Roman" w:eastAsia="黑体"/>
          <w:b/>
          <w:sz w:val="30"/>
        </w:rPr>
        <w:t>1.2 国内外研究现状</w:t>
      </w:r>
    </w:p>
    <w:p>
      <w:pPr>
        <w:spacing w:before="240" w:after="180" w:line="300" w:lineRule="auto"/>
        <w:ind w:firstLine="0"/>
        <w:jc w:val="both"/>
        <w:outlineLvl w:val="2"/>
      </w:pPr>
      <w:r>
        <w:rPr>
          <w:rFonts w:ascii="Times New Roman" w:hAnsi="Times New Roman" w:cs="Times New Roman" w:eastAsia="黑体"/>
          <w:b w:val="0"/>
          <w:sz w:val="28"/>
        </w:rPr>
        <w:t>1.2.1 电动汽车充电负荷时间序列预测</w:t>
      </w:r>
    </w:p>
    <w:p>
      <w:pPr>
        <w:spacing w:before="0" w:after="0" w:line="300" w:lineRule="auto"/>
        <w:ind w:firstLine="480"/>
        <w:jc w:val="both"/>
      </w:pPr>
      <w:r>
        <w:rPr>
          <w:rFonts w:ascii="Times New Roman" w:hAnsi="Times New Roman" w:cs="Times New Roman" w:eastAsia="宋体"/>
          <w:b w:val="0"/>
          <w:sz w:val="24"/>
        </w:rPr>
        <w:t>电动汽车充电负荷预测已形成从统计方法、机器学习到深度学习和组合预测的方法谱系。相关综述总结了数据来源、影响因素、预测尺度和模型类型</w:t>
      </w:r>
      <w:r>
        <w:rPr>
          <w:rFonts w:ascii="Times New Roman" w:hAnsi="Times New Roman" w:cs="Times New Roman" w:eastAsia="宋体"/>
          <w:b w:val="0"/>
          <w:sz w:val="24"/>
          <w:vertAlign w:val="superscript"/>
        </w:rPr>
        <w:t>[2-4,18-19]</w:t>
      </w:r>
      <w:r>
        <w:rPr>
          <w:rFonts w:ascii="Times New Roman" w:hAnsi="Times New Roman" w:cs="Times New Roman" w:eastAsia="宋体"/>
          <w:b w:val="0"/>
          <w:sz w:val="24"/>
        </w:rPr>
        <w:t>。经典统计方法以ARIMA及其扩展模型为代表，具有结构清晰、参数含义明确等优点，适用于趋势和周期相对稳定的序列，但其线性与平稳性假设难以充分描述用户行为驱动的非线性波动。以LightGBM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和XGBoost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为代表的集成学习方法能够利用多维人工特征刻画非线性映射，在中小规模数据上具有训练效率优势，但对长时间依赖的利用通常依赖显式滞后特征和特征工程。</w:t>
      </w:r>
    </w:p>
    <w:p>
      <w:pPr>
        <w:spacing w:before="0" w:after="0" w:line="300" w:lineRule="auto"/>
        <w:ind w:firstLine="480"/>
        <w:jc w:val="both"/>
      </w:pPr>
      <w:r>
        <w:rPr>
          <w:rFonts w:ascii="Times New Roman" w:hAnsi="Times New Roman" w:cs="Times New Roman" w:eastAsia="宋体"/>
          <w:b w:val="0"/>
          <w:sz w:val="24"/>
        </w:rPr>
        <w:t>随着深度学习在时序预测中的应用，LSTM</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、时间卷积网络</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和Transformer</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成为充电负荷建模的重要基础。相关研究通过双向循环网络、卷积—循环组合、注意力机制和Transformer结构增强时序特征提取能力</w:t>
      </w:r>
      <w:r>
        <w:rPr>
          <w:rFonts w:ascii="Times New Roman" w:hAnsi="Times New Roman" w:cs="Times New Roman" w:eastAsia="宋体"/>
          <w:b w:val="0"/>
          <w:sz w:val="24"/>
          <w:vertAlign w:val="superscript"/>
        </w:rPr>
        <w:t>[7,26-30]</w:t>
      </w:r>
      <w:r>
        <w:rPr>
          <w:rFonts w:ascii="Times New Roman" w:hAnsi="Times New Roman" w:cs="Times New Roman" w:eastAsia="宋体"/>
          <w:b w:val="0"/>
          <w:sz w:val="24"/>
        </w:rPr>
        <w:t>；另一些工作将分时电价、气象条件、用户意愿和多源交互信息纳入模型输入，以提高对外部扰动的响应能力</w:t>
      </w:r>
      <w:r>
        <w:rPr>
          <w:rFonts w:ascii="Times New Roman" w:hAnsi="Times New Roman" w:cs="Times New Roman" w:eastAsia="宋体"/>
          <w:b w:val="0"/>
          <w:sz w:val="24"/>
          <w:vertAlign w:val="superscript"/>
        </w:rPr>
        <w:t>[5,11,29,31]</w:t>
      </w:r>
      <w:r>
        <w:rPr>
          <w:rFonts w:ascii="Times New Roman" w:hAnsi="Times New Roman" w:cs="Times New Roman" w:eastAsia="宋体"/>
          <w:b w:val="0"/>
          <w:sz w:val="24"/>
        </w:rPr>
        <w:t>。针对负荷序列的非平稳性，分解—预测—重构和误差修正也被广泛用于降低不同频段或不同状态下的预测误差</w:t>
      </w:r>
      <w:r>
        <w:rPr>
          <w:rFonts w:ascii="Times New Roman" w:hAnsi="Times New Roman" w:cs="Times New Roman" w:eastAsia="宋体"/>
          <w:b w:val="0"/>
          <w:sz w:val="24"/>
          <w:vertAlign w:val="superscript"/>
        </w:rPr>
        <w:t>[32-35]</w:t>
      </w:r>
      <w:r>
        <w:rPr>
          <w:rFonts w:ascii="Times New Roman" w:hAnsi="Times New Roman" w:cs="Times New Roman" w:eastAsia="宋体"/>
          <w:b w:val="0"/>
          <w:sz w:val="24"/>
        </w:rPr>
        <w:t>。此外，区间预测开始用于表达点预测之外的不确定性</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，表明评价目标正由单一平均误差逐步扩展至风险和可靠性刻画。</w:t>
      </w:r>
    </w:p>
    <w:p>
      <w:pPr>
        <w:spacing w:before="0" w:after="0" w:line="300" w:lineRule="auto"/>
        <w:ind w:firstLine="480"/>
        <w:jc w:val="both"/>
      </w:pPr>
      <w:r>
        <w:rPr>
          <w:rFonts w:ascii="Times New Roman" w:hAnsi="Times New Roman" w:cs="Times New Roman" w:eastAsia="宋体"/>
          <w:b w:val="0"/>
          <w:sz w:val="24"/>
        </w:rPr>
        <w:t>近年来，中文研究还从多时间尺度深度学习、规模化行为建模、半监督学习、场景聚类和在线辨识等路径细化充电负荷预测</w:t>
      </w:r>
      <w:r>
        <w:rPr>
          <w:rFonts w:ascii="Times New Roman" w:hAnsi="Times New Roman" w:cs="Times New Roman" w:eastAsia="宋体"/>
          <w:b w:val="0"/>
          <w:sz w:val="24"/>
          <w:vertAlign w:val="superscript"/>
        </w:rPr>
        <w:t>[37-41]</w:t>
      </w:r>
      <w:r>
        <w:rPr>
          <w:rFonts w:ascii="Times New Roman" w:hAnsi="Times New Roman" w:cs="Times New Roman" w:eastAsia="宋体"/>
          <w:b w:val="0"/>
          <w:sz w:val="24"/>
        </w:rPr>
        <w:t>。从行为变量的利用看，已有工作将实时出行需求、引导策略、排队与SOC、路网拥堵和用户决策更新纳入区域或站群预测</w:t>
      </w:r>
      <w:r>
        <w:rPr>
          <w:rFonts w:ascii="Times New Roman" w:hAnsi="Times New Roman" w:cs="Times New Roman" w:eastAsia="宋体"/>
          <w:b w:val="0"/>
          <w:sz w:val="24"/>
          <w:vertAlign w:val="superscript"/>
        </w:rPr>
        <w:t>[42-46]</w:t>
      </w:r>
      <w:r>
        <w:rPr>
          <w:rFonts w:ascii="Times New Roman" w:hAnsi="Times New Roman" w:cs="Times New Roman" w:eastAsia="宋体"/>
          <w:b w:val="0"/>
          <w:sz w:val="24"/>
        </w:rPr>
        <w:t>。这些工作扩展了不同时间尺度与运行状态下的预测思路，但其图节点多数并非同一场站内部的充电节点；相关行为信息的可见性、时效性也与本文站内规则触发并不相同。</w:t>
      </w:r>
    </w:p>
    <w:p>
      <w:pPr>
        <w:spacing w:before="0" w:after="0" w:line="300" w:lineRule="auto"/>
        <w:ind w:firstLine="480"/>
        <w:jc w:val="both"/>
      </w:pPr>
      <w:r>
        <w:rPr>
          <w:rFonts w:ascii="Times New Roman" w:hAnsi="Times New Roman" w:cs="Times New Roman" w:eastAsia="宋体"/>
          <w:b w:val="0"/>
          <w:sz w:val="24"/>
        </w:rPr>
        <w:t>总体而言，现有时间序列方法为充电负荷预测提供了较成熟的建模工具，但研究对象仍以站级或区域聚合序列为主。对站内单个充电节点而言，负荷零值比例更高、节点间差异更强，单序列模型难以直接利用其他节点提供的横向信息。同时，许多工作主要报告全局预测指标，对模型收益来源及高误差窗口的表现讨论有限。这些特点促使研究进一步从单序列预测转向多节点关系建模与分层评价。</w:t>
      </w:r>
    </w:p>
    <w:p>
      <w:pPr>
        <w:spacing w:before="240" w:after="180" w:line="300" w:lineRule="auto"/>
        <w:ind w:firstLine="0"/>
        <w:jc w:val="both"/>
        <w:outlineLvl w:val="2"/>
      </w:pPr>
      <w:r>
        <w:rPr>
          <w:rFonts w:ascii="Times New Roman" w:hAnsi="Times New Roman" w:cs="Times New Roman" w:eastAsia="黑体"/>
          <w:b w:val="0"/>
          <w:sz w:val="28"/>
        </w:rPr>
        <w:t>1.2.2 多节点负荷与时空图预测</w:t>
      </w:r>
    </w:p>
    <w:p>
      <w:pPr>
        <w:spacing w:before="0" w:after="0" w:line="300" w:lineRule="auto"/>
        <w:ind w:firstLine="480"/>
        <w:jc w:val="both"/>
      </w:pPr>
      <w:r>
        <w:rPr>
          <w:rFonts w:ascii="Times New Roman" w:hAnsi="Times New Roman" w:cs="Times New Roman" w:eastAsia="宋体"/>
          <w:b w:val="0"/>
          <w:sz w:val="24"/>
        </w:rPr>
        <w:t>图神经网络为多节点时序预测提供了统一的关系建模框架。GCN</w:t>
      </w:r>
      <w:r>
        <w:rPr>
          <w:rFonts w:ascii="Times New Roman" w:hAnsi="Times New Roman" w:cs="Times New Roman" w:eastAsia="宋体"/>
          <w:b w:val="0"/>
          <w:sz w:val="24"/>
          <w:vertAlign w:val="superscript"/>
        </w:rPr>
        <w:t>[47]</w:t>
      </w:r>
      <w:r>
        <w:rPr>
          <w:rFonts w:ascii="Times New Roman" w:hAnsi="Times New Roman" w:cs="Times New Roman" w:eastAsia="宋体"/>
          <w:b w:val="0"/>
          <w:sz w:val="24"/>
        </w:rPr>
        <w:t>通过邻接矩阵上的特征传播聚合邻居信息，GAT</w:t>
      </w:r>
      <w:r>
        <w:rPr>
          <w:rFonts w:ascii="Times New Roman" w:hAnsi="Times New Roman" w:cs="Times New Roman" w:eastAsia="宋体"/>
          <w:b w:val="0"/>
          <w:sz w:val="24"/>
          <w:vertAlign w:val="superscript"/>
        </w:rPr>
        <w:t>[48]</w:t>
      </w:r>
      <w:r>
        <w:rPr>
          <w:rFonts w:ascii="Times New Roman" w:hAnsi="Times New Roman" w:cs="Times New Roman" w:eastAsia="宋体"/>
          <w:b w:val="0"/>
          <w:sz w:val="24"/>
        </w:rPr>
        <w:t>进一步以注意力机制学习邻居贡献，RGCN</w:t>
      </w:r>
      <w:r>
        <w:rPr>
          <w:rFonts w:ascii="Times New Roman" w:hAnsi="Times New Roman" w:cs="Times New Roman" w:eastAsia="宋体"/>
          <w:b w:val="0"/>
          <w:sz w:val="24"/>
          <w:vertAlign w:val="superscript"/>
        </w:rPr>
        <w:t>[49]</w:t>
      </w:r>
      <w:r>
        <w:rPr>
          <w:rFonts w:ascii="Times New Roman" w:hAnsi="Times New Roman" w:cs="Times New Roman" w:eastAsia="宋体"/>
          <w:b w:val="0"/>
          <w:sz w:val="24"/>
        </w:rPr>
        <w:t>则将消息传递扩展至多关系场景。在时空预测领域，STGCN</w:t>
      </w:r>
      <w:r>
        <w:rPr>
          <w:rFonts w:ascii="Times New Roman" w:hAnsi="Times New Roman" w:cs="Times New Roman" w:eastAsia="宋体"/>
          <w:b w:val="0"/>
          <w:sz w:val="24"/>
          <w:vertAlign w:val="superscript"/>
        </w:rPr>
        <w:t>[50]</w:t>
      </w:r>
      <w:r>
        <w:rPr>
          <w:rFonts w:ascii="Times New Roman" w:hAnsi="Times New Roman" w:cs="Times New Roman" w:eastAsia="宋体"/>
          <w:b w:val="0"/>
          <w:sz w:val="24"/>
        </w:rPr>
        <w:t>将图卷积与时间卷积结合，Graph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通过自适应邻接和扩张卷积联合学习空间与时间依赖，AGCRN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使用节点自适应参数和可学习图结构刻画节点异质性。这些方法最初主要用于交通流预测</w:t>
      </w:r>
      <w:r>
        <w:rPr>
          <w:rFonts w:ascii="Times New Roman" w:hAnsi="Times New Roman" w:cs="Times New Roman" w:eastAsia="宋体"/>
          <w:b w:val="0"/>
          <w:sz w:val="24"/>
          <w:vertAlign w:val="superscript"/>
        </w:rPr>
        <w:t>[53-55]</w:t>
      </w:r>
      <w:r>
        <w:rPr>
          <w:rFonts w:ascii="Times New Roman" w:hAnsi="Times New Roman" w:cs="Times New Roman" w:eastAsia="宋体"/>
          <w:b w:val="0"/>
          <w:sz w:val="24"/>
        </w:rPr>
        <w:t>，随后被引入居民负荷、区域负荷和多节点短期负荷预测</w:t>
      </w:r>
      <w:r>
        <w:rPr>
          <w:rFonts w:ascii="Times New Roman" w:hAnsi="Times New Roman" w:cs="Times New Roman" w:eastAsia="宋体"/>
          <w:b w:val="0"/>
          <w:sz w:val="24"/>
          <w:vertAlign w:val="superscript"/>
        </w:rPr>
        <w:t>[56-63]</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在电动汽车充电场景中，图模型主要用于描述充电站之间或区域之间的空间联系。国内研究已探索动态自适应图、差异化耦合关系和GCN—循环网络组合等方案</w:t>
      </w:r>
      <w:r>
        <w:rPr>
          <w:rFonts w:ascii="Times New Roman" w:hAnsi="Times New Roman" w:cs="Times New Roman" w:eastAsia="宋体"/>
          <w:b w:val="0"/>
          <w:sz w:val="24"/>
          <w:vertAlign w:val="superscript"/>
        </w:rPr>
        <w:t>[10,12-13]</w:t>
      </w:r>
      <w:r>
        <w:rPr>
          <w:rFonts w:ascii="Times New Roman" w:hAnsi="Times New Roman" w:cs="Times New Roman" w:eastAsia="宋体"/>
          <w:b w:val="0"/>
          <w:sz w:val="24"/>
        </w:rPr>
        <w:t>；学位论文则涉及充电站群多图融合、图注意力预测、负荷时空预测以及图结构与有序充放电联合应用</w:t>
      </w:r>
      <w:r>
        <w:rPr>
          <w:rFonts w:ascii="Times New Roman" w:hAnsi="Times New Roman" w:cs="Times New Roman" w:eastAsia="宋体"/>
          <w:b w:val="0"/>
          <w:sz w:val="24"/>
          <w:vertAlign w:val="superscript"/>
        </w:rPr>
        <w:t>[6,8,64-66]</w:t>
      </w:r>
      <w:r>
        <w:rPr>
          <w:rFonts w:ascii="Times New Roman" w:hAnsi="Times New Roman" w:cs="Times New Roman" w:eastAsia="宋体"/>
          <w:b w:val="0"/>
          <w:sz w:val="24"/>
        </w:rPr>
        <w:t>。近年的国际研究进一步采用多图、图注意力或多关系结构，将地理邻近、交通联系、时序相关和自适应关系纳入预测模型</w:t>
      </w:r>
      <w:r>
        <w:rPr>
          <w:rFonts w:ascii="Times New Roman" w:hAnsi="Times New Roman" w:cs="Times New Roman" w:eastAsia="宋体"/>
          <w:b w:val="0"/>
          <w:sz w:val="24"/>
          <w:vertAlign w:val="superscript"/>
        </w:rPr>
        <w:t>[67-72]</w:t>
      </w:r>
      <w:r>
        <w:rPr>
          <w:rFonts w:ascii="Times New Roman" w:hAnsi="Times New Roman" w:cs="Times New Roman" w:eastAsia="宋体"/>
          <w:b w:val="0"/>
          <w:sz w:val="24"/>
        </w:rPr>
        <w:t>。因此，本文不把“使用多关系图”本身作为独立的新颖性主张。</w:t>
      </w:r>
    </w:p>
    <w:p>
      <w:pPr>
        <w:spacing w:before="0" w:after="0" w:line="300" w:lineRule="auto"/>
        <w:ind w:firstLine="480"/>
        <w:jc w:val="both"/>
      </w:pPr>
      <w:r>
        <w:rPr>
          <w:rFonts w:ascii="Times New Roman" w:hAnsi="Times New Roman" w:cs="Times New Roman" w:eastAsia="宋体"/>
          <w:b w:val="0"/>
          <w:sz w:val="24"/>
        </w:rPr>
        <w:t>从研究粒度看，上述方法大多以充电站或区域为图节点，关系设计服务于站间空间传播；在本次检索及全文对标范围内，直接以单个场站内部充电节点为图节点，并同时按照负荷耦合、行为共现和日内轮廓构造可区分统计关系的研究相对有限。另一方面，已有多图方法多关注预测性能，较少进一步检验不同关系在不同传播层中的分配是否具有稳定的功能依赖。本文据此将研究重点收敛为“站内节点粒度的关系语义设计、双层门控融合及其机制诊断”，而不是泛化地宣称多图方法本身具有首创性。</w:t>
      </w:r>
    </w:p>
    <w:p>
      <w:pPr>
        <w:spacing w:before="240" w:after="180" w:line="300" w:lineRule="auto"/>
        <w:ind w:firstLine="0"/>
        <w:jc w:val="both"/>
        <w:outlineLvl w:val="2"/>
      </w:pPr>
      <w:r>
        <w:rPr>
          <w:rFonts w:ascii="Times New Roman" w:hAnsi="Times New Roman" w:cs="Times New Roman" w:eastAsia="黑体"/>
          <w:b w:val="0"/>
          <w:sz w:val="28"/>
        </w:rPr>
        <w:t>1.2.3 充电行为特征与事件建模</w:t>
      </w:r>
    </w:p>
    <w:p>
      <w:pPr>
        <w:spacing w:before="0" w:after="0" w:line="300" w:lineRule="auto"/>
        <w:ind w:firstLine="480"/>
        <w:jc w:val="both"/>
      </w:pPr>
      <w:r>
        <w:rPr>
          <w:rFonts w:ascii="Times New Roman" w:hAnsi="Times New Roman" w:cs="Times New Roman" w:eastAsia="宋体"/>
          <w:b w:val="0"/>
          <w:sz w:val="24"/>
        </w:rPr>
        <w:t>用户接入、离站、停留和充电需求是形成充电负荷波动的直接行为来源。现有研究通常将相关信息作为一般输入特征，与历史负荷、日期、气象和价格等变量共同送入时序模型</w:t>
      </w:r>
      <w:r>
        <w:rPr>
          <w:rFonts w:ascii="Times New Roman" w:hAnsi="Times New Roman" w:cs="Times New Roman" w:eastAsia="宋体"/>
          <w:b w:val="0"/>
          <w:sz w:val="24"/>
          <w:vertAlign w:val="superscript"/>
        </w:rPr>
        <w:t>[5,7,9,11,26,31]</w:t>
      </w:r>
      <w:r>
        <w:rPr>
          <w:rFonts w:ascii="Times New Roman" w:hAnsi="Times New Roman" w:cs="Times New Roman" w:eastAsia="宋体"/>
          <w:b w:val="0"/>
          <w:sz w:val="24"/>
        </w:rPr>
        <w:t>。对于可提前获知的特殊日期，已有研究通过节假日增长率修正、春节影响期划分、日期映射和特殊事件组合模型等方式改善预测</w:t>
      </w:r>
      <w:r>
        <w:rPr>
          <w:rFonts w:ascii="Times New Roman" w:hAnsi="Times New Roman" w:cs="Times New Roman" w:eastAsia="宋体"/>
          <w:b w:val="0"/>
          <w:sz w:val="24"/>
          <w:vertAlign w:val="superscript"/>
        </w:rPr>
        <w:t>[14-17]</w:t>
      </w:r>
      <w:r>
        <w:rPr>
          <w:rFonts w:ascii="Times New Roman" w:hAnsi="Times New Roman" w:cs="Times New Roman" w:eastAsia="宋体"/>
          <w:b w:val="0"/>
          <w:sz w:val="24"/>
        </w:rPr>
        <w:t>。这类方法能够利用已知日历信息，但其研究对象与运行过程中临时出现的接入、离站和负荷跳变并不相同。</w:t>
      </w:r>
    </w:p>
    <w:p>
      <w:pPr>
        <w:spacing w:before="0" w:after="0" w:line="300" w:lineRule="auto"/>
        <w:ind w:firstLine="480"/>
        <w:jc w:val="both"/>
      </w:pPr>
      <w:r>
        <w:rPr>
          <w:rFonts w:ascii="Times New Roman" w:hAnsi="Times New Roman" w:cs="Times New Roman" w:eastAsia="宋体"/>
          <w:b w:val="0"/>
          <w:sz w:val="24"/>
        </w:rPr>
        <w:t>在非日历事件方面，已有研究开始关注事件数据对极端预测误差的影响</w:t>
      </w:r>
      <w:r>
        <w:rPr>
          <w:rFonts w:ascii="Times New Roman" w:hAnsi="Times New Roman" w:cs="Times New Roman" w:eastAsia="宋体"/>
          <w:b w:val="0"/>
          <w:sz w:val="24"/>
          <w:vertAlign w:val="superscript"/>
        </w:rPr>
        <w:t>[73]</w:t>
      </w:r>
      <w:r>
        <w:rPr>
          <w:rFonts w:ascii="Times New Roman" w:hAnsi="Times New Roman" w:cs="Times New Roman" w:eastAsia="宋体"/>
          <w:b w:val="0"/>
          <w:sz w:val="24"/>
        </w:rPr>
        <w:t>，也出现了“基线预测—风险时段识别—选择性残差修正”等事件感知路径</w:t>
      </w:r>
      <w:r>
        <w:rPr>
          <w:rFonts w:ascii="Times New Roman" w:hAnsi="Times New Roman" w:cs="Times New Roman" w:eastAsia="宋体"/>
          <w:b w:val="0"/>
          <w:sz w:val="24"/>
          <w:vertAlign w:val="superscript"/>
        </w:rPr>
        <w:t>[74-75]</w:t>
      </w:r>
      <w:r>
        <w:rPr>
          <w:rFonts w:ascii="Times New Roman" w:hAnsi="Times New Roman" w:cs="Times New Roman" w:eastAsia="宋体"/>
          <w:b w:val="0"/>
          <w:sz w:val="24"/>
        </w:rPr>
        <w:t>。这些工作为行为变化时段的专门处理提供了可借鉴的路径，但不同研究对事件定义、可见信息范围、阈值确定和修正路径的处理差异较大。如果事件判定使用预测时刻之后的信息，或在测试集上重新选择阈值，可能造成信息泄漏；如果事件样本与稳定样本混合评价，又难以判断修正收益究竟来自何种样本。</w:t>
      </w:r>
    </w:p>
    <w:p>
      <w:pPr>
        <w:spacing w:before="0" w:after="0" w:line="300" w:lineRule="auto"/>
        <w:ind w:firstLine="480"/>
        <w:jc w:val="both"/>
      </w:pPr>
      <w:r>
        <w:rPr>
          <w:rFonts w:ascii="Times New Roman" w:hAnsi="Times New Roman" w:cs="Times New Roman" w:eastAsia="宋体"/>
          <w:b w:val="0"/>
          <w:sz w:val="24"/>
        </w:rPr>
        <w:t>在所检文献范围内，将充电行为突变窗口同时作为规则识别对象、独立评价单元和误差溯源单元的研究仍较少。尤其是，目标侧标签事件与预测时可见的规则触发并非同一概念，两者之间的错位会限制事件路由和分层区间预测的效果。因此，本文不预设事件机制必然改善点预测，而是通过冻结规则、双口径统计和四格诊断明确可见信息边界，并评估事件窗口中的预测区间表现。</w:t>
      </w:r>
    </w:p>
    <w:p>
      <w:pPr>
        <w:spacing w:before="240" w:after="180" w:line="300" w:lineRule="auto"/>
        <w:ind w:firstLine="0"/>
        <w:jc w:val="both"/>
        <w:outlineLvl w:val="2"/>
      </w:pPr>
      <w:r>
        <w:rPr>
          <w:rFonts w:ascii="Times New Roman" w:hAnsi="Times New Roman" w:cs="Times New Roman" w:eastAsia="黑体"/>
          <w:b w:val="0"/>
          <w:sz w:val="28"/>
        </w:rPr>
        <w:t>1.2.4 模型可解释性与机制诊断</w:t>
      </w:r>
    </w:p>
    <w:p>
      <w:pPr>
        <w:spacing w:before="0" w:after="0" w:line="300" w:lineRule="auto"/>
        <w:ind w:firstLine="480"/>
        <w:jc w:val="both"/>
      </w:pPr>
      <w:r>
        <w:rPr>
          <w:rFonts w:ascii="Times New Roman" w:hAnsi="Times New Roman" w:cs="Times New Roman" w:eastAsia="宋体"/>
          <w:b w:val="0"/>
          <w:sz w:val="24"/>
        </w:rPr>
        <w:t>负荷预测模型的解释研究主要包括外部归因和内部信号分析两类路径。外部归因通常利用SHAP</w:t>
      </w:r>
      <w:r>
        <w:rPr>
          <w:rFonts w:ascii="Times New Roman" w:hAnsi="Times New Roman" w:cs="Times New Roman" w:eastAsia="宋体"/>
          <w:b w:val="0"/>
          <w:sz w:val="24"/>
          <w:vertAlign w:val="superscript"/>
        </w:rPr>
        <w:t>[76]</w:t>
      </w:r>
      <w:r>
        <w:rPr>
          <w:rFonts w:ascii="Times New Roman" w:hAnsi="Times New Roman" w:cs="Times New Roman" w:eastAsia="宋体"/>
          <w:b w:val="0"/>
          <w:sz w:val="24"/>
        </w:rPr>
        <w:t>等方法衡量输入特征对预测结果的贡献；内部分析则通过注意力权重、门控值或隐状态可视化理解模型的表示过程</w:t>
      </w:r>
      <w:r>
        <w:rPr>
          <w:rFonts w:ascii="Times New Roman" w:hAnsi="Times New Roman" w:cs="Times New Roman" w:eastAsia="宋体"/>
          <w:b w:val="0"/>
          <w:sz w:val="24"/>
          <w:vertAlign w:val="superscript"/>
        </w:rPr>
        <w:t>[62,77]</w:t>
      </w:r>
      <w:r>
        <w:rPr>
          <w:rFonts w:ascii="Times New Roman" w:hAnsi="Times New Roman" w:cs="Times New Roman" w:eastAsia="宋体"/>
          <w:b w:val="0"/>
          <w:sz w:val="24"/>
        </w:rPr>
        <w:t>。这类方法能够提供直观线索，但观察到较大的权重并不必然意味着对应组件具有决定性功能。注意力权重与模型实际决策路径之间可能存在偏离</w:t>
      </w:r>
      <w:r>
        <w:rPr>
          <w:rFonts w:ascii="Times New Roman" w:hAnsi="Times New Roman" w:cs="Times New Roman" w:eastAsia="宋体"/>
          <w:b w:val="0"/>
          <w:sz w:val="24"/>
          <w:vertAlign w:val="superscript"/>
        </w:rPr>
        <w:t>[78]</w:t>
      </w:r>
      <w:r>
        <w:rPr>
          <w:rFonts w:ascii="Times New Roman" w:hAnsi="Times New Roman" w:cs="Times New Roman" w:eastAsia="宋体"/>
          <w:b w:val="0"/>
          <w:sz w:val="24"/>
        </w:rPr>
        <w:t>，能源预测领域的可解释性综述也指出，解释结果仍需要进一步的稳定性和有效性验证</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为检验解释结论，相关研究引入了参数干预、知识蒸馏和分层误差分析。参数干预通过替换或屏蔽模型内部组件，比较干预前后的输出变化，从功能角度补充观察式解释</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；知识蒸馏通过教师输出约束学生模型，为检验结构知识能否由更简单模型吸收提供了检验手段</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；事件列联与价值加权误差分解则表明，将总体误差按条件拆分有助于识别不同样本的贡献</w:t>
      </w:r>
      <w:r>
        <w:rPr>
          <w:rFonts w:ascii="Times New Roman" w:hAnsi="Times New Roman" w:cs="Times New Roman" w:eastAsia="宋体"/>
          <w:b w:val="0"/>
          <w:sz w:val="24"/>
          <w:vertAlign w:val="superscript"/>
        </w:rPr>
        <w:t>[82]</w:t>
      </w:r>
      <w:r>
        <w:rPr>
          <w:rFonts w:ascii="Times New Roman" w:hAnsi="Times New Roman" w:cs="Times New Roman" w:eastAsia="宋体"/>
          <w:b w:val="0"/>
          <w:sz w:val="24"/>
        </w:rPr>
        <w:t>。这些方法分别回答“模型使用了什么”“复杂结构能否被替代”和“误差来自哪里”等问题，但在负荷预测研究中通常分散使用。</w:t>
      </w:r>
    </w:p>
    <w:p>
      <w:pPr>
        <w:spacing w:before="0" w:after="0" w:line="300" w:lineRule="auto"/>
        <w:ind w:firstLine="480"/>
        <w:jc w:val="both"/>
      </w:pPr>
      <w:r>
        <w:rPr>
          <w:rFonts w:ascii="Times New Roman" w:hAnsi="Times New Roman" w:cs="Times New Roman" w:eastAsia="宋体"/>
          <w:b w:val="0"/>
          <w:sz w:val="24"/>
        </w:rPr>
        <w:t>基于此，本文把机制解释组织为三层机制诊断协议（Mechanism Diagnosis Protocol，MDP）：先观察并干预多关系门控分配，再通过图模型向纯时序模型的知识蒸馏检验所检配置下的师生差距，最后利用事件标签与规则触发形成四格，并按样本量还原全局误差。相关操作在既有研究中多被分别使用；本文将其组织为统一诊断流程，并明确各层的判定条件和误差还原要求，不把单项分析工具表述为本文首创。</w:t>
      </w:r>
    </w:p>
    <w:p>
      <w:pPr>
        <w:spacing w:before="360" w:after="240" w:line="360" w:lineRule="auto"/>
        <w:ind w:firstLine="0"/>
        <w:jc w:val="both"/>
        <w:outlineLvl w:val="1"/>
      </w:pPr>
      <w:r>
        <w:rPr>
          <w:rFonts w:ascii="Times New Roman" w:hAnsi="Times New Roman" w:cs="Times New Roman" w:eastAsia="黑体"/>
          <w:b/>
          <w:sz w:val="30"/>
        </w:rPr>
        <w:t>1.3 现有研究不足</w:t>
      </w:r>
    </w:p>
    <w:p>
      <w:pPr>
        <w:spacing w:before="0" w:after="0" w:line="300" w:lineRule="auto"/>
        <w:ind w:firstLine="480"/>
        <w:jc w:val="both"/>
      </w:pPr>
      <w:r>
        <w:rPr>
          <w:rFonts w:ascii="Times New Roman" w:hAnsi="Times New Roman" w:cs="Times New Roman" w:eastAsia="宋体"/>
          <w:b w:val="0"/>
          <w:sz w:val="24"/>
        </w:rPr>
        <w:t>现有工作已为充电负荷时间建模、多节点关系学习和预测解释提供方法基础，但面向站内节点级短期预测仍有四项问题需要解决。</w:t>
      </w:r>
    </w:p>
    <w:p>
      <w:pPr>
        <w:spacing w:before="0" w:after="0" w:line="300" w:lineRule="auto"/>
        <w:ind w:firstLine="480"/>
        <w:jc w:val="both"/>
      </w:pPr>
      <w:r>
        <w:rPr>
          <w:rFonts w:ascii="Times New Roman" w:hAnsi="Times New Roman" w:cs="Times New Roman" w:eastAsia="宋体"/>
          <w:b w:val="0"/>
          <w:sz w:val="24"/>
        </w:rPr>
        <w:t>（1）站内节点关系的语义化表达不足。现有图预测工作主要服务于站间或区域级空间传播，站内节点场景常采用单一相关关系或直接学习隐式邻接。单一图难以同时保留负荷同步、行为共现和日内轮廓等不同统计语义，而纯自适应图的边权又不易与场站行为含义对应。需要说明的是，多关系表示并不预设每一类关系都必然带来独立性能增益，其价值还需要通过关系子集实验和机制诊断加以检验。</w:t>
      </w:r>
    </w:p>
    <w:p>
      <w:pPr>
        <w:spacing w:before="0" w:after="0" w:line="300" w:lineRule="auto"/>
        <w:ind w:firstLine="480"/>
        <w:jc w:val="both"/>
      </w:pPr>
      <w:r>
        <w:rPr>
          <w:rFonts w:ascii="Times New Roman" w:hAnsi="Times New Roman" w:cs="Times New Roman" w:eastAsia="宋体"/>
          <w:b w:val="0"/>
          <w:sz w:val="24"/>
        </w:rPr>
        <w:t>（2）模型解释缺少从观察到验证的完整证据链。现有研究较多使用注意力、门控权重或特征贡献进行观察式解释，常规消融也主要回答移除某个组件后性能是否变化，但较少继续检验学习到的关系分配是否具有功能依赖、图结构知识能否由纯时序模型吸收以及误差能否被严格归属。因而有必要建立包含操作定义、诊断实验和判定准则的协议化分析流程。</w:t>
      </w:r>
    </w:p>
    <w:p>
      <w:pPr>
        <w:spacing w:before="0" w:after="0" w:line="300" w:lineRule="auto"/>
        <w:ind w:firstLine="480"/>
        <w:jc w:val="both"/>
      </w:pPr>
      <w:r>
        <w:rPr>
          <w:rFonts w:ascii="Times New Roman" w:hAnsi="Times New Roman" w:cs="Times New Roman" w:eastAsia="宋体"/>
          <w:b w:val="0"/>
          <w:sz w:val="24"/>
        </w:rPr>
        <w:t>（3）事件信息的使用边界尚不清晰。日历事件、目标侧事件标签和预测时可见规则属于不同信息条件，将其作为模型输入、事后修正依据或预测区间路由信号，对应的任务并不相同。现有研究对阈值冻结、未来信息隔离、规则触发与标签事件错位及负结果披露的讨论相对有限，容易把使用事后标签得到的参照结果误写成预测时可执行的性能。</w:t>
      </w:r>
    </w:p>
    <w:p>
      <w:pPr>
        <w:spacing w:before="0" w:after="0" w:line="300" w:lineRule="auto"/>
        <w:ind w:firstLine="480"/>
        <w:jc w:val="both"/>
      </w:pPr>
      <w:r>
        <w:rPr>
          <w:rFonts w:ascii="Times New Roman" w:hAnsi="Times New Roman" w:cs="Times New Roman" w:eastAsia="宋体"/>
          <w:b w:val="0"/>
          <w:sz w:val="24"/>
        </w:rPr>
        <w:t>（4）全局指标难以反映稀疏事件窗口的误差结构。节点代理负荷包含大量稳定或零负荷样本，少量行为突变窗口的高误差可能被全局平均指标稀释。若缺少事件、稳定和规则触发等分层口径，以及分层结果向全局误差的样本量加权还原，就难以判断模型改进作用于哪些样本，也难以为后续不确定性分析提供可靠依据。</w:t>
      </w:r>
    </w:p>
    <w:p>
      <w:pPr>
        <w:spacing w:before="0" w:after="0" w:line="300" w:lineRule="auto"/>
        <w:ind w:firstLine="480"/>
        <w:jc w:val="both"/>
      </w:pPr>
      <w:r>
        <w:rPr>
          <w:rFonts w:ascii="Times New Roman" w:hAnsi="Times New Roman" w:cs="Times New Roman" w:eastAsia="宋体"/>
          <w:b w:val="0"/>
          <w:sz w:val="24"/>
        </w:rPr>
        <w:t>上述四类不足与本文关注问题的对应关系见图1-1。</w:t>
      </w:r>
    </w:p>
    <w:p>
      <w:pPr>
        <w:spacing w:before="60" w:after="60" w:line="240" w:lineRule="auto"/>
        <w:ind w:firstLine="0"/>
        <w:jc w:val="center"/>
      </w:pPr>
      <w:r>
        <w:drawing>
          <wp:inline xmlns:a="http://schemas.openxmlformats.org/drawingml/2006/main" xmlns:pic="http://schemas.openxmlformats.org/drawingml/2006/picture">
            <wp:extent cx="5112000" cy="3408000"/>
            <wp:docPr id="23" name="Picture 23"/>
            <wp:cNvGraphicFramePr>
              <a:graphicFrameLocks noChangeAspect="1"/>
            </wp:cNvGraphicFramePr>
            <a:graphic>
              <a:graphicData uri="http://schemas.openxmlformats.org/drawingml/2006/picture">
                <pic:pic>
                  <pic:nvPicPr>
                    <pic:cNvPr id="0" name="fig1_1_research_gap_map.png"/>
                    <pic:cNvPicPr/>
                  </pic:nvPicPr>
                  <pic:blipFill>
                    <a:blip r:embed="rId57"/>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图1-1 研究方向与本文关注不足的对应关系</w:t>
      </w:r>
    </w:p>
    <w:p>
      <w:pPr>
        <w:spacing w:before="0" w:after="0" w:line="300" w:lineRule="auto"/>
        <w:ind w:firstLine="480"/>
        <w:jc w:val="both"/>
      </w:pPr>
      <w:r>
        <w:rPr>
          <w:rFonts w:ascii="Times New Roman" w:hAnsi="Times New Roman" w:cs="Times New Roman" w:eastAsia="宋体"/>
          <w:b w:val="0"/>
          <w:sz w:val="18"/>
        </w:rPr>
        <w:t>注：从时间序列预测、多节点关系建模、行为事件建模和机制解释四个方向，归纳本文所关注的站内节点关系语义、结构贡献边界、双事件口径和诊断证据链问题。</w:t>
      </w:r>
    </w:p>
    <w:p>
      <w:pPr>
        <w:spacing w:before="360" w:after="240" w:line="360" w:lineRule="auto"/>
        <w:ind w:firstLine="0"/>
        <w:jc w:val="both"/>
        <w:outlineLvl w:val="1"/>
      </w:pPr>
      <w:r>
        <w:rPr>
          <w:rFonts w:ascii="Times New Roman" w:hAnsi="Times New Roman" w:cs="Times New Roman" w:eastAsia="黑体"/>
          <w:b/>
          <w:sz w:val="30"/>
        </w:rPr>
        <w:t>1.4 研究目标与主要内容</w:t>
      </w:r>
    </w:p>
    <w:p>
      <w:pPr>
        <w:spacing w:before="0" w:after="0" w:line="300" w:lineRule="auto"/>
        <w:ind w:firstLine="480"/>
        <w:jc w:val="both"/>
      </w:pPr>
      <w:r>
        <w:rPr>
          <w:rFonts w:ascii="Times New Roman" w:hAnsi="Times New Roman" w:cs="Times New Roman" w:eastAsia="宋体"/>
          <w:b w:val="0"/>
          <w:sz w:val="24"/>
        </w:rPr>
        <w:t>本文以单站多充电节点的节点代理负荷为对象，目标有二：构建利用站内多类统计关系的短期预测模型；建立可复核的诊断流程，分析模型依赖的关系、复杂结构被简单模型吸收的可能性及全局误差的样本来源。第5章进一步考察方向性候选结构、事件窗口区间覆盖和门控分配的分层敏感度，这些内容属于预测支持探索，不作为事件预测已经解决的证据。</w:t>
      </w:r>
    </w:p>
    <w:p>
      <w:pPr>
        <w:spacing w:before="0" w:after="0" w:line="300" w:lineRule="auto"/>
        <w:ind w:firstLine="480"/>
        <w:jc w:val="both"/>
      </w:pPr>
      <w:r>
        <w:rPr>
          <w:rFonts w:ascii="Times New Roman" w:hAnsi="Times New Roman" w:cs="Times New Roman" w:eastAsia="宋体"/>
          <w:b w:val="0"/>
          <w:sz w:val="24"/>
        </w:rPr>
        <w:t>本文面向场站精细化运行提供节点级预测与误差分层信息，不直接替代电表功率、执行在线调度或估算容量优化收益。预测结果可辅助识别重点节点与时间窗口，四格诊断用于定位被全局平均值掩盖的困难样本，区间分析用于检验可见规则下的覆盖能力。上述信息仍需结合真实功率量测、场站约束和现场决策规则，才能评价其业务价值。</w:t>
      </w:r>
    </w:p>
    <w:p>
      <w:pPr>
        <w:spacing w:before="0" w:after="0" w:line="300" w:lineRule="auto"/>
        <w:ind w:firstLine="480"/>
        <w:jc w:val="both"/>
      </w:pPr>
      <w:r>
        <w:rPr>
          <w:rFonts w:ascii="Times New Roman" w:hAnsi="Times New Roman" w:cs="Times New Roman" w:eastAsia="宋体"/>
          <w:b w:val="0"/>
          <w:sz w:val="24"/>
        </w:rPr>
        <w:t>围绕上述目标，本文开展以下四方面研究。</w:t>
      </w:r>
    </w:p>
    <w:p>
      <w:pPr>
        <w:spacing w:before="0" w:after="0" w:line="300" w:lineRule="auto"/>
        <w:ind w:firstLine="480"/>
        <w:jc w:val="both"/>
      </w:pPr>
      <w:r>
        <w:rPr>
          <w:rFonts w:ascii="Times New Roman" w:hAnsi="Times New Roman" w:cs="Times New Roman" w:eastAsia="宋体"/>
          <w:b w:val="0"/>
          <w:sz w:val="24"/>
        </w:rPr>
        <w:t>（1）充电行为数据重构与特征分析。对原始充电会话记录进行字段审计和节点标识核对，按照15 min粒度重构节点代理负荷；仅依据训练集和验证集完成节点可用性筛选及质量门禁，测试集不参与节点选择。分析节点负荷的稀疏性、异质性、周期性和事件分量，为关系构建、模型输入和分层评价提供数据依据。</w:t>
      </w:r>
    </w:p>
    <w:p>
      <w:pPr>
        <w:spacing w:before="0" w:after="0" w:line="300" w:lineRule="auto"/>
        <w:ind w:firstLine="480"/>
        <w:jc w:val="both"/>
      </w:pPr>
      <w:r>
        <w:rPr>
          <w:rFonts w:ascii="Times New Roman" w:hAnsi="Times New Roman" w:cs="Times New Roman" w:eastAsia="宋体"/>
          <w:b w:val="0"/>
          <w:sz w:val="24"/>
        </w:rPr>
        <w:t>（2）站内多关系门控图卷积预测方法。以单站内充电节点为图节点，构建负荷耦合（Load）、行为共现（Event）和轮廓相似（Pattern）三类统计关系，形成LRE三关系图；在时间卷积编码基础上，构建多关系门控图卷积网络（Multi-Relational Gated Graph Convolutional Network，MRG-GCN），通过关系级β门控、节点级G门控、关系随机失活（relation dropout）和逐层关系选择完成跨节点信息融合。采用统一预测键、三种子（2024、2025、2026）、多模型对比和消融实验评价其预测性能及结构贡献。</w:t>
      </w:r>
    </w:p>
    <w:p>
      <w:pPr>
        <w:spacing w:before="0" w:after="0" w:line="300" w:lineRule="auto"/>
        <w:ind w:firstLine="480"/>
        <w:jc w:val="both"/>
      </w:pPr>
      <w:r>
        <w:rPr>
          <w:rFonts w:ascii="Times New Roman" w:hAnsi="Times New Roman" w:cs="Times New Roman" w:eastAsia="宋体"/>
          <w:b w:val="0"/>
          <w:sz w:val="24"/>
        </w:rPr>
        <w:t>（3）三层机制诊断协议。围绕“关系分配是否具有功能依赖、图结构知识能否被纯时序模型吸收、全局误差来自何处”三个问题，构建由L1干预归因、L2蒸馏验证和L3四格溯源组成的机制诊断协议MDP。每一层均给出方法定义、诊断实验和判定准则，并通过样本量加权恒等式核验四格结果能否还原全局误差。</w:t>
      </w:r>
    </w:p>
    <w:p>
      <w:pPr>
        <w:spacing w:before="0" w:after="0" w:line="300" w:lineRule="auto"/>
        <w:ind w:firstLine="480"/>
        <w:jc w:val="both"/>
      </w:pPr>
      <w:r>
        <w:rPr>
          <w:rFonts w:ascii="Times New Roman" w:hAnsi="Times New Roman" w:cs="Times New Roman" w:eastAsia="宋体"/>
          <w:b w:val="0"/>
          <w:sz w:val="24"/>
        </w:rPr>
        <w:t>（4）模型结构分析与预测支持探索。采用传递熵和PCMCI+分析统计关系图未表达的方向性候选及条件滞后依赖；采用分层共形方法比较标准路径、冻结规则路由与标签事件事后参照（oracle），识别事件窗口的覆盖边界；再将门控参数干预扩展到事件、稳定和节点层面，分析不同样本条件下的分层参数干预敏感度。上述结果均按探索性结构发现、经验覆盖或分层参数干预敏感度解释，不升级为物理因果或可部署事件预测结论。</w:t>
      </w:r>
    </w:p>
    <w:p>
      <w:pPr>
        <w:spacing w:before="360" w:after="240" w:line="360" w:lineRule="auto"/>
        <w:ind w:firstLine="0"/>
        <w:jc w:val="both"/>
        <w:outlineLvl w:val="1"/>
      </w:pPr>
      <w:r>
        <w:rPr>
          <w:rFonts w:ascii="Times New Roman" w:hAnsi="Times New Roman" w:cs="Times New Roman" w:eastAsia="黑体"/>
          <w:b/>
          <w:sz w:val="30"/>
        </w:rPr>
        <w:t>1.5 技术路线</w:t>
      </w:r>
    </w:p>
    <w:p>
      <w:pPr>
        <w:spacing w:before="0" w:after="0" w:line="300" w:lineRule="auto"/>
        <w:ind w:firstLine="480"/>
        <w:jc w:val="both"/>
      </w:pPr>
      <w:r>
        <w:rPr>
          <w:rFonts w:ascii="Times New Roman" w:hAnsi="Times New Roman" w:cs="Times New Roman" w:eastAsia="宋体"/>
          <w:b w:val="0"/>
          <w:sz w:val="24"/>
        </w:rPr>
        <w:t>本文按照“数据重构与特征分析—多关系图预测—三层机制诊断—结构分析与预测支持探索”的路线开展研究，总体技术路线如图1-2所示。图中同时标出方法贡献与机制诊断贡献两条主线：前者由LRE三关系图和MRG-GCN构成，后者由L1干预、L2蒸馏与L3四格溯源构成。</w:t>
      </w:r>
    </w:p>
    <w:p>
      <w:pPr>
        <w:spacing w:before="60" w:after="60" w:line="240" w:lineRule="auto"/>
        <w:ind w:firstLine="0"/>
        <w:jc w:val="center"/>
      </w:pPr>
      <w:r>
        <w:drawing>
          <wp:inline xmlns:a="http://schemas.openxmlformats.org/drawingml/2006/main" xmlns:pic="http://schemas.openxmlformats.org/drawingml/2006/picture">
            <wp:extent cx="5112000" cy="3834000"/>
            <wp:docPr id="24" name="Picture 24"/>
            <wp:cNvGraphicFramePr>
              <a:graphicFrameLocks noChangeAspect="1"/>
            </wp:cNvGraphicFramePr>
            <a:graphic>
              <a:graphicData uri="http://schemas.openxmlformats.org/drawingml/2006/picture">
                <pic:pic>
                  <pic:nvPicPr>
                    <pic:cNvPr id="0" name="fig1_2_roadmap.png"/>
                    <pic:cNvPicPr/>
                  </pic:nvPicPr>
                  <pic:blipFill>
                    <a:blip r:embed="rId58"/>
                    <a:stretch>
                      <a:fillRect/>
                    </a:stretch>
                  </pic:blipFill>
                  <pic:spPr>
                    <a:xfrm>
                      <a:off x="0" y="0"/>
                      <a:ext cx="5112000" cy="3834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图1-2 本文总体技术路线与双贡献主线</w:t>
      </w:r>
    </w:p>
    <w:p>
      <w:pPr>
        <w:spacing w:before="0" w:after="0" w:line="300" w:lineRule="auto"/>
        <w:ind w:firstLine="480"/>
        <w:jc w:val="both"/>
      </w:pPr>
      <w:r>
        <w:rPr>
          <w:rFonts w:ascii="Times New Roman" w:hAnsi="Times New Roman" w:cs="Times New Roman" w:eastAsia="宋体"/>
          <w:b w:val="0"/>
          <w:sz w:val="24"/>
        </w:rPr>
        <w:t>第一阶段为数据重构与特征分析。首先对原始会话记录进行字段、时间和节点标识审计，将离散会话按15 min时间片重构为节点代理负荷张量；随后依据训练集和验证集建立节点筛选门槛与质量门禁，冻结10个主分析节点；最后分析负荷稀疏性、节点差异、周期模式、事件四分量及输入特征，为模型设计和评价口径提供依据。</w:t>
      </w:r>
    </w:p>
    <w:p>
      <w:pPr>
        <w:spacing w:before="0" w:after="0" w:line="300" w:lineRule="auto"/>
        <w:ind w:firstLine="480"/>
        <w:jc w:val="both"/>
      </w:pPr>
      <w:r>
        <w:rPr>
          <w:rFonts w:ascii="Times New Roman" w:hAnsi="Times New Roman" w:cs="Times New Roman" w:eastAsia="宋体"/>
          <w:b w:val="0"/>
          <w:sz w:val="24"/>
        </w:rPr>
        <w:t>第二阶段为LRE关系构建与MRG-GCN建模。使用训练期统计量分别构建负荷耦合、行为共现和轮廓相似关系图，经top-k稀疏化和对称归一化后形成模型的固定关系输入；使用TCN提取历史窗口的时间表示，再通过双层多关系门控图卷积进行跨节点传播，并由预测头输出未来4个时间步的节点代理负荷。该阶段在统一数据划分、预测键和评价指标下完成传统方法、时序模型、图模型和自适应图对照，并通过结构消融、关系子集和参数干预分析模型组件。</w:t>
      </w:r>
    </w:p>
    <w:p>
      <w:pPr>
        <w:spacing w:before="0" w:after="0" w:line="300" w:lineRule="auto"/>
        <w:ind w:firstLine="480"/>
        <w:jc w:val="both"/>
      </w:pPr>
      <w:r>
        <w:rPr>
          <w:rFonts w:ascii="Times New Roman" w:hAnsi="Times New Roman" w:cs="Times New Roman" w:eastAsia="宋体"/>
          <w:b w:val="0"/>
          <w:sz w:val="24"/>
        </w:rPr>
        <w:t>第三阶段为MDP三层机制诊断。L1从已训练模型中提取逐层关系门控权重，并对关系分配实施固定、交换和等权参数干预；L2以MRG-GCN为教师、TCN为学生开展知识蒸馏，检验所检学生架构和蒸馏设置能否弥合师生差距；L3按照目标侧标签事件与冻结规则触发构建四格，通过样本量加权还原全局MAE，定位事件窗口和稳定窗口对总体误差的贡献。</w:t>
      </w:r>
    </w:p>
    <w:p>
      <w:pPr>
        <w:spacing w:before="0" w:after="0" w:line="300" w:lineRule="auto"/>
        <w:ind w:firstLine="480"/>
        <w:jc w:val="both"/>
      </w:pPr>
      <w:r>
        <w:rPr>
          <w:rFonts w:ascii="Times New Roman" w:hAnsi="Times New Roman" w:cs="Times New Roman" w:eastAsia="宋体"/>
          <w:b w:val="0"/>
          <w:sz w:val="24"/>
        </w:rPr>
        <w:t>第四阶段为模型结构分析与预测支持探索。首先采用传递熵和PCMCI+分析节点间方向性候选和条件滞后依赖，考察其与固定统计关系图的互补性；其次采用分层共形预测比较全局校准、冻结规则路由和标签事件事后参照（oracle），分析事件窗口的经验覆盖率及区间宽度；最后对门控参数干预结果进行窗口和节点分层，刻画不同条件下的分层参数干预敏感度。</w:t>
      </w:r>
    </w:p>
    <w:p>
      <w:pPr>
        <w:spacing w:before="360" w:after="240" w:line="360" w:lineRule="auto"/>
        <w:ind w:firstLine="0"/>
        <w:jc w:val="both"/>
        <w:outlineLvl w:val="1"/>
      </w:pPr>
      <w:r>
        <w:rPr>
          <w:rFonts w:ascii="Times New Roman" w:hAnsi="Times New Roman" w:cs="Times New Roman" w:eastAsia="黑体"/>
          <w:b/>
          <w:sz w:val="30"/>
        </w:rPr>
        <w:t>1.6 论文组织结构</w:t>
      </w:r>
    </w:p>
    <w:p>
      <w:pPr>
        <w:spacing w:before="0" w:after="0" w:line="300" w:lineRule="auto"/>
        <w:ind w:firstLine="480"/>
        <w:jc w:val="both"/>
      </w:pPr>
      <w:r>
        <w:rPr>
          <w:rFonts w:ascii="Times New Roman" w:hAnsi="Times New Roman" w:cs="Times New Roman" w:eastAsia="宋体"/>
          <w:b w:val="0"/>
          <w:sz w:val="24"/>
        </w:rPr>
        <w:t>本文正文由五章组成，并在正文之后设置结论、参考文献和附录。各章内容安排如下。</w:t>
      </w:r>
    </w:p>
    <w:p>
      <w:pPr>
        <w:spacing w:before="0" w:after="0" w:line="300" w:lineRule="auto"/>
        <w:ind w:firstLine="480"/>
        <w:jc w:val="both"/>
      </w:pPr>
      <w:r>
        <w:rPr>
          <w:rFonts w:ascii="Times New Roman" w:hAnsi="Times New Roman" w:cs="Times New Roman" w:eastAsia="宋体"/>
          <w:b w:val="0"/>
          <w:sz w:val="24"/>
        </w:rPr>
        <w:t>第1章为绪论。本章从电动汽车充电基础设施发展和场站精细化运行需求出发，界定节点代理负荷、站内统计关系和事件窗口的研究边界；围绕充电负荷时间序列预测、多节点时空图预测、充电行为与事件建模以及模型可解释性与机制诊断梳理国内外研究进展，归纳现有研究不足，并说明本文的研究目标、主要内容和技术路线。</w:t>
      </w:r>
    </w:p>
    <w:p>
      <w:pPr>
        <w:spacing w:before="0" w:after="0" w:line="300" w:lineRule="auto"/>
        <w:ind w:firstLine="480"/>
        <w:jc w:val="both"/>
      </w:pPr>
      <w:r>
        <w:rPr>
          <w:rFonts w:ascii="Times New Roman" w:hAnsi="Times New Roman" w:cs="Times New Roman" w:eastAsia="宋体"/>
          <w:b w:val="0"/>
          <w:sz w:val="24"/>
        </w:rPr>
        <w:t>第2章为充电行为数据与特征分析。本章说明原始会话数据的字段结构、节点标识关系和15 min节点代理负荷重构方法，给出节点可用性筛选与质量门禁过程；在冻结主分析节点集合后，从负荷稀疏性、节点异质性、时间周期、事件分量和特征相关性等方面分析数据特征，并据此提出后续图建模、分层评价和区间分析的设计需求。</w:t>
      </w:r>
    </w:p>
    <w:p>
      <w:pPr>
        <w:spacing w:before="0" w:after="0" w:line="300" w:lineRule="auto"/>
        <w:ind w:firstLine="480"/>
        <w:jc w:val="both"/>
      </w:pPr>
      <w:r>
        <w:rPr>
          <w:rFonts w:ascii="Times New Roman" w:hAnsi="Times New Roman" w:cs="Times New Roman" w:eastAsia="宋体"/>
          <w:b w:val="0"/>
          <w:sz w:val="24"/>
        </w:rPr>
        <w:t>第3章为基于多关系门控图卷积的节点短期负荷预测。本章形式化定义预测任务，构建由负荷耦合、行为共现和轮廓相似组成的LRE三关系图，并建立MRG-GCN预测模型；随后通过统一协议下的传统方法、时序模型和图模型对比，结合结构消融、门控参数干预、四格诊断及关系子集敏感性分析，评价模型性能并界定各设计组件的证据范围。</w:t>
      </w:r>
    </w:p>
    <w:p>
      <w:pPr>
        <w:spacing w:before="0" w:after="0" w:line="300" w:lineRule="auto"/>
        <w:ind w:firstLine="480"/>
        <w:jc w:val="both"/>
      </w:pPr>
      <w:r>
        <w:rPr>
          <w:rFonts w:ascii="Times New Roman" w:hAnsi="Times New Roman" w:cs="Times New Roman" w:eastAsia="宋体"/>
          <w:b w:val="0"/>
          <w:sz w:val="24"/>
        </w:rPr>
        <w:t>第4章为三层机制诊断协议（MDP）与模型可解释性分析。本章按照L1干预归因、L2蒸馏验证和L3四格溯源三个层次组织诊断流程：通过门控权重观察与参数干预分析关系分配的功能依赖，通过图模型向纯时序模型的知识蒸馏检验所检配置下的师生差距，通过样本量加权四格还原定位全局误差来源，最终形成本文模型的机制画像和有边界的判定结论。</w:t>
      </w:r>
    </w:p>
    <w:p>
      <w:pPr>
        <w:spacing w:before="0" w:after="0" w:line="300" w:lineRule="auto"/>
        <w:ind w:firstLine="480"/>
        <w:jc w:val="both"/>
      </w:pPr>
      <w:r>
        <w:rPr>
          <w:rFonts w:ascii="Times New Roman" w:hAnsi="Times New Roman" w:cs="Times New Roman" w:eastAsia="宋体"/>
          <w:b w:val="0"/>
          <w:sz w:val="24"/>
        </w:rPr>
        <w:t>第5章为模型结构分析与预测支持探索。本章考察方向性候选及条件滞后依赖与固定统计关系图的互补性，比较冻结规则路由与标签事件事后参照（oracle）的区间覆盖，并分析门控参数替换在不同窗口和节点上的响应。相关结果只按探索性结构发现、经验覆盖或参数敏感度解释，不表述为物理因果结论或已经实现的可部署事件预测方法。</w:t>
      </w:r>
    </w:p>
    <w:p>
      <w:pPr>
        <w:spacing w:before="0" w:after="0" w:line="300" w:lineRule="auto"/>
        <w:ind w:firstLine="480"/>
        <w:jc w:val="both"/>
      </w:pPr>
      <w:r>
        <w:rPr>
          <w:rFonts w:ascii="Times New Roman" w:hAnsi="Times New Roman" w:cs="Times New Roman" w:eastAsia="宋体"/>
          <w:b w:val="0"/>
          <w:sz w:val="24"/>
        </w:rPr>
        <w:t>结论部分总结全文研究工作及主要发现，说明数据、模型、诊断协议和探索性分析的适用边界，并提出跨站验证、动态关系学习、事件可见信号增强和节点级门控分析等后续研究方向。附录用于保留事件残差修正及其他未达到正文正式纳入标准的探索记录，以保证研究过程可追溯，但不将其作为正文方法贡献。</w:t>
      </w:r>
    </w:p>
    <w:p>
      <w:pPr>
        <w:spacing w:before="360" w:after="240" w:line="360" w:lineRule="auto"/>
        <w:ind w:firstLine="0"/>
        <w:jc w:val="both"/>
        <w:outlineLvl w:val="1"/>
      </w:pPr>
      <w:r>
        <w:rPr>
          <w:rFonts w:ascii="Times New Roman" w:hAnsi="Times New Roman" w:cs="Times New Roman" w:eastAsia="黑体"/>
          <w:b/>
          <w:sz w:val="30"/>
        </w:rPr>
        <w:t>1.7 本章小结</w:t>
      </w:r>
    </w:p>
    <w:p>
      <w:pPr>
        <w:spacing w:before="0" w:after="0" w:line="300" w:lineRule="auto"/>
        <w:ind w:firstLine="480"/>
        <w:jc w:val="both"/>
      </w:pPr>
      <w:r>
        <w:rPr>
          <w:rFonts w:ascii="Times New Roman" w:hAnsi="Times New Roman" w:cs="Times New Roman" w:eastAsia="宋体"/>
          <w:b w:val="0"/>
          <w:sz w:val="24"/>
        </w:rPr>
        <w:t>本章围绕站内充电节点短期负荷预测的研究问题完成了研究背景、文献基础和总体方案的论证。首先，从充电基础设施规模增长与场站精细化运行需求出发，说明节点级预测的工程价值，并明确本文研究对象是由离散会话记录重构得到的节点代理负荷，站内图边表示统计交互而非配电网物理拓扑。其次，从时间序列预测、时空图预测、行为与事件建模、模型可解释性与机制诊断四个方面梳理国内外研究进展，指出现有方法在站内关系语义表达、机制证据链、事件信息使用边界和分层误差评价方面仍存在不足。</w:t>
      </w:r>
    </w:p>
    <w:p>
      <w:pPr>
        <w:spacing w:before="0" w:after="0" w:line="300" w:lineRule="auto"/>
        <w:ind w:firstLine="480"/>
        <w:jc w:val="both"/>
      </w:pPr>
      <w:r>
        <w:rPr>
          <w:rFonts w:ascii="Times New Roman" w:hAnsi="Times New Roman" w:cs="Times New Roman" w:eastAsia="宋体"/>
          <w:b w:val="0"/>
          <w:sz w:val="24"/>
        </w:rPr>
        <w:t>针对上述问题，本文确立了“预测方法与机制诊断”两条主要贡献线：构建面向站内节点的LRE三关系图和MRG-GCN预测模型，并以L1干预归因、L2蒸馏验证和L3四格溯源组成MDP三层机制诊断协议。第5章在此基础上开展方向性结构、分层共形和分层参数干预三项预测支持探索。上述内容共同形成“数据重构与特征分析—多关系图预测—三层机制诊断—结构分析与预测支持探索”的技术路线，并为后续各章的具体方法和实验分析奠定基础。</w:t>
      </w:r>
    </w:p>
    <w:p>
      <w:pPr>
        <w:sectPr>
          <w:headerReference w:type="default" r:id="rId54"/>
          <w:headerReference w:type="even" r:id="rId55"/>
          <w:footerReference w:type="default" r:id="rId5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tart="1"/>
        </w:sectPr>
      </w:pPr>
    </w:p>
    <w:p>
      <w:pPr>
        <w:pStyle w:val="3"/>
        <w:spacing w:before="240" w:after="60" w:line="240" w:lineRule="auto"/>
        <w:ind w:firstLine="0"/>
        <w:jc w:val="center"/>
        <w:outlineLvl w:val="0"/>
      </w:pPr>
      <w:r>
        <w:rPr>
          <w:rFonts w:ascii="Times New Roman" w:hAnsi="Times New Roman" w:cs="Times New Roman" w:eastAsia="黑体"/>
          <w:b/>
          <w:sz w:val="36"/>
        </w:rPr>
        <w:t>第2章  充电行为数据与特征分析</w:t>
      </w:r>
    </w:p>
    <w:p>
      <w:pPr>
        <w:spacing w:before="0" w:after="0" w:line="300" w:lineRule="auto"/>
        <w:ind w:firstLine="480"/>
        <w:jc w:val="both"/>
      </w:pPr>
      <w:r>
        <w:rPr>
          <w:rFonts w:ascii="Times New Roman" w:hAnsi="Times New Roman" w:cs="Times New Roman" w:eastAsia="宋体"/>
          <w:b w:val="0"/>
          <w:sz w:val="24"/>
        </w:rPr>
        <w:t>本章回答两个问题：充电会话记录如何转化为可建模的节点序列，以及该序列的统计特征如何约束模型与评价。研究对象不是在线电表连续功率，而是由离散会话重构的节点代理负荷。下文依次说明数据来源与重构口径、节点筛选和质量门禁，再分析负荷稀疏性、节点异质性、周期性、事件窗口及特征相关性，并据此确定多关系图建模和分层评价要求。</w:t>
      </w:r>
    </w:p>
    <w:p>
      <w:pPr>
        <w:spacing w:before="360" w:after="240" w:line="360" w:lineRule="auto"/>
        <w:ind w:firstLine="0"/>
        <w:jc w:val="both"/>
        <w:outlineLvl w:val="1"/>
      </w:pPr>
      <w:r>
        <w:rPr>
          <w:rFonts w:ascii="Times New Roman" w:hAnsi="Times New Roman" w:cs="Times New Roman" w:eastAsia="黑体"/>
          <w:b/>
          <w:sz w:val="30"/>
        </w:rPr>
        <w:t>2.1 数据来源与重构口径</w:t>
      </w:r>
    </w:p>
    <w:p>
      <w:pPr>
        <w:spacing w:before="0" w:after="0" w:line="300" w:lineRule="auto"/>
        <w:ind w:firstLine="480"/>
        <w:jc w:val="both"/>
      </w:pPr>
      <w:r>
        <w:rPr>
          <w:rFonts w:ascii="Times New Roman" w:hAnsi="Times New Roman" w:cs="Times New Roman" w:eastAsia="宋体"/>
          <w:b w:val="0"/>
          <w:sz w:val="24"/>
        </w:rPr>
        <w:t>本文采用公开的ACN-Data电动汽车充电数据集。该数据集由加州理工学院发布，记录充电会话的接入、断开、充电完成时间以及会话交付电量等信息</w:t>
      </w:r>
      <w:r>
        <w:rPr>
          <w:rFonts w:ascii="Times New Roman" w:hAnsi="Times New Roman" w:cs="Times New Roman" w:eastAsia="宋体"/>
          <w:b w:val="0"/>
          <w:sz w:val="24"/>
          <w:vertAlign w:val="superscript"/>
        </w:rPr>
        <w:t>[83]</w:t>
      </w:r>
      <w:r>
        <w:rPr>
          <w:rFonts w:ascii="Times New Roman" w:hAnsi="Times New Roman" w:cs="Times New Roman" w:eastAsia="宋体"/>
          <w:b w:val="0"/>
          <w:sz w:val="24"/>
        </w:rPr>
        <w:t>。本文选取siteID=2的单场站归档，原始文件名为acn_sessions.csv，SHA-256为4a2545fd7e344c00b356c1b3e10ca859c47d5d3a9ab0498b5582bb3f8ca4b5c0。文件包含31,424条充电会话和11个字段；接入时间从2018年4月25日11:08:04延续至2021年9月14日1:52:37，最晚断开时间为2021年9月14日3:05:10，覆盖约3.39年。全部记录的接入时间和断开时间均可解析，充电完成时间可解析29,369条；后者不是节点代理负荷重构的必要字段，其缺失不影响时间片能量分配结果。</w:t>
      </w:r>
    </w:p>
    <w:p>
      <w:pPr>
        <w:spacing w:before="0" w:after="0" w:line="300" w:lineRule="auto"/>
        <w:ind w:firstLine="480"/>
        <w:jc w:val="both"/>
      </w:pPr>
      <w:r>
        <w:rPr>
          <w:rFonts w:ascii="Times New Roman" w:hAnsi="Times New Roman" w:cs="Times New Roman" w:eastAsia="宋体"/>
          <w:b w:val="0"/>
          <w:sz w:val="24"/>
        </w:rPr>
        <w:t>原始数据只给出会话总交付电量，不包含可直接用于节点级短期预测的连续功率序列。本文以15 min为固定时间间隔，将每条会话的总交付电量均匀分配至该会话从接入时刻到断开时刻所覆盖的全部时间片。设第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m:t>
        </m:r>
      </m:oMath>
      <w:r>
        <w:rPr>
          <w:rFonts w:ascii="Times New Roman" w:hAnsi="Times New Roman" w:cs="Times New Roman" w:eastAsia="宋体"/>
          <w:b w:val="0"/>
          <w:sz w:val="24"/>
        </w:rPr>
        <w:t>条会话的总交付电量为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E</m:t>
            </m:r>
          </m:e>
          <m:sub>
            <m:r>
              <m:t>s</m:t>
            </m:r>
          </m:sub>
        </m:sSub>
      </m:oMath>
      <w:r>
        <w:rPr>
          <w:rFonts w:ascii="Times New Roman" w:hAnsi="Times New Roman" w:cs="Times New Roman" w:eastAsia="宋体"/>
          <w:b w:val="0"/>
          <w:sz w:val="24"/>
        </w:rPr>
        <w:t>，所属节点为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i</m:t>
            </m:r>
          </m:e>
          <m:sub>
            <m:r>
              <m:t>s</m:t>
            </m:r>
          </m:sub>
        </m:sSub>
      </m:oMath>
      <w:r>
        <w:rPr>
          <w:rFonts w:ascii="Times New Roman" w:hAnsi="Times New Roman" w:cs="Times New Roman" w:eastAsia="宋体"/>
          <w:b w:val="0"/>
          <w:sz w:val="24"/>
        </w:rPr>
        <w:t>，覆盖的15 min时间片集合为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ℬ</m:t>
            </m:r>
          </m:e>
          <m:sub>
            <m:r>
              <m:t>s</m:t>
            </m:r>
          </m:sub>
        </m:sSub>
      </m:oMath>
      <w:r>
        <w:rPr>
          <w:rFonts w:ascii="Times New Roman" w:hAnsi="Times New Roman" w:cs="Times New Roman" w:eastAsia="宋体"/>
          <w:b w:val="0"/>
          <w:sz w:val="24"/>
        </w:rPr>
        <w:t>，则节点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上的节点代理负荷定义为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e>
          <m:sub>
            <m:r>
              <m:t>t</m:t>
            </m:r>
            <m:r>
              <m:t>,</m:t>
            </m:r>
            <m:r>
              <m:t>i</m:t>
            </m:r>
          </m:sub>
        </m:sSub>
        <m:r>
          <m:t>=</m:t>
        </m:r>
        <m:sSubSup>
          <m:sSubSupPr/>
          <m:e>
            <m:r>
              <m:t>∑</m:t>
            </m:r>
          </m:e>
          <m:sub>
            <m:r>
              <m:t>s</m:t>
            </m:r>
            <m:r>
              <m:t>:</m:t>
            </m:r>
            <m:sSub>
              <m:sSubPr/>
              <m:e>
                <m:r>
                  <m:t>i</m:t>
                </m:r>
              </m:e>
              <m:sub>
                <m:r>
                  <m:t>s</m:t>
                </m:r>
              </m:sub>
            </m:sSub>
            <m:r>
              <m:t>=</m:t>
            </m:r>
            <m:r>
              <m:t>i</m:t>
            </m:r>
            <m:r>
              <m:t>,</m:t>
            </m:r>
            <m:r>
              <m:t>t</m:t>
            </m:r>
            <m:r>
              <m:t>∈</m:t>
            </m:r>
            <m:sSub>
              <m:sSubPr/>
              <m:e>
                <m:r>
                  <m:t>ℬ</m:t>
                </m:r>
              </m:e>
              <m:sub>
                <m:r>
                  <m:t>s</m:t>
                </m:r>
              </m:sub>
            </m:sSub>
          </m:sub>
          <m:sup/>
        </m:sSubSup>
        <m:f>
          <m:num>
            <m:sSub>
              <m:sSubPr/>
              <m:e>
                <m:r>
                  <m:t>E</m:t>
                </m:r>
              </m:e>
              <m:sub>
                <m:r>
                  <m:t>s</m:t>
                </m:r>
              </m:sub>
            </m:sSub>
          </m:num>
          <m:den>
            <m:r>
              <m:t>|</m:t>
            </m:r>
            <m:sSub>
              <m:sSubPr/>
              <m:e>
                <m:r>
                  <m:t>ℬ</m:t>
                </m:r>
              </m:e>
              <m:sub>
                <m:r>
                  <m:t>s</m:t>
                </m:r>
              </m:sub>
            </m:sSub>
            <m:r>
              <m:t>|</m:t>
            </m:r>
          </m:den>
        </m:f>
        <m:r>
          <m:t>.</m:t>
        </m:r>
      </m:oMath>
      <w:r>
        <w:tab/>
      </w:r>
      <w:r>
        <w:rPr>
          <w:rFonts w:ascii="Times New Roman" w:hAnsi="Times New Roman" w:cs="Times New Roman" w:eastAsia="宋体"/>
          <w:sz w:val="21"/>
        </w:rPr>
        <w:t>（2-1）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sSub>
          <m:sSubPr/>
          <m:e>
            <m:r>
              <m:t>ℬ</m:t>
            </m:r>
          </m:e>
          <m:sub>
            <m:r>
              <m:t>s</m:t>
            </m:r>
          </m:sub>
        </m:sSub>
        <m:r>
          <m:t>|</m:t>
        </m:r>
      </m:oMath>
      <w:r>
        <w:rPr>
          <w:rFonts w:ascii="Times New Roman" w:hAnsi="Times New Roman" w:cs="Times New Roman" w:eastAsia="宋体"/>
          <w:b w:val="0"/>
          <w:sz w:val="24"/>
        </w:rPr>
        <w:t>为会话覆盖的时间片数。同一节点同一时间片若有多条会话，则对其分摊电量求和。由此形成2018年4月25日11:00至2021年9月14日3:15的规则时间网格，共118,818个时间步；相邻时间戳间隔均为15 min，无缺步。本文将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记作“节点代理负荷”，单位写作kWh/15 min，表示每个15 min离散时间片内由会话总电量分摊得到的电能量。该量不是瞬时功率或电表实测功率，也不用于还原时间片内部的真实充电曲线。</w:t>
      </w:r>
    </w:p>
    <w:p>
      <w:pPr>
        <w:spacing w:before="0" w:after="0" w:line="300" w:lineRule="auto"/>
        <w:ind w:firstLine="480"/>
        <w:jc w:val="both"/>
      </w:pPr>
      <w:r>
        <w:rPr>
          <w:rFonts w:ascii="Times New Roman" w:hAnsi="Times New Roman" w:cs="Times New Roman" w:eastAsia="宋体"/>
          <w:b w:val="0"/>
          <w:sz w:val="24"/>
        </w:rPr>
        <w:t>节点标识审计显示，原始数据的场站字段siteID只有1个取值（2），该场站内包含55个候选充电节点。设备字段stationID、EVSEID与spaceID均有55个唯一值且不存在缺失，其中stationID与EVSEID逐行一致，stationID到spaceID为一对一映射。由此可知，stationID在该数据接口中是设备标识而非场站数量字段。本文统一使用spaceID作为节点标识，并以CA-303等编号表示站内空间充电单元；该标识不被解释为独立的配电网母线或物理拓扑节点。后续关系图的边仅描述节点负荷与充电行为的统计联系，而非站内配电线路的电气连接。</w:t>
      </w:r>
    </w:p>
    <w:p>
      <w:pPr>
        <w:spacing w:before="0" w:after="0" w:line="300" w:lineRule="auto"/>
        <w:ind w:firstLine="480"/>
        <w:jc w:val="both"/>
      </w:pPr>
      <w:r>
        <w:rPr>
          <w:rFonts w:ascii="Times New Roman" w:hAnsi="Times New Roman" w:cs="Times New Roman" w:eastAsia="宋体"/>
          <w:b w:val="0"/>
          <w:sz w:val="24"/>
        </w:rPr>
        <w:t>如图2-1所示，原始会话记录依次转换为模型输入张量。节点清单、归一化统计量和事件规则均在训练集或验证集边界内确定，测试集仅用于冻结配置下的最终评价。数据来源、时间跨度和关键审计结果汇总于表2-1。</w:t>
      </w:r>
    </w:p>
    <w:p>
      <w:pPr>
        <w:spacing w:before="60" w:after="60" w:line="240" w:lineRule="auto"/>
        <w:ind w:firstLine="0"/>
        <w:jc w:val="center"/>
      </w:pPr>
      <w:r>
        <w:drawing>
          <wp:inline xmlns:a="http://schemas.openxmlformats.org/drawingml/2006/main" xmlns:pic="http://schemas.openxmlformats.org/drawingml/2006/picture">
            <wp:extent cx="5112000" cy="2877029"/>
            <wp:docPr id="25" name="Picture 25"/>
            <wp:cNvGraphicFramePr>
              <a:graphicFrameLocks noChangeAspect="1"/>
            </wp:cNvGraphicFramePr>
            <a:graphic>
              <a:graphicData uri="http://schemas.openxmlformats.org/drawingml/2006/picture">
                <pic:pic>
                  <pic:nvPicPr>
                    <pic:cNvPr id="0" name="fig2_1_data_reconstruction.png"/>
                    <pic:cNvPicPr/>
                  </pic:nvPicPr>
                  <pic:blipFill>
                    <a:blip r:embed="rId6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 数据重构与数据划分流程</w:t>
      </w:r>
    </w:p>
    <w:p>
      <w:pPr>
        <w:spacing w:before="0" w:after="0" w:line="300" w:lineRule="auto"/>
        <w:ind w:firstLine="480"/>
        <w:jc w:val="both"/>
      </w:pPr>
      <w:r>
        <w:rPr>
          <w:rFonts w:ascii="Times New Roman" w:hAnsi="Times New Roman" w:cs="Times New Roman" w:eastAsia="宋体"/>
          <w:b w:val="0"/>
          <w:sz w:val="18"/>
        </w:rPr>
        <w:t>注：原始数据为31,424条ACN-Data充电会话记录；会话总交付电量在接入至断开时段覆盖的15 min时间片内均匀分配，形成节点代理负荷。节点筛选、归一化参数和事件规则分别由训练期或验证期数据确定，测试集不参与这些对象的拟合。本图为处理流程示意，不表示在线电表功率测量。</w:t>
      </w:r>
    </w:p>
    <w:p>
      <w:pPr>
        <w:keepNext/>
        <w:spacing w:before="60" w:after="60" w:line="240" w:lineRule="auto"/>
        <w:ind w:firstLine="0"/>
        <w:jc w:val="center"/>
      </w:pPr>
      <w:r>
        <w:rPr>
          <w:rFonts w:ascii="Times New Roman" w:hAnsi="Times New Roman" w:cs="Times New Roman" w:eastAsia="黑体"/>
          <w:b w:val="0"/>
          <w:sz w:val="21"/>
        </w:rPr>
        <w:t>表2-1 原始数据形态与审计结果</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审计结果</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口径说明</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数据形态</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ACN-Data中siteID=2的充电会话记录</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非在线电表功率序列；原始归档SHA-256已记录</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原始记录数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31,424条</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共11个字段</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候选节点数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55个</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统一以spaceID标识</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原始接入时间范围</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2018-04-25 11:08:04—2021-09-14 01:52:37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最晚断开时间为2021-09-14 03:05:10</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重构时间网格</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2018-04-25 11:00—2021-09-14 03:15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共118,818个时间步</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采样间隔</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15 min</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118,817个相邻间隔均一致</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节点代理负荷单位</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kWh/15 min</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表示时间片分摊电量，不是瞬时功率</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标识映射</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stationID=EVSEID，且与spaceID一一对应</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三者均为设备标识；场站字段为siteID</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时间字段解析</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接入、断开各31,424条；充电完成29,369条</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重构使用接入、断开与总交付电量</w:t>
            </w:r>
          </w:p>
        </w:tc>
      </w:tr>
    </w:tbl>
    <w:p>
      <w:pPr>
        <w:spacing w:before="0" w:after="0" w:line="300" w:lineRule="auto"/>
        <w:ind w:firstLine="480"/>
        <w:jc w:val="both"/>
      </w:pPr>
      <w:r>
        <w:rPr>
          <w:rFonts w:ascii="Times New Roman" w:hAnsi="Times New Roman" w:cs="Times New Roman" w:eastAsia="宋体"/>
          <w:b w:val="0"/>
          <w:sz w:val="24"/>
        </w:rPr>
        <w:t>因此，本文从离散会话总电量出发构造了时间间隔规整的节点级序列，其解释范围限定为会话驱动的节点代理负荷。后续所有误差指标、事件分析和图关系解释均沿用这一边界。</w:t>
      </w:r>
    </w:p>
    <w:p>
      <w:pPr>
        <w:spacing w:before="240" w:after="180" w:line="300" w:lineRule="auto"/>
        <w:ind w:firstLine="0"/>
        <w:jc w:val="both"/>
        <w:outlineLvl w:val="2"/>
      </w:pPr>
      <w:r>
        <w:rPr>
          <w:rFonts w:ascii="Times New Roman" w:hAnsi="Times New Roman" w:cs="Times New Roman" w:eastAsia="黑体"/>
          <w:b w:val="0"/>
          <w:sz w:val="28"/>
        </w:rPr>
        <w:t>2.1.1 旧主实验与事件时刻可见协议的任务边界</w:t>
      </w:r>
    </w:p>
    <w:p>
      <w:pPr>
        <w:spacing w:before="0" w:after="0" w:line="300" w:lineRule="auto"/>
        <w:ind w:firstLine="480"/>
        <w:jc w:val="both"/>
      </w:pPr>
      <w:r>
        <w:rPr>
          <w:rFonts w:ascii="Times New Roman" w:hAnsi="Times New Roman" w:cs="Times New Roman" w:eastAsia="宋体"/>
          <w:b w:val="0"/>
          <w:sz w:val="24"/>
        </w:rPr>
        <w:t>本文同时保留两套有明确边界的数据协议，二者回答的问题不同，不能把测试误差直接拼接为同一条性能曲线。旧主实验采用SG-DATA-005-primary-tensor和登记号SG-EXP-002～SG-EXP-018，其目标是：在固定节点、固定时间切分和统一预测键上，比较已执行模型与诊断配置在“事后重构节点代理负荷”上的相对表现。该协议的历史窗口包含由会话最终交付电量和断开时间均匀分摊形成的代理负荷，因此属于离线回溯性比较，不等同于预测时刻已经可获得的在线功率输入。</w:t>
      </w:r>
    </w:p>
    <w:p>
      <w:pPr>
        <w:spacing w:before="0" w:after="0" w:line="300" w:lineRule="auto"/>
        <w:ind w:firstLine="480"/>
        <w:jc w:val="both"/>
      </w:pPr>
      <w:r>
        <w:rPr>
          <w:rFonts w:ascii="Times New Roman" w:hAnsi="Times New Roman" w:cs="Times New Roman" w:eastAsia="宋体"/>
          <w:b w:val="0"/>
          <w:sz w:val="24"/>
        </w:rPr>
        <w:t>针对这一边界，数据核验阶段另行冻结了SG-DATA-006-eventtime-v1（登记号SG-EXP-019）。新协议在预测原点只使用已发生的接入、离站、活跃计数和日历编码，删除旧代理负荷及其派生的需求强度、占用率和负荷跳变输入；目标仍暂时保留事后会话能量代理，用于回答“在更严格的行为可见输入下，原任务结论是否保持方向一致”。新协议不是对旧主结果的覆盖，也不是实测功率验证，必须由新适配器重新训练并在独立结果表中报告。</w:t>
      </w:r>
    </w:p>
    <w:p>
      <w:pPr>
        <w:spacing w:before="0" w:after="0" w:line="300" w:lineRule="auto"/>
        <w:ind w:firstLine="480"/>
        <w:jc w:val="both"/>
      </w:pPr>
      <w:r>
        <w:rPr>
          <w:rFonts w:ascii="Times New Roman" w:hAnsi="Times New Roman" w:cs="Times New Roman" w:eastAsia="宋体"/>
          <w:b w:val="0"/>
          <w:sz w:val="24"/>
        </w:rPr>
        <w:t>核验表明，旧测试预测原点×节点中约12.06%可能受到尚未结束会话最终字段回流影响，至少一个节点受影响的预测原点约占52.33%。该结果用于界定旧实验的离线性质，不能据此估计MAE的乐观偏差；本文因此不把旧结果表述为在线部署性能。两套协议的输入契约、目标定义和可回答问题见下方协议对照表。</w:t>
      </w:r>
    </w:p>
    <w:p>
      <w:pPr>
        <w:keepNext/>
        <w:spacing w:before="60" w:after="60" w:line="240" w:lineRule="auto"/>
        <w:ind w:firstLine="0"/>
        <w:jc w:val="center"/>
      </w:pPr>
      <w:r>
        <w:rPr>
          <w:rFonts w:ascii="Times New Roman" w:hAnsi="Times New Roman" w:cs="Times New Roman" w:eastAsia="黑体"/>
          <w:b w:val="0"/>
          <w:sz w:val="21"/>
        </w:rPr>
        <w:t>数据协议回答范围表</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协议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预测时输入</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目标与评价</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主要回答的问题</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不支持的结论</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SG-DATA-005旧主实验</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旧代理负荷及其派生通道、行为通道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事后重构代理负荷；统一测试键</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在同一离线回溯口径下，MRG-GCN相对时间和图基线的表现及机制诊断</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在线可执行精度、实测功率等价性</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SG-DATA-006-eventtime-v1</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接入、离站、活跃计数及当地日历编码</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仍为事后代理目标；严格按事件时刻切分</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更严格可见行为输入下的稳健性与协议敏感性</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与旧MAE直接合并、证明无泄漏或证明实测部署性能</w:t>
            </w:r>
          </w:p>
        </w:tc>
      </w:tr>
    </w:tbl>
    <w:p>
      <w:pPr>
        <w:spacing w:before="360" w:after="240" w:line="360" w:lineRule="auto"/>
        <w:ind w:firstLine="0"/>
        <w:jc w:val="both"/>
        <w:outlineLvl w:val="1"/>
      </w:pPr>
      <w:r>
        <w:rPr>
          <w:rFonts w:ascii="Times New Roman" w:hAnsi="Times New Roman" w:cs="Times New Roman" w:eastAsia="黑体"/>
          <w:b/>
          <w:sz w:val="30"/>
        </w:rPr>
        <w:t>2.2 节点可用性筛选与质量门禁</w:t>
      </w:r>
    </w:p>
    <w:p>
      <w:pPr>
        <w:spacing w:before="0" w:after="0" w:line="300" w:lineRule="auto"/>
        <w:ind w:firstLine="480"/>
        <w:jc w:val="both"/>
      </w:pPr>
      <w:r>
        <w:rPr>
          <w:rFonts w:ascii="Times New Roman" w:hAnsi="Times New Roman" w:cs="Times New Roman" w:eastAsia="宋体"/>
          <w:b w:val="0"/>
          <w:sz w:val="24"/>
        </w:rPr>
        <w:t>55个候选节点的记录密度差异较大，部分节点在训练期或验证期仅有少量会话。若直接将全部节点用于建模，少量近乎无活动的序列会增加估计不稳定性，也会使模型对比受到节点可评价性变化的影响。为此，本文在模型训练前设置主分析与敏感性分析两级筛选门槛，并将筛选规则固定在训练集和验证集上。测试集只生成节点是否可评价的标记，不参与节点入选决策。</w:t>
      </w:r>
    </w:p>
    <w:p>
      <w:pPr>
        <w:spacing w:before="0" w:after="0" w:line="300" w:lineRule="auto"/>
        <w:ind w:firstLine="480"/>
        <w:jc w:val="both"/>
      </w:pPr>
      <w:r>
        <w:rPr>
          <w:rFonts w:ascii="Times New Roman" w:hAnsi="Times New Roman" w:cs="Times New Roman" w:eastAsia="宋体"/>
          <w:b w:val="0"/>
          <w:sz w:val="24"/>
        </w:rPr>
        <w:t>数据按时间顺序划分为训练集、验证集和测试集，预测起点数量分别为83,103、17,807和17,809，占比约为70%、15%和15%。对应的预测起点范围依次为2018年4月26日10:45至2020年9月8日2:15、2020年9月8日2:30至2021年3月12日14:00，以及2021年3月12日14:15至2021年9月14日2:15。三部分时间连续、互斥且顺序固定；按日历月份计，训练、验证和测试阶段分别涉及30、7和7个自然月，其中各段首尾月份并非完整月份。</w:t>
      </w:r>
    </w:p>
    <w:p>
      <w:pPr>
        <w:spacing w:before="0" w:after="0" w:line="300" w:lineRule="auto"/>
        <w:ind w:firstLine="480"/>
        <w:jc w:val="both"/>
      </w:pPr>
      <w:r>
        <w:rPr>
          <w:rFonts w:ascii="Times New Roman" w:hAnsi="Times New Roman" w:cs="Times New Roman" w:eastAsia="宋体"/>
          <w:b w:val="0"/>
          <w:sz w:val="24"/>
        </w:rPr>
        <w:t>节点筛选从会话活跃度、时间覆盖和负荷稳定性三个方面设置六项条件，具体门槛见表2-2。主分析门槛要求训练期接入事件不少于100次、验证期不少于10次，训练期非零负荷时间片不少于200片，训练期和验证期活跃月份比例均不低于0.50，且训练期月度能量变异系数不高于2.5。敏感性分析使用较宽松但同样冻结的门槛，以检验结论对节点覆盖范围的依赖。按主分析门槛，验证期接入事件数和活跃月份比例分别使44个和42个候选节点未通过，是节点减少的主要原因；训练期各条件造成的未通过数量相对较少。</w:t>
      </w:r>
    </w:p>
    <w:p>
      <w:pPr>
        <w:keepNext/>
        <w:spacing w:before="60" w:after="60" w:line="240" w:lineRule="auto"/>
        <w:ind w:firstLine="0"/>
        <w:jc w:val="center"/>
      </w:pPr>
      <w:r>
        <w:rPr>
          <w:rFonts w:ascii="Times New Roman" w:hAnsi="Times New Roman" w:cs="Times New Roman" w:eastAsia="黑体"/>
          <w:b w:val="0"/>
          <w:sz w:val="21"/>
        </w:rPr>
        <w:t>表2-2 节点筛选门槛及主分析条件下的未通过数量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筛选条件</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主分析门槛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敏感性门槛</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主分析条件下未通过节点数</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训练期接入事件数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验证期接入事件数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≥5次</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训练期非零负荷时间片数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≥200片</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≥80片</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训练期活跃月份比例</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验证期活跃月份比例</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训练期月度能量变异系数</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≤2.5</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≤3.5</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bl>
    <w:p>
      <w:pPr>
        <w:spacing w:before="0" w:after="0" w:line="300" w:lineRule="auto"/>
        <w:ind w:firstLine="480"/>
        <w:jc w:val="both"/>
      </w:pPr>
      <w:r>
        <w:rPr>
          <w:rFonts w:ascii="Times New Roman" w:hAnsi="Times New Roman" w:cs="Times New Roman" w:eastAsia="宋体"/>
          <w:b w:val="0"/>
          <w:sz w:val="24"/>
        </w:rPr>
        <w:t>六项条件联合筛选后，55个候选节点中有10个进入主分析集合，且均可在测试期评价；敏感性分析集合包含15个节点，其中14个在测试期可评价。敏感性集合与主分析集合部分重合，另有5个节点仅进入敏感性集合。图2-2展示各候选节点在训练、验证和测试阶段的活跃月份比例以及筛选归属。图中测试期覆盖情况仅用于描述冻结节点集合的后续可评价性，并未反向参与筛选。</w:t>
      </w:r>
    </w:p>
    <w:p>
      <w:pPr>
        <w:spacing w:before="60" w:after="60" w:line="240" w:lineRule="auto"/>
        <w:ind w:firstLine="0"/>
        <w:jc w:val="center"/>
      </w:pPr>
      <w:r>
        <w:drawing>
          <wp:inline xmlns:a="http://schemas.openxmlformats.org/drawingml/2006/main" xmlns:pic="http://schemas.openxmlformats.org/drawingml/2006/picture">
            <wp:extent cx="5112000" cy="3004149"/>
            <wp:docPr id="26" name="Picture 26"/>
            <wp:cNvGraphicFramePr>
              <a:graphicFrameLocks noChangeAspect="1"/>
            </wp:cNvGraphicFramePr>
            <a:graphic>
              <a:graphicData uri="http://schemas.openxmlformats.org/drawingml/2006/picture">
                <pic:pic>
                  <pic:nvPicPr>
                    <pic:cNvPr id="0" name="fig2_2_node_coverage.png"/>
                    <pic:cNvPicPr/>
                  </pic:nvPicPr>
                  <pic:blipFill>
                    <a:blip r:embed="rId63"/>
                    <a:stretch>
                      <a:fillRect/>
                    </a:stretch>
                  </pic:blipFill>
                  <pic:spPr>
                    <a:xfrm>
                      <a:off x="0" y="0"/>
                      <a:ext cx="5112000" cy="30041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图2-2 候选节点覆盖率与筛选结果</w:t>
      </w:r>
    </w:p>
    <w:p>
      <w:pPr>
        <w:spacing w:before="0" w:after="0" w:line="300" w:lineRule="auto"/>
        <w:ind w:firstLine="480"/>
        <w:jc w:val="both"/>
      </w:pPr>
      <w:r>
        <w:rPr>
          <w:rFonts w:ascii="Times New Roman" w:hAnsi="Times New Roman" w:cs="Times New Roman" w:eastAsia="宋体"/>
          <w:b w:val="0"/>
          <w:sz w:val="18"/>
        </w:rPr>
        <w:t>注：（a）55个候选节点在训练、验证和测试阶段的活跃月份比例，横向参考线给出主分析门槛0.50和敏感性门槛0.25；（b）主分析节点、敏感性专属节点和未入选节点的筛选结果。按日历月份计，三个阶段分别涉及30、7和7个自然月，首尾月份可能不完整。节点清单只依据训练期与验证期统计量冻结，测试期覆盖率仅用于可评价性检查。该图为全量描述性统计，不含抽样误差棒。</w:t>
      </w:r>
    </w:p>
    <w:p>
      <w:pPr>
        <w:spacing w:before="0" w:after="0" w:line="300" w:lineRule="auto"/>
        <w:ind w:firstLine="480"/>
        <w:jc w:val="both"/>
      </w:pPr>
      <w:r>
        <w:rPr>
          <w:rFonts w:ascii="Times New Roman" w:hAnsi="Times New Roman" w:cs="Times New Roman" w:eastAsia="宋体"/>
          <w:b w:val="0"/>
          <w:sz w:val="24"/>
        </w:rPr>
        <w:t>除节点筛选外，本文还检查了时间片数量、时间戳间隔、标识映射、张量维度、时间划分连续性与互斥性、节点顺序以及测试边界等数据质量条件，9项门禁均通过。上述检查保证了进入后续实验的数据在时间轴和节点轴上一致，但并不把统计筛选结果解释为物理充电设施的完备清单。</w:t>
      </w:r>
    </w:p>
    <w:p>
      <w:pPr>
        <w:spacing w:before="360" w:after="240" w:line="360" w:lineRule="auto"/>
        <w:ind w:firstLine="0"/>
        <w:jc w:val="both"/>
        <w:outlineLvl w:val="1"/>
      </w:pPr>
      <w:r>
        <w:rPr>
          <w:rFonts w:ascii="Times New Roman" w:hAnsi="Times New Roman" w:cs="Times New Roman" w:eastAsia="黑体"/>
          <w:b/>
          <w:sz w:val="30"/>
        </w:rPr>
        <w:t>2.3 节点负荷统计特征</w:t>
      </w:r>
    </w:p>
    <w:p>
      <w:pPr>
        <w:spacing w:before="0" w:after="0" w:line="300" w:lineRule="auto"/>
        <w:ind w:firstLine="480"/>
        <w:jc w:val="both"/>
      </w:pPr>
      <w:r>
        <w:rPr>
          <w:rFonts w:ascii="Times New Roman" w:hAnsi="Times New Roman" w:cs="Times New Roman" w:eastAsia="宋体"/>
          <w:b w:val="0"/>
          <w:sz w:val="24"/>
        </w:rPr>
        <w:t>主分析集合由CA-303、CA-304、CA-305、CA-307、CA-311、CA-315、CA-317、CA-321、CA-327和CA-489共10个节点组成。对118,818个时间步、10个节点的节点代理负荷进行统计，全量样本均值为0.0780 kWh/15 min，标准差为0.2186 kWh/15 min，最大值为2.9671 kWh/15 min；非零样本占21.59%，即零值约占78.41%。在后续模型使用的测试集预测键上，非零目标占12.75%，零值约占87.25%。因此，该数据同时具有大量零值和非零部分长尾波动两种特征。</w:t>
      </w:r>
    </w:p>
    <w:p>
      <w:pPr>
        <w:spacing w:before="0" w:after="0" w:line="300" w:lineRule="auto"/>
        <w:ind w:firstLine="480"/>
        <w:jc w:val="both"/>
      </w:pPr>
      <w:r>
        <w:rPr>
          <w:rFonts w:ascii="Times New Roman" w:hAnsi="Times New Roman" w:cs="Times New Roman" w:eastAsia="宋体"/>
          <w:b w:val="0"/>
          <w:sz w:val="24"/>
        </w:rPr>
        <w:t>连续四周的节点负荷热力图如图2-3所示。各节点按累计负荷排序，并按节点自身最大值归一化以突出时间结构；右侧条带表示同期累计负荷的相对规模。稀疏负荷片段主要随日内时段成组出现，不同节点的活跃程度和持续模式并不一致。图2-4进一步展示三个代表性节点的自相关函数，在96步和672步附近均出现局部峰值，分别对应24 h和168 h周期。由于数据中存在大量并列零值，这些图形用于描述周期性线索，不据此作平稳性或因果判断。</w:t>
      </w:r>
    </w:p>
    <w:p>
      <w:pPr>
        <w:spacing w:before="60" w:after="60" w:line="240" w:lineRule="auto"/>
        <w:ind w:firstLine="0"/>
        <w:jc w:val="center"/>
      </w:pPr>
      <w:r>
        <w:drawing>
          <wp:inline xmlns:a="http://schemas.openxmlformats.org/drawingml/2006/main" xmlns:pic="http://schemas.openxmlformats.org/drawingml/2006/picture">
            <wp:extent cx="5112000" cy="2392139"/>
            <wp:docPr id="27" name="Picture 27"/>
            <wp:cNvGraphicFramePr>
              <a:graphicFrameLocks noChangeAspect="1"/>
            </wp:cNvGraphicFramePr>
            <a:graphic>
              <a:graphicData uri="http://schemas.openxmlformats.org/drawingml/2006/picture">
                <pic:pic>
                  <pic:nvPicPr>
                    <pic:cNvPr id="0" name="fig2_3_load_heatmap.png"/>
                    <pic:cNvPicPr/>
                  </pic:nvPicPr>
                  <pic:blipFill>
                    <a:blip r:embed="rId64"/>
                    <a:stretch>
                      <a:fillRect/>
                    </a:stretch>
                  </pic:blipFill>
                  <pic:spPr>
                    <a:xfrm>
                      <a:off x="0" y="0"/>
                      <a:ext cx="5112000" cy="23921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图2-3 连续四周节点负荷热力图</w:t>
      </w:r>
    </w:p>
    <w:p>
      <w:pPr>
        <w:spacing w:before="0" w:after="0" w:line="300" w:lineRule="auto"/>
        <w:ind w:firstLine="480"/>
        <w:jc w:val="both"/>
      </w:pPr>
      <w:r>
        <w:rPr>
          <w:rFonts w:ascii="Times New Roman" w:hAnsi="Times New Roman" w:cs="Times New Roman" w:eastAsia="宋体"/>
          <w:b w:val="0"/>
          <w:sz w:val="18"/>
        </w:rPr>
        <w:t>注：颜色表示各节点相对于自身最大负荷的归一化值，节点自上而下按同期累计负荷降序排列，右侧条带表示同期累计负荷的相对规模。横轴为距首个样本的时间，周末底纹按America/Los_Angeles当地日历对齐。图中使用所示四周的完整时间片，不含误差棒，节点排序不表示物理拓扑。</w:t>
      </w:r>
    </w:p>
    <w:p>
      <w:pPr>
        <w:spacing w:before="60" w:after="60" w:line="240" w:lineRule="auto"/>
        <w:ind w:firstLine="0"/>
        <w:jc w:val="center"/>
      </w:pPr>
      <w:r>
        <w:drawing>
          <wp:inline xmlns:a="http://schemas.openxmlformats.org/drawingml/2006/main" xmlns:pic="http://schemas.openxmlformats.org/drawingml/2006/picture">
            <wp:extent cx="5112000" cy="2411934"/>
            <wp:docPr id="28" name="Picture 28"/>
            <wp:cNvGraphicFramePr>
              <a:graphicFrameLocks noChangeAspect="1"/>
            </wp:cNvGraphicFramePr>
            <a:graphic>
              <a:graphicData uri="http://schemas.openxmlformats.org/drawingml/2006/picture">
                <pic:pic>
                  <pic:nvPicPr>
                    <pic:cNvPr id="0" name="fig2_4_autocorrelation.png"/>
                    <pic:cNvPicPr/>
                  </pic:nvPicPr>
                  <pic:blipFill>
                    <a:blip r:embed="rId65"/>
                    <a:stretch>
                      <a:fillRect/>
                    </a:stretch>
                  </pic:blipFill>
                  <pic:spPr>
                    <a:xfrm>
                      <a:off x="0" y="0"/>
                      <a:ext cx="5112000" cy="241193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图2-4 代表性节点代理负荷的自相关函数</w:t>
      </w:r>
    </w:p>
    <w:p>
      <w:pPr>
        <w:spacing w:before="0" w:after="0" w:line="300" w:lineRule="auto"/>
        <w:ind w:firstLine="480"/>
        <w:jc w:val="both"/>
      </w:pPr>
      <w:r>
        <w:rPr>
          <w:rFonts w:ascii="Times New Roman" w:hAnsi="Times New Roman" w:cs="Times New Roman" w:eastAsia="宋体"/>
          <w:b w:val="0"/>
          <w:sz w:val="18"/>
        </w:rPr>
        <w:t>注：展示CA-303、CA-327和CA-489在不同滞后步长下的样本自相关，虚线标示96步（24 h）和672步（168 h）。三节点在两个周期位置均呈正相关，但相关系数约为0.19～0.27，因此仅说明日、周滞后具有可利用的统计依赖，不表示强确定性周期。</w:t>
      </w:r>
    </w:p>
    <w:p>
      <w:pPr>
        <w:spacing w:before="0" w:after="0" w:line="300" w:lineRule="auto"/>
        <w:ind w:firstLine="480"/>
        <w:jc w:val="both"/>
      </w:pPr>
      <w:r>
        <w:rPr>
          <w:rFonts w:ascii="Times New Roman" w:hAnsi="Times New Roman" w:cs="Times New Roman" w:eastAsia="宋体"/>
          <w:b w:val="0"/>
          <w:sz w:val="24"/>
        </w:rPr>
        <w:t>由表2-3可见，节点间存在明显异质性。CA-303的均值为0.1323 kWh/15 min、非零率为31.45%，均为主分析节点中的较高水平；CA-321的均值最低，为0.0562 kWh/15 min；CA-311的非零率最低，为14.62%。最高与最低非零率相差超过2倍，最高与最低均值约相差2.35倍。峰均比则介于约22.4和44.4之间，说明低平均负荷节点也可能出现相对突出的局部峰值。该差异提示模型训练与误差分析应保留节点维度，避免仅用全站聚合量掩盖节点表现。</w:t>
      </w:r>
    </w:p>
    <w:p>
      <w:pPr>
        <w:keepNext/>
        <w:spacing w:before="60" w:after="60" w:line="240" w:lineRule="auto"/>
        <w:ind w:firstLine="0"/>
        <w:jc w:val="center"/>
      </w:pPr>
      <w:r>
        <w:rPr>
          <w:rFonts w:ascii="Times New Roman" w:hAnsi="Times New Roman" w:cs="Times New Roman" w:eastAsia="黑体"/>
          <w:b w:val="0"/>
          <w:sz w:val="21"/>
        </w:rPr>
        <w:t>表2-3 主分析节点代理负荷统计</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非零率/%</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最大值/(kWh/15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标准差/(kWh/15 min)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峰均比</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0.1323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31.45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0.2885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0.0650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15.84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0.2188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42.2</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0.1078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2.849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0.2585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0.0798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19.09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2.663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33.4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0.2059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44.4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0.0684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0.1968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41.0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0.2071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17.89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0.0735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1.761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0.1856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24.0</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0.0629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19.54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2.350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0.1852</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37.3</w:t>
            </w:r>
          </w:p>
        </w:tc>
      </w:tr>
    </w:tbl>
    <w:p>
      <w:pPr>
        <w:spacing w:before="0" w:after="0" w:line="300" w:lineRule="auto"/>
        <w:ind w:firstLine="480"/>
        <w:jc w:val="both"/>
      </w:pPr>
      <w:r>
        <w:rPr>
          <w:rFonts w:ascii="Times New Roman" w:hAnsi="Times New Roman" w:cs="Times New Roman" w:eastAsia="宋体"/>
          <w:b w:val="0"/>
          <w:sz w:val="24"/>
        </w:rPr>
        <w:t>三个代表性节点在日、周滞后位置的自相关系数列于表2-4。</w:t>
      </w:r>
    </w:p>
    <w:p>
      <w:pPr>
        <w:keepNext/>
        <w:spacing w:before="60" w:after="60" w:line="240" w:lineRule="auto"/>
        <w:ind w:firstLine="0"/>
        <w:jc w:val="center"/>
      </w:pPr>
      <w:r>
        <w:rPr>
          <w:rFonts w:ascii="Times New Roman" w:hAnsi="Times New Roman" w:cs="Times New Roman" w:eastAsia="黑体"/>
          <w:b w:val="0"/>
          <w:sz w:val="21"/>
        </w:rPr>
        <w:t>表2-4 代表性节点日、周滞后自相关系数</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96步（24 h）</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672步（168 h）</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0.189</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0.237</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0.236</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0.200</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0.273</w:t>
            </w:r>
          </w:p>
        </w:tc>
      </w:tr>
    </w:tbl>
    <w:p>
      <w:pPr>
        <w:spacing w:before="0" w:after="0" w:line="300" w:lineRule="auto"/>
        <w:ind w:firstLine="480"/>
        <w:jc w:val="both"/>
      </w:pPr>
      <w:r>
        <w:rPr>
          <w:rFonts w:ascii="Times New Roman" w:hAnsi="Times New Roman" w:cs="Times New Roman" w:eastAsia="宋体"/>
          <w:b w:val="0"/>
          <w:sz w:val="24"/>
        </w:rPr>
        <w:t>三个代表性节点的日内起伏和工作日—周末差异见图2-5，非零节点代理负荷的经验分布见图2-6。后者使用对数纵轴，仍可观察到随负荷增大而逐渐变稀的右尾。两图与表2-3共同说明：多数时间片没有充电活动，但发生充电时的幅度和持续模式具有较大差异。</w:t>
      </w:r>
    </w:p>
    <w:p>
      <w:pPr>
        <w:spacing w:before="60" w:after="60" w:line="240" w:lineRule="auto"/>
        <w:ind w:firstLine="0"/>
        <w:jc w:val="center"/>
      </w:pPr>
      <w:r>
        <w:drawing>
          <wp:inline xmlns:a="http://schemas.openxmlformats.org/drawingml/2006/main" xmlns:pic="http://schemas.openxmlformats.org/drawingml/2006/picture">
            <wp:extent cx="5112000" cy="2382088"/>
            <wp:docPr id="29" name="Picture 29"/>
            <wp:cNvGraphicFramePr>
              <a:graphicFrameLocks noChangeAspect="1"/>
            </wp:cNvGraphicFramePr>
            <a:graphic>
              <a:graphicData uri="http://schemas.openxmlformats.org/drawingml/2006/picture">
                <pic:pic>
                  <pic:nvPicPr>
                    <pic:cNvPr id="0" name="fig2_5_weekly_curves.png"/>
                    <pic:cNvPicPr/>
                  </pic:nvPicPr>
                  <pic:blipFill>
                    <a:blip r:embed="rId66"/>
                    <a:stretch>
                      <a:fillRect/>
                    </a:stretch>
                  </pic:blipFill>
                  <pic:spPr>
                    <a:xfrm>
                      <a:off x="0" y="0"/>
                      <a:ext cx="5112000" cy="238208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图2-5 代表性节点典型周负荷曲线</w:t>
      </w:r>
    </w:p>
    <w:p>
      <w:pPr>
        <w:spacing w:before="0" w:after="0" w:line="300" w:lineRule="auto"/>
        <w:ind w:firstLine="480"/>
        <w:jc w:val="both"/>
      </w:pPr>
      <w:r>
        <w:rPr>
          <w:rFonts w:ascii="Times New Roman" w:hAnsi="Times New Roman" w:cs="Times New Roman" w:eastAsia="宋体"/>
          <w:b w:val="0"/>
          <w:sz w:val="18"/>
        </w:rPr>
        <w:t>注：曲线为CA-303、CA-489和CA-311自第2,880个时间片起连续7日的实际代理负荷序列，并非跨周聚合均值。横轴为距该段首个样本的时间；浅灰表示当地00—06时，浅橙表示当地周末，时区为America/Los_Angeles。图中不含误差棒，用于描述所选时段的节点差异，不代表全年平均节律。</w:t>
      </w:r>
    </w:p>
    <w:p>
      <w:pPr>
        <w:spacing w:before="60" w:after="60" w:line="240" w:lineRule="auto"/>
        <w:ind w:firstLine="0"/>
        <w:jc w:val="center"/>
      </w:pPr>
      <w:r>
        <w:drawing>
          <wp:inline xmlns:a="http://schemas.openxmlformats.org/drawingml/2006/main" xmlns:pic="http://schemas.openxmlformats.org/drawingml/2006/picture">
            <wp:extent cx="5112000" cy="2721664"/>
            <wp:docPr id="30" name="Picture 30"/>
            <wp:cNvGraphicFramePr>
              <a:graphicFrameLocks noChangeAspect="1"/>
            </wp:cNvGraphicFramePr>
            <a:graphic>
              <a:graphicData uri="http://schemas.openxmlformats.org/drawingml/2006/picture">
                <pic:pic>
                  <pic:nvPicPr>
                    <pic:cNvPr id="0" name="fig2_6_load_distribution.png"/>
                    <pic:cNvPicPr/>
                  </pic:nvPicPr>
                  <pic:blipFill>
                    <a:blip r:embed="rId67"/>
                    <a:stretch>
                      <a:fillRect/>
                    </a:stretch>
                  </pic:blipFill>
                  <pic:spPr>
                    <a:xfrm>
                      <a:off x="0" y="0"/>
                      <a:ext cx="5112000" cy="2721664"/>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图2-6 非零节点代理负荷经验分布</w:t>
      </w:r>
    </w:p>
    <w:p>
      <w:pPr>
        <w:spacing w:before="0" w:after="0" w:line="300" w:lineRule="auto"/>
        <w:ind w:firstLine="480"/>
        <w:jc w:val="both"/>
      </w:pPr>
      <w:r>
        <w:rPr>
          <w:rFonts w:ascii="Times New Roman" w:hAnsi="Times New Roman" w:cs="Times New Roman" w:eastAsia="宋体"/>
          <w:b w:val="0"/>
          <w:sz w:val="18"/>
        </w:rPr>
        <w:t>注：统计对象为10个主分析节点全时段的非零节点代理负荷，横轴单位为kWh/15 min，纵轴采用对数刻度以展示低频右尾。图中为完整样本的经验频数，不含误差棒；横轴显示范围用于突出主要分布区域，不改变表2-3中的全量最大值统计。</w:t>
      </w:r>
    </w:p>
    <w:p>
      <w:pPr>
        <w:spacing w:before="360" w:after="240" w:line="360" w:lineRule="auto"/>
        <w:ind w:firstLine="0"/>
        <w:jc w:val="both"/>
        <w:outlineLvl w:val="1"/>
      </w:pPr>
      <w:r>
        <w:rPr>
          <w:rFonts w:ascii="Times New Roman" w:hAnsi="Times New Roman" w:cs="Times New Roman" w:eastAsia="黑体"/>
          <w:b/>
          <w:sz w:val="30"/>
        </w:rPr>
        <w:t>2.4 事件分数构成与事件窗口统计</w:t>
      </w:r>
    </w:p>
    <w:p>
      <w:pPr>
        <w:spacing w:before="0" w:after="0" w:line="300" w:lineRule="auto"/>
        <w:ind w:firstLine="480"/>
        <w:jc w:val="both"/>
      </w:pPr>
      <w:r>
        <w:rPr>
          <w:rFonts w:ascii="Times New Roman" w:hAnsi="Times New Roman" w:cs="Times New Roman" w:eastAsia="宋体"/>
          <w:b w:val="0"/>
          <w:sz w:val="24"/>
        </w:rPr>
        <w:t>为描述会话接入、离站、活跃状态突变和负荷突变共同形成的短时行为变化，本文构造节点级规则事件分数。设节点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在时间片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的新接入数、离站数、活跃会话数和节点代理负荷分别为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r>
          <m:t>,</m:t>
        </m:r>
        <m:r>
          <m:t>i</m:t>
        </m:r>
      </m:oMath>
      <w:r>
        <w:rPr>
          <w:rFonts w:ascii="Times New Roman" w:hAnsi="Times New Roman" w:cs="Times New Roman" w:eastAsia="宋体"/>
          <w:b w:val="0"/>
          <w:sz w:val="24"/>
        </w:rPr>
        <w:t>，相应分量的训练期标准差为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i</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c</m:t>
        </m:r>
        <m:r>
          <m:t>,</m:t>
        </m:r>
        <m:r>
          <m:t>i</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r>
          <m:t>y</m:t>
        </m:r>
        <m:r>
          <m:t>,</m:t>
        </m:r>
        <m:r>
          <m:t>i</m:t>
        </m:r>
      </m:oMath>
      <w:r>
        <w:rPr>
          <w:rFonts w:ascii="Times New Roman" w:hAnsi="Times New Roman" w:cs="Times New Roman" w:eastAsia="宋体"/>
          <w:b w:val="0"/>
          <w:sz w:val="24"/>
        </w:rPr>
        <w:t>，则事件分数定义为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m:t>
            </m:r>
            <m:r>
              <m:t>,</m:t>
            </m:r>
            <m:r>
              <m:t>i</m:t>
            </m:r>
          </m:sub>
        </m:sSub>
        <m:r>
          <m:t>=</m:t>
        </m:r>
        <m:f>
          <m:num>
            <m:sSub>
              <m:sSubPr/>
              <m:e>
                <m:r>
                  <m:t>a</m:t>
                </m:r>
              </m:e>
              <m:sub>
                <m:r>
                  <m:t>t</m:t>
                </m:r>
                <m:r>
                  <m:t>,</m:t>
                </m:r>
                <m:r>
                  <m:t>i</m:t>
                </m:r>
              </m:sub>
            </m:sSub>
          </m:num>
          <m:den>
            <m:r>
              <m:t>max</m:t>
            </m:r>
            <m:r>
              <m:t>⁡</m:t>
            </m:r>
            <m:r>
              <m:t>(</m:t>
            </m:r>
            <m:sSub>
              <m:sSubPr/>
              <m:e>
                <m:r>
                  <m:t>σ</m:t>
                </m:r>
              </m:e>
              <m:sub>
                <m:r>
                  <m:t>a</m:t>
                </m:r>
                <m:r>
                  <m:t>,</m:t>
                </m:r>
                <m:r>
                  <m:t>i</m:t>
                </m:r>
              </m:sub>
            </m:sSub>
            <m:r>
              <m:t>,</m:t>
            </m:r>
            <m:r>
              <m:t>ε</m:t>
            </m:r>
            <m:r>
              <m:t>)</m:t>
            </m:r>
          </m:den>
        </m:f>
        <m:r>
          <m:t>+</m:t>
        </m:r>
        <m:f>
          <m:num>
            <m:sSub>
              <m:sSubPr/>
              <m:e>
                <m:r>
                  <m:t>d</m:t>
                </m:r>
              </m:e>
              <m:sub>
                <m:r>
                  <m:t>t</m:t>
                </m:r>
                <m:r>
                  <m:t>,</m:t>
                </m:r>
                <m:r>
                  <m:t>i</m:t>
                </m:r>
              </m:sub>
            </m:sSub>
          </m:num>
          <m:den>
            <m:r>
              <m:t>max</m:t>
            </m:r>
            <m:r>
              <m:t>⁡</m:t>
            </m:r>
            <m:r>
              <m:t>(</m:t>
            </m:r>
            <m:sSub>
              <m:sSubPr/>
              <m:e>
                <m:r>
                  <m:t>σ</m:t>
                </m:r>
              </m:e>
              <m:sub>
                <m:r>
                  <m:t>d</m:t>
                </m:r>
                <m:r>
                  <m:t>,</m:t>
                </m:r>
                <m:r>
                  <m:t>i</m:t>
                </m:r>
              </m:sub>
            </m:sSub>
            <m:r>
              <m:t>,</m:t>
            </m:r>
            <m:r>
              <m:t>ε</m:t>
            </m:r>
            <m:r>
              <m:t>)</m:t>
            </m:r>
          </m:den>
        </m:f>
        <m:r>
          <m:t>+</m:t>
        </m:r>
        <m:f>
          <m:num>
            <m:r>
              <m:t>|</m:t>
            </m:r>
            <m:sSub>
              <m:sSubPr/>
              <m:e>
                <m:r>
                  <m:t>c</m:t>
                </m:r>
              </m:e>
              <m:sub>
                <m:r>
                  <m:t>t</m:t>
                </m:r>
                <m:r>
                  <m:t>,</m:t>
                </m:r>
                <m:r>
                  <m:t>i</m:t>
                </m:r>
              </m:sub>
            </m:sSub>
            <m:r>
              <m:t>−</m:t>
            </m:r>
            <m:sSub>
              <m:sSubPr/>
              <m:e>
                <m:r>
                  <m:t>c</m:t>
                </m:r>
              </m:e>
              <m:sub>
                <m:r>
                  <m:t>t</m:t>
                </m:r>
                <m:r>
                  <m:t>−</m:t>
                </m:r>
                <m:r>
                  <m:t>1</m:t>
                </m:r>
                <m:r>
                  <m:t>,</m:t>
                </m:r>
                <m:r>
                  <m:t>i</m:t>
                </m:r>
              </m:sub>
            </m:sSub>
            <m:r>
              <m:t>|</m:t>
            </m:r>
          </m:num>
          <m:den>
            <m:r>
              <m:t>max</m:t>
            </m:r>
            <m:r>
              <m:t>⁡</m:t>
            </m:r>
            <m:r>
              <m:t>(</m:t>
            </m:r>
            <m:sSub>
              <m:sSubPr/>
              <m:e>
                <m:r>
                  <m:t>σ</m:t>
                </m:r>
              </m:e>
              <m:sub>
                <m:r>
                  <m:t>Δ</m:t>
                </m:r>
                <m:r>
                  <m:t>c</m:t>
                </m:r>
                <m:r>
                  <m:t>,</m:t>
                </m:r>
                <m:r>
                  <m:t>i</m:t>
                </m:r>
              </m:sub>
            </m:sSub>
            <m:r>
              <m:t>,</m:t>
            </m:r>
            <m:r>
              <m:t>ε</m:t>
            </m:r>
            <m:r>
              <m:t>)</m:t>
            </m:r>
          </m:den>
        </m:f>
        <m:r>
          <m:t>+</m:t>
        </m:r>
        <m:f>
          <m:num>
            <m:r>
              <m:t>|</m:t>
            </m:r>
            <m:sSub>
              <m:sSubPr/>
              <m:e>
                <m:r>
                  <m:t>y</m:t>
                </m:r>
              </m:e>
              <m:sub>
                <m:r>
                  <m:t>t</m:t>
                </m:r>
                <m:r>
                  <m:t>,</m:t>
                </m:r>
                <m:r>
                  <m:t>i</m:t>
                </m:r>
              </m:sub>
            </m:sSub>
            <m:r>
              <m:t>−</m:t>
            </m:r>
            <m:sSub>
              <m:sSubPr/>
              <m:e>
                <m:r>
                  <m:t>y</m:t>
                </m:r>
              </m:e>
              <m:sub>
                <m:r>
                  <m:t>t</m:t>
                </m:r>
                <m:r>
                  <m:t>−</m:t>
                </m:r>
                <m:r>
                  <m:t>1</m:t>
                </m:r>
                <m:r>
                  <m:t>,</m:t>
                </m:r>
                <m:r>
                  <m:t>i</m:t>
                </m:r>
              </m:sub>
            </m:sSub>
            <m:r>
              <m:t>|</m:t>
            </m:r>
          </m:num>
          <m:den>
            <m:r>
              <m:t>max</m:t>
            </m:r>
            <m:r>
              <m:t>⁡</m:t>
            </m:r>
            <m:r>
              <m:t>(</m:t>
            </m:r>
            <m:sSub>
              <m:sSubPr/>
              <m:e>
                <m:r>
                  <m:t>σ</m:t>
                </m:r>
              </m:e>
              <m:sub>
                <m:r>
                  <m:t>Δ</m:t>
                </m:r>
                <m:r>
                  <m:t>y</m:t>
                </m:r>
                <m:r>
                  <m:t>,</m:t>
                </m:r>
                <m:r>
                  <m:t>i</m:t>
                </m:r>
              </m:sub>
            </m:sSub>
            <m:r>
              <m:t>,</m:t>
            </m:r>
            <m:r>
              <m:t>ε</m:t>
            </m:r>
            <m:r>
              <m:t>)</m:t>
            </m:r>
          </m:den>
        </m:f>
        <m:r>
          <m:t>,</m:t>
        </m:r>
      </m:oMath>
      <w:r>
        <w:tab/>
      </w:r>
      <w:r>
        <w:rPr>
          <w:rFonts w:ascii="Times New Roman" w:hAnsi="Times New Roman" w:cs="Times New Roman" w:eastAsia="宋体"/>
          <w:sz w:val="21"/>
        </w:rPr>
        <w:t>（2-2）</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ε</m:t>
        </m:r>
      </m:oMath>
      <w:r>
        <w:rPr>
          <w:rFonts w:ascii="Times New Roman" w:hAnsi="Times New Roman" w:cs="Times New Roman" w:eastAsia="宋体"/>
          <w:b w:val="0"/>
          <w:sz w:val="24"/>
        </w:rPr>
        <w:t>为防止分母为零的极小常数。四个标准差均按节点在训练集上计算，使不同活跃度节点和不同量纲的行为分量能够在同一规则中比较。对于每个节点，在验证集非零事件分数上取95%分位数作为阈值；超过阈值的时间片记为规则触发点，并只向未来扩展2个时间片。阈值和扩展规则一经确定便保持不变，测试集不参与阈值估计，相邻或重叠的触发窗口合并为连续窗口。完整生成流程见图2-7。</w:t>
      </w:r>
    </w:p>
    <w:p>
      <w:pPr>
        <w:spacing w:before="60" w:after="60" w:line="240" w:lineRule="auto"/>
        <w:ind w:firstLine="0"/>
        <w:jc w:val="center"/>
      </w:pPr>
      <w:r>
        <w:drawing>
          <wp:inline xmlns:a="http://schemas.openxmlformats.org/drawingml/2006/main" xmlns:pic="http://schemas.openxmlformats.org/drawingml/2006/picture">
            <wp:extent cx="5112000" cy="2877029"/>
            <wp:docPr id="31" name="Picture 31"/>
            <wp:cNvGraphicFramePr>
              <a:graphicFrameLocks noChangeAspect="1"/>
            </wp:cNvGraphicFramePr>
            <a:graphic>
              <a:graphicData uri="http://schemas.openxmlformats.org/drawingml/2006/picture">
                <pic:pic>
                  <pic:nvPicPr>
                    <pic:cNvPr id="0" name="fig2_7_event_score_flow.png"/>
                    <pic:cNvPicPr/>
                  </pic:nvPicPr>
                  <pic:blipFill>
                    <a:blip r:embed="rId6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图2-7 事件分数与冻结规则事件窗口生成流程</w:t>
      </w:r>
    </w:p>
    <w:p>
      <w:pPr>
        <w:spacing w:before="0" w:after="0" w:line="300" w:lineRule="auto"/>
        <w:ind w:firstLine="480"/>
        <w:jc w:val="both"/>
      </w:pPr>
      <w:r>
        <w:rPr>
          <w:rFonts w:ascii="Times New Roman" w:hAnsi="Times New Roman" w:cs="Times New Roman" w:eastAsia="宋体"/>
          <w:b w:val="0"/>
          <w:sz w:val="18"/>
        </w:rPr>
        <w:t>注：接入、离站、活跃变化和负荷变化四个分量经逐节点标准差归一化后求和，采用验证集95%分位阈值触发，并仅向未来扩展2步。标准差来自训练集，测试集不参与阈值估计。</w:t>
      </w:r>
    </w:p>
    <w:p>
      <w:pPr>
        <w:spacing w:before="0" w:after="0" w:line="300" w:lineRule="auto"/>
        <w:ind w:firstLine="480"/>
        <w:jc w:val="both"/>
      </w:pPr>
      <w:r>
        <w:rPr>
          <w:rFonts w:ascii="Times New Roman" w:hAnsi="Times New Roman" w:cs="Times New Roman" w:eastAsia="宋体"/>
          <w:b w:val="0"/>
          <w:sz w:val="24"/>
        </w:rPr>
        <w:t>标签事件时间步的日内分布见图2-8，可见事件并非在一天内均匀出现。图2-9进一步展示冻结规则事件窗口中四个标准化分量的节点平均贡献；由于规则分数是各分量的非负加和，该图用于描述规则窗口内可见行为的构成，不表示分量对预测误差的因果贡献。</w:t>
      </w:r>
    </w:p>
    <w:p>
      <w:pPr>
        <w:spacing w:before="60" w:after="60" w:line="240" w:lineRule="auto"/>
        <w:ind w:firstLine="0"/>
        <w:jc w:val="center"/>
      </w:pPr>
      <w:r>
        <w:drawing>
          <wp:inline xmlns:a="http://schemas.openxmlformats.org/drawingml/2006/main" xmlns:pic="http://schemas.openxmlformats.org/drawingml/2006/picture">
            <wp:extent cx="5112000" cy="2598810"/>
            <wp:docPr id="32" name="Picture 32"/>
            <wp:cNvGraphicFramePr>
              <a:graphicFrameLocks noChangeAspect="1"/>
            </wp:cNvGraphicFramePr>
            <a:graphic>
              <a:graphicData uri="http://schemas.openxmlformats.org/drawingml/2006/picture">
                <pic:pic>
                  <pic:nvPicPr>
                    <pic:cNvPr id="0" name="fig2_8_event_hourly.png"/>
                    <pic:cNvPicPr/>
                  </pic:nvPicPr>
                  <pic:blipFill>
                    <a:blip r:embed="rId69"/>
                    <a:stretch>
                      <a:fillRect/>
                    </a:stretch>
                  </pic:blipFill>
                  <pic:spPr>
                    <a:xfrm>
                      <a:off x="0" y="0"/>
                      <a:ext cx="5112000" cy="259881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图2-8 标签事件时间步的日内分布</w:t>
      </w:r>
    </w:p>
    <w:p>
      <w:pPr>
        <w:spacing w:before="0" w:after="0" w:line="300" w:lineRule="auto"/>
        <w:ind w:firstLine="480"/>
        <w:jc w:val="both"/>
      </w:pPr>
      <w:r>
        <w:rPr>
          <w:rFonts w:ascii="Times New Roman" w:hAnsi="Times New Roman" w:cs="Times New Roman" w:eastAsia="宋体"/>
          <w:b w:val="0"/>
          <w:sz w:val="18"/>
        </w:rPr>
        <w:t>注：在全部118,818个时间步中，将任一主分析节点具有目标侧事件标签的时间步按America/Los_Angeles当地小时汇总；柱高表示该小时事件时间步数占全部事件时间步数的比例，峰值标记由同一统计数组计算。该图不区分事件类型，柱高也不是分类准确率或条件事件概率；全量描述性统计不含误差棒。</w:t>
      </w:r>
    </w:p>
    <w:p>
      <w:pPr>
        <w:spacing w:before="60" w:after="60" w:line="240" w:lineRule="auto"/>
        <w:ind w:firstLine="0"/>
        <w:jc w:val="center"/>
      </w:pPr>
      <w:r>
        <w:drawing>
          <wp:inline xmlns:a="http://schemas.openxmlformats.org/drawingml/2006/main" xmlns:pic="http://schemas.openxmlformats.org/drawingml/2006/picture">
            <wp:extent cx="5112000" cy="2561178"/>
            <wp:docPr id="33" name="Picture 33"/>
            <wp:cNvGraphicFramePr>
              <a:graphicFrameLocks noChangeAspect="1"/>
            </wp:cNvGraphicFramePr>
            <a:graphic>
              <a:graphicData uri="http://schemas.openxmlformats.org/drawingml/2006/picture">
                <pic:pic>
                  <pic:nvPicPr>
                    <pic:cNvPr id="0" name="fig2_9_event_component_composition.png"/>
                    <pic:cNvPicPr/>
                  </pic:nvPicPr>
                  <pic:blipFill>
                    <a:blip r:embed="rId70"/>
                    <a:stretch>
                      <a:fillRect/>
                    </a:stretch>
                  </pic:blipFill>
                  <pic:spPr>
                    <a:xfrm>
                      <a:off x="0" y="0"/>
                      <a:ext cx="5112000" cy="25611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图2-9 冻结规则事件窗口的分量构成</w:t>
      </w:r>
    </w:p>
    <w:p>
      <w:pPr>
        <w:spacing w:before="0" w:after="0" w:line="300" w:lineRule="auto"/>
        <w:ind w:firstLine="480"/>
        <w:jc w:val="both"/>
      </w:pPr>
      <w:r>
        <w:rPr>
          <w:rFonts w:ascii="Times New Roman" w:hAnsi="Times New Roman" w:cs="Times New Roman" w:eastAsia="宋体"/>
          <w:b w:val="0"/>
          <w:sz w:val="18"/>
        </w:rPr>
        <w:t>注：对测试集冻结规则事件窗口内的接入、离站、活跃变化和负荷变化四个标准化分量按节点取平均。事件窗口包含原始阈值触发点及其向未来扩展的两个时间片；阈值由验证集冻结，测试集仅执行规则。图中为完整窗口样本的描述性均值，不含误差棒。</w:t>
      </w:r>
    </w:p>
    <w:p>
      <w:pPr>
        <w:spacing w:before="0" w:after="0" w:line="300" w:lineRule="auto"/>
        <w:ind w:firstLine="480"/>
        <w:jc w:val="both"/>
      </w:pPr>
      <w:r>
        <w:rPr>
          <w:rFonts w:ascii="Times New Roman" w:hAnsi="Times New Roman" w:cs="Times New Roman" w:eastAsia="宋体"/>
          <w:b w:val="0"/>
          <w:sz w:val="24"/>
        </w:rPr>
        <w:t>事件统计必须区分“目标侧标签事件”和“冻结规则触发”两种口径。内部字段target_event由未来4个预测步中的接入、离站或负荷突变标签定义，直接作用于形状为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H</m:t>
        </m:r>
        <m:r>
          <m:t>,</m:t>
        </m:r>
        <m:r>
          <m:t>N</m:t>
        </m:r>
        <m:r>
          <m:t>]</m:t>
        </m:r>
      </m:oMath>
      <w:r>
        <w:rPr>
          <w:rFonts w:ascii="Times New Roman" w:hAnsi="Times New Roman" w:cs="Times New Roman" w:eastAsia="宋体"/>
          <w:b w:val="0"/>
          <w:sz w:val="24"/>
        </w:rPr>
        <w:t>的预测评价键；它是按目标侧观测构造的事后评价标签，不是人工核验的现实事件真值。测试集中共有10,160个标签事件样本，占712,360个预测键的1.426%，约为1.43%。rule_trigger由预测起点的规则分数触发，原始形状为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S</m:t>
        </m:r>
        <m:r>
          <m:t>,</m:t>
        </m:r>
        <m:r>
          <m:t>N</m:t>
        </m:r>
        <m:r>
          <m:t>]</m:t>
        </m:r>
      </m:oMath>
      <w:r>
        <w:rPr>
          <w:rFonts w:ascii="Times New Roman" w:hAnsi="Times New Roman" w:cs="Times New Roman" w:eastAsia="宋体"/>
          <w:b w:val="0"/>
          <w:sz w:val="24"/>
        </w:rPr>
        <w:t>，在四格诊断和规则路由时广播到4个预测步；测试集中共有3,060个触发预测键，占0.430%，约为0.43%。前者用于评价模型在标签事件窗口上的误差，后者用于第4章四格诊断和第5章冻结规则路由。两者定义和信息时点不同，但广播后的上述比例具有相同预测键分母；不得把原始节点—起点数与广播后预测键数直接混算，定义与用途对照见图2-10。</w:t>
      </w:r>
    </w:p>
    <w:p>
      <w:pPr>
        <w:spacing w:before="60" w:after="60" w:line="240" w:lineRule="auto"/>
        <w:ind w:firstLine="0"/>
        <w:jc w:val="center"/>
      </w:pPr>
      <w:r>
        <w:drawing>
          <wp:inline xmlns:a="http://schemas.openxmlformats.org/drawingml/2006/main" xmlns:pic="http://schemas.openxmlformats.org/drawingml/2006/picture">
            <wp:extent cx="5112000" cy="2877029"/>
            <wp:docPr id="34" name="Picture 34"/>
            <wp:cNvGraphicFramePr>
              <a:graphicFrameLocks noChangeAspect="1"/>
            </wp:cNvGraphicFramePr>
            <a:graphic>
              <a:graphicData uri="http://schemas.openxmlformats.org/drawingml/2006/picture">
                <pic:pic>
                  <pic:nvPicPr>
                    <pic:cNvPr id="0" name="fig2_10_dual_window_definition.png"/>
                    <pic:cNvPicPr/>
                  </pic:nvPicPr>
                  <pic:blipFill>
                    <a:blip r:embed="rId71"/>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图2-10 标签事件与冻结规则触发的双口径对比</w:t>
      </w:r>
    </w:p>
    <w:p>
      <w:pPr>
        <w:spacing w:before="0" w:after="0" w:line="300" w:lineRule="auto"/>
        <w:ind w:firstLine="480"/>
        <w:jc w:val="both"/>
      </w:pPr>
      <w:r>
        <w:rPr>
          <w:rFonts w:ascii="Times New Roman" w:hAnsi="Times New Roman" w:cs="Times New Roman" w:eastAsia="宋体"/>
          <w:b w:val="0"/>
          <w:sz w:val="18"/>
        </w:rPr>
        <w:t>注：target_event用于事后分层评价，rule_trigger用于冻结规则路由；两者共同定义四格诊断。原始张量分别为[S,H,N]与[S,N]，后者广播到预测步后，两项比例1.43%和0.43%均以712,360个测试预测键为分母。两者定义和信息时点不同，不能将目标侧标签用于预测时路由。</w:t>
      </w:r>
    </w:p>
    <w:p>
      <w:pPr>
        <w:spacing w:before="0" w:after="0" w:line="300" w:lineRule="auto"/>
        <w:ind w:firstLine="480"/>
        <w:jc w:val="both"/>
      </w:pPr>
      <w:r>
        <w:rPr>
          <w:rFonts w:ascii="Times New Roman" w:hAnsi="Times New Roman" w:cs="Times New Roman" w:eastAsia="宋体"/>
          <w:b w:val="0"/>
          <w:sz w:val="24"/>
        </w:rPr>
        <w:t>逐节点验证统计见表2-5。验证集非零事件分数占比为0.20%～1.06%，冻结阈值为18.9～32.5；原始触发点占节点时间片的0.011%～0.056%，向未来扩展后占0.034%～0.168%。在测试集上，规则共产生254个连续窗口，其中253个长度为3个时间片，1个因相邻触发合并为6个时间片。</w:t>
      </w:r>
    </w:p>
    <w:p>
      <w:pPr>
        <w:keepNext/>
        <w:spacing w:before="60" w:after="60" w:line="240" w:lineRule="auto"/>
        <w:ind w:firstLine="0"/>
        <w:jc w:val="center"/>
      </w:pPr>
      <w:r>
        <w:rPr>
          <w:rFonts w:ascii="Times New Roman" w:hAnsi="Times New Roman" w:cs="Times New Roman" w:eastAsia="黑体"/>
          <w:b w:val="0"/>
          <w:sz w:val="21"/>
        </w:rPr>
        <w:t>表2-5 逐节点冻结规则事件统计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验证集非零分数占比/%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冻结阈值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验证集触发点占比/%</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验证集前向窗口占比/%</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0.82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0.067</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25.5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0.79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0.168</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0.056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0.168</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0.44</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24.5</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0.022</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0.067</w:t>
            </w:r>
          </w:p>
        </w:tc>
      </w:tr>
    </w:tbl>
    <w:p>
      <w:pPr>
        <w:spacing w:before="0" w:after="0" w:line="300" w:lineRule="auto"/>
        <w:ind w:firstLine="480"/>
        <w:jc w:val="both"/>
      </w:pPr>
      <w:r>
        <w:rPr>
          <w:rFonts w:ascii="Times New Roman" w:hAnsi="Times New Roman" w:cs="Times New Roman" w:eastAsia="宋体"/>
          <w:b w:val="0"/>
          <w:sz w:val="24"/>
        </w:rPr>
        <w:t>规则在训练、验证和测试三个数据段内分别执行，因此每段最前面的两个预测起点不会继承上一数据段的触发状态。该处理避免跨划分传递信息，最多影响测试评价键中的80个位置，即2个起点×4个预测步×10个节点，占712,360个测试预测键的约0.011%，属于保守的边界处理。</w:t>
      </w:r>
    </w:p>
    <w:p>
      <w:pPr>
        <w:spacing w:before="360" w:after="240" w:line="360" w:lineRule="auto"/>
        <w:ind w:firstLine="0"/>
        <w:jc w:val="both"/>
        <w:outlineLvl w:val="1"/>
      </w:pPr>
      <w:r>
        <w:rPr>
          <w:rFonts w:ascii="Times New Roman" w:hAnsi="Times New Roman" w:cs="Times New Roman" w:eastAsia="黑体"/>
          <w:b/>
          <w:sz w:val="30"/>
        </w:rPr>
        <w:t>2.5 特征构成与输入结构</w:t>
      </w:r>
    </w:p>
    <w:p>
      <w:pPr>
        <w:spacing w:before="0" w:after="0" w:line="300" w:lineRule="auto"/>
        <w:ind w:firstLine="480"/>
        <w:jc w:val="both"/>
      </w:pPr>
      <w:r>
        <w:rPr>
          <w:rFonts w:ascii="Times New Roman" w:hAnsi="Times New Roman" w:cs="Times New Roman" w:eastAsia="宋体"/>
          <w:b w:val="0"/>
          <w:sz w:val="24"/>
        </w:rPr>
        <w:t>每个节点在每个时间步包含7项输入特征：节点代理负荷、新接入会话数、离站会话数、活跃会话数、占用率、需求强度和负荷突变标志。各特征的统计见表2-6。其中，节点代理负荷、活跃会话数、占用率和需求强度的非零率均为21.59%；接入和离站计数的非零率约为0.93%，负荷突变标志的非零率仅为0.14%。需求强度在当前数据处理中与节点代理负荷取值一致，活跃会话数和占用率之间也存在确定的比例联系，因此这些变量更适合解释为同一充电状态的不同表征，而非相互独立的信息源。</w:t>
      </w:r>
    </w:p>
    <w:p>
      <w:pPr>
        <w:keepNext/>
        <w:spacing w:before="60" w:after="60" w:line="240" w:lineRule="auto"/>
        <w:ind w:firstLine="0"/>
        <w:jc w:val="center"/>
      </w:pPr>
      <w:r>
        <w:rPr>
          <w:rFonts w:ascii="Times New Roman" w:hAnsi="Times New Roman" w:cs="Times New Roman" w:eastAsia="黑体"/>
          <w:b w:val="0"/>
          <w:sz w:val="21"/>
        </w:rPr>
        <w:t>表2-6 输入特征的全量描述性统计</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特征</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含义</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最大值</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load</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节点代理负荷</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access_count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新接入会话数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departure_count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离站会话数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0.933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active_count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活跃会话数</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0.2164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occupancy_rate</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占用率</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demand_intensity</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需求强度</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21.589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2.9671</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load_jump_flag</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负荷突变标志</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0.135</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0.0014</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r>
    </w:tbl>
    <w:p>
      <w:pPr>
        <w:spacing w:before="0" w:after="0" w:line="300" w:lineRule="auto"/>
        <w:ind w:firstLine="480"/>
        <w:jc w:val="both"/>
      </w:pPr>
      <w:r>
        <w:rPr>
          <w:rFonts w:ascii="Times New Roman" w:hAnsi="Times New Roman" w:cs="Times New Roman" w:eastAsia="宋体"/>
          <w:b w:val="0"/>
          <w:sz w:val="24"/>
        </w:rPr>
        <w:t>7项特征在全部时间步和节点上展平后的Spearman秩相关系数见图2-11。Spearman秩相关用于描述单调关联，不要求变量服从正态分布或满足线性关系；但本数据存在大量并列零值，因此系数仅作描述性比较。节点代理负荷、活跃会话数、占用率和需求强度之间相关程度较高，而三项稀疏事件特征与主体状态特征的相关程度相对较低。这一结果说明输入同时包含状态表征冗余和低频行为信号，后续需要通过模型对比和消融而非仅凭相关矩阵判断各特征的预测作用。</w:t>
      </w:r>
    </w:p>
    <w:p>
      <w:pPr>
        <w:spacing w:before="60" w:after="60" w:line="240" w:lineRule="auto"/>
        <w:ind w:firstLine="0"/>
        <w:jc w:val="center"/>
      </w:pPr>
      <w:r>
        <w:drawing>
          <wp:inline xmlns:a="http://schemas.openxmlformats.org/drawingml/2006/main" xmlns:pic="http://schemas.openxmlformats.org/drawingml/2006/picture">
            <wp:extent cx="5112000" cy="4294347"/>
            <wp:docPr id="35" name="Picture 35"/>
            <wp:cNvGraphicFramePr>
              <a:graphicFrameLocks noChangeAspect="1"/>
            </wp:cNvGraphicFramePr>
            <a:graphic>
              <a:graphicData uri="http://schemas.openxmlformats.org/drawingml/2006/picture">
                <pic:pic>
                  <pic:nvPicPr>
                    <pic:cNvPr id="0" name="fig2_11_feature_correlation.png"/>
                    <pic:cNvPicPr/>
                  </pic:nvPicPr>
                  <pic:blipFill>
                    <a:blip r:embed="rId72"/>
                    <a:stretch>
                      <a:fillRect/>
                    </a:stretch>
                  </pic:blipFill>
                  <pic:spPr>
                    <a:xfrm>
                      <a:off x="0" y="0"/>
                      <a:ext cx="5112000" cy="4294347"/>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图2-11 输入特征Spearman秩相关矩阵</w:t>
      </w:r>
    </w:p>
    <w:p>
      <w:pPr>
        <w:spacing w:before="0" w:after="0" w:line="300" w:lineRule="auto"/>
        <w:ind w:firstLine="480"/>
        <w:jc w:val="both"/>
      </w:pPr>
      <w:r>
        <w:rPr>
          <w:rFonts w:ascii="Times New Roman" w:hAnsi="Times New Roman" w:cs="Times New Roman" w:eastAsia="宋体"/>
          <w:b w:val="0"/>
          <w:sz w:val="18"/>
        </w:rPr>
        <w:t>注：相关系数由118,818个时间步、10个主分析节点的7维特征展平计算，颜色和单元格数字共同表示相关方向与大小。该图为全量描述性统计，不含误差棒；大量零值造成并列秩，因而不将相关系数解释为独立贡献或因果关系。</w:t>
      </w:r>
    </w:p>
    <w:p>
      <w:pPr>
        <w:spacing w:before="0" w:after="0" w:line="300" w:lineRule="auto"/>
        <w:ind w:firstLine="480"/>
        <w:jc w:val="both"/>
      </w:pPr>
      <w:r>
        <w:rPr>
          <w:rFonts w:ascii="Times New Roman" w:hAnsi="Times New Roman" w:cs="Times New Roman" w:eastAsia="宋体"/>
          <w:b w:val="0"/>
          <w:sz w:val="24"/>
        </w:rPr>
        <w:t>按星期和小时聚合10个节点代理负荷所得结果见图2-12。不同星期类别在白天和晚间呈现不同的负荷强度，周末与工作日的分布也有差异，与2.3节的自相关结果相互印证。后续模型据此选取连续96步、即完整24 h的历史信息作为基本输入窗口，并通过图结构补充同一时段节点之间的统计联系。</w:t>
      </w:r>
    </w:p>
    <w:p>
      <w:pPr>
        <w:spacing w:before="60" w:after="60" w:line="240" w:lineRule="auto"/>
        <w:ind w:firstLine="0"/>
        <w:jc w:val="center"/>
      </w:pPr>
      <w:r>
        <w:drawing>
          <wp:inline xmlns:a="http://schemas.openxmlformats.org/drawingml/2006/main" xmlns:pic="http://schemas.openxmlformats.org/drawingml/2006/picture">
            <wp:extent cx="5112000" cy="2463461"/>
            <wp:docPr id="36" name="Picture 36"/>
            <wp:cNvGraphicFramePr>
              <a:graphicFrameLocks noChangeAspect="1"/>
            </wp:cNvGraphicFramePr>
            <a:graphic>
              <a:graphicData uri="http://schemas.openxmlformats.org/drawingml/2006/picture">
                <pic:pic>
                  <pic:nvPicPr>
                    <pic:cNvPr id="0" name="fig2_12_weekday_hour_heatmap.png"/>
                    <pic:cNvPicPr/>
                  </pic:nvPicPr>
                  <pic:blipFill>
                    <a:blip r:embed="rId73"/>
                    <a:stretch>
                      <a:fillRect/>
                    </a:stretch>
                  </pic:blipFill>
                  <pic:spPr>
                    <a:xfrm>
                      <a:off x="0" y="0"/>
                      <a:ext cx="5112000" cy="246346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图2-12 全站节点代理负荷的星期—小时聚合热力图</w:t>
      </w:r>
    </w:p>
    <w:p>
      <w:pPr>
        <w:spacing w:before="0" w:after="0" w:line="300" w:lineRule="auto"/>
        <w:ind w:firstLine="480"/>
        <w:jc w:val="both"/>
      </w:pPr>
      <w:r>
        <w:rPr>
          <w:rFonts w:ascii="Times New Roman" w:hAnsi="Times New Roman" w:cs="Times New Roman" w:eastAsia="宋体"/>
          <w:b w:val="0"/>
          <w:sz w:val="18"/>
        </w:rPr>
        <w:t>注：每个单元格为10个主分析节点在对应当地星期和小时上的平均节点代理负荷，并非节点负荷之和；时区为America/Los_Angeles。色阶覆盖完整聚合值范围，周末以分隔线区分。该图由全时段样本直接聚合，不含误差棒，颜色不表示事件发生概率。</w:t>
      </w:r>
    </w:p>
    <w:p>
      <w:pPr>
        <w:spacing w:before="0" w:after="0" w:line="300" w:lineRule="auto"/>
        <w:ind w:firstLine="480"/>
        <w:jc w:val="both"/>
      </w:pPr>
      <w:r>
        <w:rPr>
          <w:rFonts w:ascii="Times New Roman" w:hAnsi="Times New Roman" w:cs="Times New Roman" w:eastAsia="宋体"/>
          <w:b w:val="0"/>
          <w:sz w:val="24"/>
        </w:rPr>
        <w:t>模型输入由连续96个历史时间步组成，张量形状为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96</m:t>
        </m:r>
        <m:r>
          <m:t>×</m:t>
        </m:r>
        <m:r>
          <m:t>10</m:t>
        </m:r>
        <m:r>
          <m:t>×</m:t>
        </m:r>
        <m:r>
          <m:t>7</m:t>
        </m:r>
      </m:oMath>
      <w:r>
        <w:rPr>
          <w:rFonts w:ascii="Times New Roman" w:hAnsi="Times New Roman" w:cs="Times New Roman" w:eastAsia="宋体"/>
          <w:b w:val="0"/>
          <w:sz w:val="24"/>
        </w:rPr>
        <w:t>，对应24 h、10个节点和7项特征；预测目标为未来4个时间步的10节点代理负荷，输出形状为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4</m:t>
        </m:r>
        <m:r>
          <m:t>×</m:t>
        </m:r>
        <m:r>
          <m:t>10</m:t>
        </m:r>
      </m:oMath>
      <w:r>
        <w:rPr>
          <w:rFonts w:ascii="Times New Roman" w:hAnsi="Times New Roman" w:cs="Times New Roman" w:eastAsia="宋体"/>
          <w:b w:val="0"/>
          <w:sz w:val="24"/>
        </w:rPr>
        <w:t>，对应未来1 h。归一化参数只由训练集估计，其中输入特征按特征维度使用训练期全局统计量，预测目标按节点使用训练期统计量；验证集与测试集沿用冻结参数。滑动窗口按各划分的预测起点构建，不使未来目标进入历史输入。</w:t>
      </w:r>
    </w:p>
    <w:p>
      <w:pPr>
        <w:spacing w:before="360" w:after="240" w:line="360" w:lineRule="auto"/>
        <w:ind w:firstLine="0"/>
        <w:jc w:val="both"/>
        <w:outlineLvl w:val="1"/>
      </w:pPr>
      <w:r>
        <w:rPr>
          <w:rFonts w:ascii="Times New Roman" w:hAnsi="Times New Roman" w:cs="Times New Roman" w:eastAsia="黑体"/>
          <w:b/>
          <w:sz w:val="30"/>
        </w:rPr>
        <w:t>2.6 数据特征对建模的启示</w:t>
      </w:r>
    </w:p>
    <w:p>
      <w:pPr>
        <w:spacing w:before="0" w:after="0" w:line="300" w:lineRule="auto"/>
        <w:ind w:firstLine="480"/>
        <w:jc w:val="both"/>
      </w:pPr>
      <w:r>
        <w:rPr>
          <w:rFonts w:ascii="Times New Roman" w:hAnsi="Times New Roman" w:cs="Times New Roman" w:eastAsia="宋体"/>
          <w:b w:val="0"/>
          <w:sz w:val="24"/>
        </w:rPr>
        <w:t>本章的数据审计与统计分析对后续方法设计形成以下约束。</w:t>
      </w:r>
    </w:p>
    <w:p>
      <w:pPr>
        <w:spacing w:before="0" w:after="0" w:line="300" w:lineRule="auto"/>
        <w:ind w:firstLine="480"/>
        <w:jc w:val="both"/>
      </w:pPr>
      <w:r>
        <w:rPr>
          <w:rFonts w:ascii="Times New Roman" w:hAnsi="Times New Roman" w:cs="Times New Roman" w:eastAsia="宋体"/>
          <w:b w:val="0"/>
          <w:sz w:val="24"/>
        </w:rPr>
        <w:t>第一，节点代理负荷大量为零且非零部分具有长尾，单一相对误差指标容易受到零分母影响。因此，第3章以MAE和RMSE作为主要绝对误差指标，并辅以WAPE刻画总体相对偏差，不将MAPE作为主指标；第3章报告事件、稳定和非零负荷分层，第4章再以目标侧标签事件和冻结规则触发构造四格，以免全局平均值掩盖低频高误差区域。</w:t>
      </w:r>
    </w:p>
    <w:p>
      <w:pPr>
        <w:spacing w:before="0" w:after="0" w:line="300" w:lineRule="auto"/>
        <w:ind w:firstLine="480"/>
        <w:jc w:val="both"/>
      </w:pPr>
      <w:r>
        <w:rPr>
          <w:rFonts w:ascii="Times New Roman" w:hAnsi="Times New Roman" w:cs="Times New Roman" w:eastAsia="宋体"/>
          <w:b w:val="0"/>
          <w:sz w:val="24"/>
        </w:rPr>
        <w:t>第二，节点活跃度、幅值和周期依赖存在明显差异，同时站内节点共享相同时间环境并呈现多种统计联系。这为第3章分别从负荷耦合、行为共现和轮廓相似三个角度构建关系图提供了数据动机。上述关系属于训练期统计结构，其有效性仍需通过统一预测协议和消融实验检验，不能由本章的描述性相关直接推出。</w:t>
      </w:r>
    </w:p>
    <w:p>
      <w:pPr>
        <w:spacing w:before="0" w:after="0" w:line="300" w:lineRule="auto"/>
        <w:ind w:firstLine="480"/>
        <w:jc w:val="both"/>
      </w:pPr>
      <w:r>
        <w:rPr>
          <w:rFonts w:ascii="Times New Roman" w:hAnsi="Times New Roman" w:cs="Times New Roman" w:eastAsia="宋体"/>
          <w:b w:val="0"/>
          <w:sz w:val="24"/>
        </w:rPr>
        <w:t>第三，目标侧标签事件占测试预测键的1.43%，冻结规则触发仅占0.43%，说明事件既稀少，又存在“标签发生”与“可见规则触发”的错位。本文据此在第4章使用四格诊断区分两种口径，在第5章探索冻结规则路由下的分层共形预测，并把标签事件分层仅作为预测时不可用的事后参照。该统计事实并不预先保证事件特征或规则路由能够降低点预测误差，也不把未来标签作为预测输入。</w:t>
      </w:r>
    </w:p>
    <w:p>
      <w:pPr>
        <w:spacing w:before="0" w:after="0" w:line="300" w:lineRule="auto"/>
        <w:ind w:firstLine="480"/>
        <w:jc w:val="both"/>
      </w:pPr>
      <w:r>
        <w:rPr>
          <w:rFonts w:ascii="Times New Roman" w:hAnsi="Times New Roman" w:cs="Times New Roman" w:eastAsia="宋体"/>
          <w:b w:val="0"/>
          <w:sz w:val="24"/>
        </w:rPr>
        <w:t>第四，输入特征中既有高度相关的状态表征，也有非零率低于1%的行为变化信号。因此，后续模型保留完整7维输入以维持统一实验口径，并通过结构消融、门控参数干预和机制诊断判断模型如何使用这些信息，而不依据单次相关分析提前删除特征。</w:t>
      </w:r>
    </w:p>
    <w:p>
      <w:pPr>
        <w:spacing w:before="360" w:after="240" w:line="360" w:lineRule="auto"/>
        <w:ind w:firstLine="0"/>
        <w:jc w:val="both"/>
        <w:outlineLvl w:val="1"/>
      </w:pPr>
      <w:r>
        <w:rPr>
          <w:rFonts w:ascii="Times New Roman" w:hAnsi="Times New Roman" w:cs="Times New Roman" w:eastAsia="黑体"/>
          <w:b/>
          <w:sz w:val="30"/>
        </w:rPr>
        <w:t>2.7 本章小结</w:t>
      </w:r>
    </w:p>
    <w:p>
      <w:pPr>
        <w:spacing w:before="0" w:after="0" w:line="300" w:lineRule="auto"/>
        <w:ind w:firstLine="480"/>
        <w:jc w:val="both"/>
      </w:pPr>
      <w:r>
        <w:rPr>
          <w:rFonts w:ascii="Times New Roman" w:hAnsi="Times New Roman" w:cs="Times New Roman" w:eastAsia="宋体"/>
          <w:b w:val="0"/>
          <w:sz w:val="24"/>
        </w:rPr>
        <w:t>本章完成了从原始充电会话记录到节点预测张量的数据链路说明。31,424条会话记录覆盖约3.39年，经15 min规则时间片重构后形成118,818步、55个候选节点的数据。本文将会话总交付电量在接入至断开时段内均匀分摊，所得kWh/15 min变量定义为节点代理负荷，并明确其不同于瞬时功率和电表实测功率。通过只依赖训练期和验证期统计量的六项筛选条件，最终冻结10个主分析节点；时间片、标识、张量、划分和测试边界等9项质量门禁均通过。</w:t>
      </w:r>
    </w:p>
    <w:p>
      <w:pPr>
        <w:spacing w:before="0" w:after="0" w:line="300" w:lineRule="auto"/>
        <w:ind w:firstLine="480"/>
        <w:jc w:val="both"/>
      </w:pPr>
      <w:r>
        <w:rPr>
          <w:rFonts w:ascii="Times New Roman" w:hAnsi="Times New Roman" w:cs="Times New Roman" w:eastAsia="宋体"/>
          <w:b w:val="0"/>
          <w:sz w:val="24"/>
        </w:rPr>
        <w:t>统计分析表明，主分析节点的全量负荷零值约占78%，测试预测键零值约占87%，节点非零率和平均负荷均存在较大差异，并呈现日内与周内滞后依赖。事件分析进一步区分了目标侧标签事件与冻结规则触发：二者在测试预测键上分别占1.43%和0.43%，用于不同的评价与路由场景。7维输入中，主体状态特征存在较高相关性，而接入、离站和负荷突变信号高度稀疏。</w:t>
      </w:r>
    </w:p>
    <w:p>
      <w:pPr>
        <w:spacing w:before="0" w:after="0" w:line="300" w:lineRule="auto"/>
        <w:ind w:firstLine="480"/>
        <w:jc w:val="both"/>
      </w:pPr>
      <w:r>
        <w:rPr>
          <w:rFonts w:ascii="Times New Roman" w:hAnsi="Times New Roman" w:cs="Times New Roman" w:eastAsia="宋体"/>
          <w:b w:val="0"/>
          <w:sz w:val="24"/>
        </w:rPr>
        <w:t>上述特征为下一章在统一数据划分和预测键下构建LRE三关系图与MRG-GCN提供了数据依据。</w:t>
      </w:r>
    </w:p>
    <w:p>
      <w:pPr>
        <w:sectPr>
          <w:headerReference w:type="default" r:id="rId59"/>
          <w:headerReference w:type="even" r:id="rId60"/>
          <w:footerReference w:type="default" r:id="rId61"/>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第3章  基于多关系门控图卷积的节点短期负荷预测</w:t>
      </w:r>
    </w:p>
    <w:p>
      <w:pPr>
        <w:spacing w:before="360" w:after="240" w:line="360" w:lineRule="auto"/>
        <w:ind w:firstLine="0"/>
        <w:jc w:val="both"/>
        <w:outlineLvl w:val="1"/>
      </w:pPr>
      <w:r>
        <w:rPr>
          <w:rFonts w:ascii="Times New Roman" w:hAnsi="Times New Roman" w:cs="Times New Roman" w:eastAsia="黑体"/>
          <w:b/>
          <w:sz w:val="30"/>
        </w:rPr>
        <w:t>3.1 引言</w:t>
      </w:r>
    </w:p>
    <w:p>
      <w:pPr>
        <w:spacing w:before="0" w:after="0" w:line="300" w:lineRule="auto"/>
        <w:ind w:firstLine="480"/>
        <w:jc w:val="both"/>
      </w:pPr>
      <w:r>
        <w:rPr>
          <w:rFonts w:ascii="Times New Roman" w:hAnsi="Times New Roman" w:cs="Times New Roman" w:eastAsia="宋体"/>
          <w:b w:val="0"/>
          <w:sz w:val="24"/>
        </w:rPr>
        <w:t>第2章揭示了节点代理负荷的稀疏性、周期依赖和节点异质性，也表明站内节点存在多类统计联系。单节点时序模型无法直接聚合其他节点的信息，单一关系图又难以区分负荷耦合、行为共现和轮廓相似。为此，本章构建负荷—行为—轮廓关系编码（load–event–pattern relation encoding，LRE），并提出多关系门控图卷积网络（multi-relational gated graph convolutional network，MRG-GCN）。模型先由时间卷积网络编码历史信息，再以关系级权重和节点级门控完成两层图传播，最后融合不同深度的表示并输出未来1 h的节点代理负荷。</w:t>
      </w:r>
    </w:p>
    <w:p>
      <w:pPr>
        <w:spacing w:before="0" w:after="0" w:line="300" w:lineRule="auto"/>
        <w:ind w:firstLine="480"/>
        <w:jc w:val="both"/>
      </w:pPr>
      <w:r>
        <w:rPr>
          <w:rFonts w:ascii="Times New Roman" w:hAnsi="Times New Roman" w:cs="Times New Roman" w:eastAsia="宋体"/>
          <w:b w:val="0"/>
          <w:sz w:val="24"/>
        </w:rPr>
        <w:t>本章首先形式化预测任务，说明LRE三关系图的构建与归一化方法；随后介绍时间骨干和MRG-GCN结构；最后在统一数据划分与预测键下，与传统方法、时序模型和图模型进行比较，并通过结构消融、参数干预和分层评价界定各项结论的证据范围。模型整体架构见图3-1。</w:t>
      </w:r>
    </w:p>
    <w:p>
      <w:pPr>
        <w:spacing w:before="60" w:after="60" w:line="240" w:lineRule="auto"/>
        <w:ind w:firstLine="0"/>
        <w:jc w:val="center"/>
      </w:pPr>
      <w:r>
        <w:drawing>
          <wp:inline xmlns:a="http://schemas.openxmlformats.org/drawingml/2006/main" xmlns:pic="http://schemas.openxmlformats.org/drawingml/2006/picture">
            <wp:extent cx="5112000" cy="6816000"/>
            <wp:docPr id="37" name="Picture 37"/>
            <wp:cNvGraphicFramePr>
              <a:graphicFrameLocks noChangeAspect="1"/>
            </wp:cNvGraphicFramePr>
            <a:graphic>
              <a:graphicData uri="http://schemas.openxmlformats.org/drawingml/2006/picture">
                <pic:pic>
                  <pic:nvPicPr>
                    <pic:cNvPr id="0" name="fig3_1_mrggcn_architecture.png"/>
                    <pic:cNvPicPr/>
                  </pic:nvPicPr>
                  <pic:blipFill>
                    <a:blip r:embed="rId77"/>
                    <a:stretch>
                      <a:fillRect/>
                    </a:stretch>
                  </pic:blipFill>
                  <pic:spPr>
                    <a:xfrm>
                      <a:off x="0" y="0"/>
                      <a:ext cx="5112000" cy="6816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 MRG-GCN整体架构</w:t>
      </w:r>
    </w:p>
    <w:p>
      <w:pPr>
        <w:spacing w:before="0" w:after="0" w:line="300" w:lineRule="auto"/>
        <w:ind w:firstLine="480"/>
        <w:jc w:val="both"/>
      </w:pPr>
      <w:r>
        <w:rPr>
          <w:rFonts w:ascii="Times New Roman" w:hAnsi="Times New Roman" w:cs="Times New Roman" w:eastAsia="宋体"/>
          <w:b w:val="0"/>
          <w:sz w:val="18"/>
        </w:rPr>
        <w:t>注：历史输入依次经过因果扩张TCN、第一层多关系传播、残差MLP精炼和第二层多关系传播。原始H⁽⁰⁾、H⁽¹⁾与H⁽²⁾经跨层拼接、融合映射和线性预测头输出未来4步节点代理负荷，精炼表示不直接参与跨层拼接。三类固定关系仅由训练集构建。分区中重复的状态符号指同一表示而非额外计算层；张量网格为示意，隐藏状态的实际形状均为[B,N,32]。</w:t>
      </w:r>
    </w:p>
    <w:p>
      <w:pPr>
        <w:spacing w:before="0" w:after="0" w:line="300" w:lineRule="auto"/>
        <w:ind w:firstLine="480"/>
        <w:jc w:val="both"/>
      </w:pPr>
      <w:r>
        <w:rPr>
          <w:rFonts w:ascii="Times New Roman" w:hAnsi="Times New Roman" w:cs="Times New Roman" w:eastAsia="宋体"/>
          <w:b w:val="0"/>
          <w:sz w:val="24"/>
        </w:rPr>
        <w:t>为避免在整体图中堆叠局部运算，图3-2单独展开多关系传播单元，图3-3补充时间编码与跨层融合路径；相关符号在3.2～3.5节依次定义。</w:t>
      </w:r>
    </w:p>
    <w:p>
      <w:pPr>
        <w:spacing w:before="60" w:after="60" w:line="240" w:lineRule="auto"/>
        <w:ind w:firstLine="0"/>
        <w:jc w:val="center"/>
      </w:pPr>
      <w:r>
        <w:drawing>
          <wp:inline xmlns:a="http://schemas.openxmlformats.org/drawingml/2006/main" xmlns:pic="http://schemas.openxmlformats.org/drawingml/2006/picture">
            <wp:extent cx="5112000" cy="2877029"/>
            <wp:docPr id="38" name="Picture 38"/>
            <wp:cNvGraphicFramePr>
              <a:graphicFrameLocks noChangeAspect="1"/>
            </wp:cNvGraphicFramePr>
            <a:graphic>
              <a:graphicData uri="http://schemas.openxmlformats.org/drawingml/2006/picture">
                <pic:pic>
                  <pic:nvPicPr>
                    <pic:cNvPr id="0" name="fig3_2_relation_propagation_unit.png"/>
                    <pic:cNvPicPr/>
                  </pic:nvPicPr>
                  <pic:blipFill>
                    <a:blip r:embed="rId7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图3-2 多关系门控传播单元</w:t>
      </w:r>
    </w:p>
    <w:p>
      <w:pPr>
        <w:spacing w:before="0" w:after="0" w:line="300" w:lineRule="auto"/>
        <w:ind w:firstLine="480"/>
        <w:jc w:val="both"/>
      </w:pPr>
      <w:r>
        <w:rPr>
          <w:rFonts w:ascii="Times New Roman" w:hAnsi="Times New Roman" w:cs="Times New Roman" w:eastAsia="宋体"/>
          <w:b w:val="0"/>
          <w:sz w:val="18"/>
        </w:rPr>
        <w:t>注：三类关系消息经关系级权重融合后，由节点级门控与该层实际输入混合，并通过残差连接与层归一化形成层输出。两层传播单元结构相同、参数独立；第二层实际输入为精炼表示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w:t>
      </w:r>
    </w:p>
    <w:p>
      <w:pPr>
        <w:spacing w:before="60" w:after="60" w:line="240" w:lineRule="auto"/>
        <w:ind w:firstLine="0"/>
        <w:jc w:val="center"/>
      </w:pPr>
      <w:r>
        <w:drawing>
          <wp:inline xmlns:a="http://schemas.openxmlformats.org/drawingml/2006/main" xmlns:pic="http://schemas.openxmlformats.org/drawingml/2006/picture">
            <wp:extent cx="5112000" cy="2877029"/>
            <wp:docPr id="39" name="Picture 39"/>
            <wp:cNvGraphicFramePr>
              <a:graphicFrameLocks noChangeAspect="1"/>
            </wp:cNvGraphicFramePr>
            <a:graphic>
              <a:graphicData uri="http://schemas.openxmlformats.org/drawingml/2006/picture">
                <pic:pic>
                  <pic:nvPicPr>
                    <pic:cNvPr id="0" name="fig3_3_temporal_skip_fusion.png"/>
                    <pic:cNvPicPr/>
                  </pic:nvPicPr>
                  <pic:blipFill>
                    <a:blip r:embed="rId79"/>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图3-3 时间编码与跨层融合预测结构</w:t>
      </w:r>
    </w:p>
    <w:p>
      <w:pPr>
        <w:spacing w:before="0" w:after="0" w:line="300" w:lineRule="auto"/>
        <w:ind w:firstLine="480"/>
        <w:jc w:val="both"/>
      </w:pPr>
      <w:r>
        <w:rPr>
          <w:rFonts w:ascii="Times New Roman" w:hAnsi="Times New Roman" w:cs="Times New Roman" w:eastAsia="宋体"/>
          <w:b w:val="0"/>
          <w:sz w:val="18"/>
        </w:rPr>
        <w:t>注：上部展示时间编码与两层传播，下部以同名状态重复展示拼接输入，不表示新增模型分支。跨层融合使用原始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，经融合映射与线性预测头得到4步输出；精炼状态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仅作为第二层传播输入。</w:t>
      </w:r>
    </w:p>
    <w:p>
      <w:pPr>
        <w:spacing w:before="360" w:after="240" w:line="360" w:lineRule="auto"/>
        <w:ind w:firstLine="0"/>
        <w:jc w:val="both"/>
        <w:outlineLvl w:val="1"/>
      </w:pPr>
      <w:r>
        <w:rPr>
          <w:rFonts w:ascii="Times New Roman" w:hAnsi="Times New Roman" w:cs="Times New Roman" w:eastAsia="黑体"/>
          <w:b/>
          <w:sz w:val="30"/>
        </w:rPr>
        <w:t>3.2 预测任务形式化定义</w:t>
      </w:r>
    </w:p>
    <w:p>
      <w:pPr>
        <w:spacing w:before="0" w:after="0" w:line="300" w:lineRule="auto"/>
        <w:ind w:firstLine="480"/>
        <w:jc w:val="both"/>
      </w:pPr>
      <w:r>
        <w:rPr>
          <w:rFonts w:ascii="Times New Roman" w:hAnsi="Times New Roman" w:cs="Times New Roman" w:eastAsia="宋体"/>
          <w:b w:val="0"/>
          <w:sz w:val="24"/>
        </w:rPr>
        <w:t>设主分析节点集合为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𝒱</m:t>
        </m:r>
        <m:r>
          <m:t>=</m:t>
        </m:r>
        <m:r>
          <m:t>{</m:t>
        </m:r>
        <m:sSub>
          <m:sSubPr/>
          <m:e>
            <m:r>
              <m:t>v</m:t>
            </m:r>
          </m:e>
          <m:sub>
            <m:r>
              <m:t>1</m:t>
            </m:r>
          </m:sub>
        </m:sSub>
        <m:r>
          <m:t>,</m:t>
        </m:r>
        <m:r>
          <m:t>…</m:t>
        </m:r>
        <m:r>
          <m:t>,</m:t>
        </m:r>
        <m:sSub>
          <m:sSubPr/>
          <m:e>
            <m:r>
              <m:t>v</m:t>
            </m:r>
          </m:e>
          <m:sub>
            <m:r>
              <m:t>N</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10</m:t>
        </m:r>
      </m:oMath>
      <w:r>
        <w:rPr>
          <w:rFonts w:ascii="Times New Roman" w:hAnsi="Times New Roman" w:cs="Times New Roman" w:eastAsia="宋体"/>
          <w:b w:val="0"/>
          <w:sz w:val="24"/>
        </w:rPr>
        <w:t>。对预测起点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o</m:t>
        </m:r>
      </m:oMath>
      <w:r>
        <w:rPr>
          <w:rFonts w:ascii="Times New Roman" w:hAnsi="Times New Roman" w:cs="Times New Roman" w:eastAsia="宋体"/>
          <w:b w:val="0"/>
          <w:sz w:val="24"/>
        </w:rPr>
        <w:t>，输入为此前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m:t>
        </m:r>
        <m:r>
          <m:t>96</m:t>
        </m:r>
      </m:oMath>
      <w:r>
        <w:rPr>
          <w:rFonts w:ascii="Times New Roman" w:hAnsi="Times New Roman" w:cs="Times New Roman" w:eastAsia="宋体"/>
          <w:b w:val="0"/>
          <w:sz w:val="24"/>
        </w:rPr>
        <w:t>个15 min时间步的7维特征：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𝐗</m:t>
            </m:r>
          </m:e>
          <m:sub>
            <m:r>
              <m:t>o</m:t>
            </m:r>
          </m:sub>
        </m:sSub>
        <m:r>
          <m:t>∈</m:t>
        </m:r>
        <m:sSup>
          <m:sSupPr/>
          <m:e>
            <m:r>
              <m:t>ℝ</m:t>
            </m:r>
          </m:e>
          <m:sup>
            <m:r>
              <m:t>H</m:t>
            </m:r>
            <m:r>
              <m:t>×</m:t>
            </m:r>
            <m:r>
              <m:t>N</m:t>
            </m:r>
            <m:r>
              <m:t>×</m:t>
            </m:r>
            <m:r>
              <m:t>F</m:t>
            </m:r>
          </m:sup>
        </m:sSup>
        <m:r>
          <m:t>,</m:t>
        </m:r>
        <m:r>
          <m:t>H</m:t>
        </m:r>
        <m:r>
          <m:t>=</m:t>
        </m:r>
        <m:r>
          <m:t>96</m:t>
        </m:r>
        <m:r>
          <m:t>,</m:t>
        </m:r>
        <m:r>
          <m:t> </m:t>
        </m:r>
        <m:r>
          <m:t>F</m:t>
        </m:r>
        <m:r>
          <m:t>=</m:t>
        </m:r>
        <m:r>
          <m:t>7</m:t>
        </m:r>
        <m:r>
          <m:t>,</m:t>
        </m:r>
      </m:oMath>
      <w:r>
        <w:tab/>
      </w:r>
      <w:r>
        <w:rPr>
          <w:rFonts w:ascii="Times New Roman" w:hAnsi="Times New Roman" w:cs="Times New Roman" w:eastAsia="宋体"/>
          <w:sz w:val="21"/>
        </w:rPr>
        <w:t>（3-1）</w:t>
      </w:r>
    </w:p>
    <w:p>
      <w:pPr>
        <w:spacing w:before="0" w:after="0" w:line="300" w:lineRule="auto"/>
        <w:ind w:firstLine="480"/>
        <w:jc w:val="both"/>
      </w:pPr>
      <w:r>
        <w:rPr>
          <w:rFonts w:ascii="Times New Roman" w:hAnsi="Times New Roman" w:cs="Times New Roman" w:eastAsia="宋体"/>
          <w:b w:val="0"/>
          <w:sz w:val="24"/>
        </w:rPr>
        <w:t>预测目标为未来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4</m:t>
        </m:r>
      </m:oMath>
      <w:r>
        <w:rPr>
          <w:rFonts w:ascii="Times New Roman" w:hAnsi="Times New Roman" w:cs="Times New Roman" w:eastAsia="宋体"/>
          <w:b w:val="0"/>
          <w:sz w:val="24"/>
        </w:rPr>
        <w:t>步的节点代理负荷：</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𝐘</m:t>
            </m:r>
            <m:r>
              <m:t>ˆ</m:t>
            </m:r>
          </m:e>
          <m:sub>
            <m:r>
              <m:t>o</m:t>
            </m:r>
          </m:sub>
        </m:sSub>
        <m:r>
          <m:t>=</m:t>
        </m:r>
        <m:sSub>
          <m:sSubPr/>
          <m:e>
            <m:r>
              <m:t>f</m:t>
            </m:r>
          </m:e>
          <m:sub>
            <m:r>
              <m:t>θ</m:t>
            </m:r>
          </m:sub>
        </m:sSub>
        <m:r>
          <m:t>(</m:t>
        </m:r>
        <m:sSub>
          <m:sSubPr/>
          <m:e>
            <m:r>
              <m:t>𝐗</m:t>
            </m:r>
          </m:e>
          <m:sub>
            <m:r>
              <m:t>o</m:t>
            </m:r>
          </m:sub>
        </m:sSub>
        <m:r>
          <m:t>,</m:t>
        </m:r>
        <m:r>
          <m:t>𝒜</m:t>
        </m:r>
        <m:r>
          <m:t>)</m:t>
        </m:r>
        <m:r>
          <m:t>,</m:t>
        </m:r>
        <m:sSub>
          <m:sSubPr/>
          <m:e>
            <m:r>
              <m:t>𝐘</m:t>
            </m:r>
            <m:r>
              <m:t>ˆ</m:t>
            </m:r>
          </m:e>
          <m:sub>
            <m:r>
              <m:t>o</m:t>
            </m:r>
          </m:sub>
        </m:sSub>
        <m:r>
          <m:t>,</m:t>
        </m:r>
        <m:sSub>
          <m:sSubPr/>
          <m:e>
            <m:r>
              <m:t>𝐘</m:t>
            </m:r>
          </m:e>
          <m:sub>
            <m:r>
              <m:t>o</m:t>
            </m:r>
          </m:sub>
        </m:sSub>
        <m:r>
          <m:t>∈</m:t>
        </m:r>
        <m:sSup>
          <m:sSupPr/>
          <m:e>
            <m:r>
              <m:t>ℝ</m:t>
            </m:r>
          </m:e>
          <m:sup>
            <m:r>
              <m:t>P</m:t>
            </m:r>
            <m:r>
              <m:t>×</m:t>
            </m:r>
            <m:r>
              <m:t>N</m:t>
            </m:r>
          </m:sup>
        </m:sSup>
        <m:r>
          <m:t>,</m:t>
        </m:r>
        <m:r>
          <m:t> </m:t>
        </m:r>
        <m:r>
          <m:t>P</m:t>
        </m:r>
        <m:r>
          <m:t>=</m:t>
        </m:r>
        <m:r>
          <m:t>4</m:t>
        </m:r>
        <m:r>
          <m:t>,</m:t>
        </m:r>
      </m:oMath>
      <w:r>
        <w:tab/>
      </w:r>
      <w:r>
        <w:rPr>
          <w:rFonts w:ascii="Times New Roman" w:hAnsi="Times New Roman" w:cs="Times New Roman" w:eastAsia="宋体"/>
          <w:sz w:val="21"/>
        </w:rPr>
        <w:t>（3-2）</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𝒜</m:t>
        </m:r>
      </m:oMath>
      <w:r>
        <w:rPr>
          <w:rFonts w:ascii="Times New Roman" w:hAnsi="Times New Roman" w:cs="Times New Roman" w:eastAsia="宋体"/>
          <w:b w:val="0"/>
          <w:sz w:val="24"/>
        </w:rPr>
        <w:t>为由训练集构建的关系矩阵集合，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f</m:t>
            </m:r>
          </m:e>
          <m:sub>
            <m:r>
              <m:t>θ</m:t>
            </m:r>
          </m:sub>
        </m:sSub>
      </m:oMath>
      <w:r>
        <w:rPr>
          <w:rFonts w:ascii="Times New Roman" w:hAnsi="Times New Roman" w:cs="Times New Roman" w:eastAsia="宋体"/>
          <w:b w:val="0"/>
          <w:sz w:val="24"/>
        </w:rPr>
        <w:t>为待学习模型。输入窗口覆盖过去24 h，输出覆盖未来1 h。每个评价单元由“数据划分—预测起点—预测步长—节点”四元组唯一标识，所有模型在相同预测键上比较。输入特征的归一化参数由训练集整体统计量估计，预测目标按节点使用训练集统计量；验证集和测试集均沿用冻结参数。目标侧标签事件target_event和冻结规则触发rule_trigger不作为MRG-GCN的未来输入，分别只用于事后分层评价和后续规则诊断。</w:t>
      </w:r>
    </w:p>
    <w:p>
      <w:pPr>
        <w:spacing w:before="360" w:after="240" w:line="360" w:lineRule="auto"/>
        <w:ind w:firstLine="0"/>
        <w:jc w:val="both"/>
        <w:outlineLvl w:val="1"/>
      </w:pPr>
      <w:r>
        <w:rPr>
          <w:rFonts w:ascii="Times New Roman" w:hAnsi="Times New Roman" w:cs="Times New Roman" w:eastAsia="黑体"/>
          <w:b/>
          <w:sz w:val="30"/>
        </w:rPr>
        <w:t>3.3 场景驱动的LRE三关系图构建</w:t>
      </w:r>
    </w:p>
    <w:p>
      <w:pPr>
        <w:spacing w:before="0" w:after="0" w:line="300" w:lineRule="auto"/>
        <w:ind w:firstLine="480"/>
        <w:jc w:val="both"/>
      </w:pPr>
      <w:r>
        <w:rPr>
          <w:rFonts w:ascii="Times New Roman" w:hAnsi="Times New Roman" w:cs="Times New Roman" w:eastAsia="宋体"/>
          <w:b w:val="0"/>
          <w:sz w:val="24"/>
        </w:rPr>
        <w:t>LRE从训练期数据中构建负荷耦合、行为共现和轮廓相似三类无向统计关系。三类图使用相同节点集合，但刻画不同语义；测试数据不参与关系估计。构建与稀疏化流程见图3-4。</w:t>
      </w:r>
    </w:p>
    <w:p>
      <w:pPr>
        <w:spacing w:before="60" w:after="60" w:line="240" w:lineRule="auto"/>
        <w:ind w:firstLine="0"/>
        <w:jc w:val="center"/>
      </w:pPr>
      <w:r>
        <w:drawing>
          <wp:inline xmlns:a="http://schemas.openxmlformats.org/drawingml/2006/main" xmlns:pic="http://schemas.openxmlformats.org/drawingml/2006/picture">
            <wp:extent cx="5112000" cy="3408000"/>
            <wp:docPr id="40" name="Picture 40"/>
            <wp:cNvGraphicFramePr>
              <a:graphicFrameLocks noChangeAspect="1"/>
            </wp:cNvGraphicFramePr>
            <a:graphic>
              <a:graphicData uri="http://schemas.openxmlformats.org/drawingml/2006/picture">
                <pic:pic>
                  <pic:nvPicPr>
                    <pic:cNvPr id="0" name="fig3_4_lre_construction.png"/>
                    <pic:cNvPicPr/>
                  </pic:nvPicPr>
                  <pic:blipFill>
                    <a:blip r:embed="rId80"/>
                    <a:stretch>
                      <a:fillRect/>
                    </a:stretch>
                  </pic:blipFill>
                  <pic:spPr>
                    <a:xfrm>
                      <a:off x="0" y="0"/>
                      <a:ext cx="5112000" cy="340800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图3-4 LRE三关系构建流程</w:t>
      </w:r>
    </w:p>
    <w:p>
      <w:pPr>
        <w:spacing w:before="0" w:after="0" w:line="300" w:lineRule="auto"/>
        <w:ind w:firstLine="480"/>
        <w:jc w:val="both"/>
      </w:pPr>
      <w:r>
        <w:rPr>
          <w:rFonts w:ascii="Times New Roman" w:hAnsi="Times New Roman" w:cs="Times New Roman" w:eastAsia="宋体"/>
          <w:b w:val="0"/>
          <w:sz w:val="18"/>
        </w:rPr>
        <w:t>注：训练期负荷序列、行为信号和96步轮廓分别形成负荷耦合、行为共现和轮廓相似关系，随后经Top-k稀疏化、无向并集和对称归一化得到三类固定邻接矩阵。</w:t>
      </w:r>
    </w:p>
    <w:p>
      <w:pPr>
        <w:spacing w:before="240" w:after="180" w:line="300" w:lineRule="auto"/>
        <w:ind w:firstLine="0"/>
        <w:jc w:val="both"/>
        <w:outlineLvl w:val="2"/>
      </w:pPr>
      <w:r>
        <w:rPr>
          <w:rFonts w:ascii="Times New Roman" w:hAnsi="Times New Roman" w:cs="Times New Roman" w:eastAsia="黑体"/>
          <w:b w:val="0"/>
          <w:sz w:val="28"/>
        </w:rPr>
        <w:t>3.3.1 负荷耦合关系图</w:t>
      </w:r>
    </w:p>
    <w:p>
      <w:pPr>
        <w:spacing w:before="0" w:after="0" w:line="300" w:lineRule="auto"/>
        <w:ind w:firstLine="480"/>
        <w:jc w:val="both"/>
      </w:pPr>
      <w:r>
        <w:rPr>
          <w:rFonts w:ascii="Times New Roman" w:hAnsi="Times New Roman" w:cs="Times New Roman" w:eastAsia="宋体"/>
          <w:b w:val="0"/>
          <w:sz w:val="24"/>
        </w:rPr>
        <w:t>设</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𝐥</m:t>
            </m:r>
          </m:e>
          <m:sub>
            <m:r>
              <m:t>i</m:t>
            </m:r>
          </m:sub>
        </m:sSub>
        <m:r>
          <m:t>∈</m:t>
        </m:r>
        <m:sSup>
          <m:sSupPr/>
          <m:e>
            <m:r>
              <m:t>ℝ</m:t>
            </m:r>
          </m:e>
          <m:sup>
            <m:r>
              <m:t>T</m:t>
            </m:r>
          </m:sup>
        </m:sSup>
      </m:oMath>
      <w:r>
        <w:rPr>
          <w:rFonts w:ascii="Times New Roman" w:hAnsi="Times New Roman" w:cs="Times New Roman" w:eastAsia="宋体"/>
          <w:b w:val="0"/>
          <w:sz w:val="24"/>
        </w:rPr>
        <w:t>为节点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的训练期节点代理负荷序列。节点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j</m:t>
        </m:r>
      </m:oMath>
      <w:r>
        <w:rPr>
          <w:rFonts w:ascii="Times New Roman" w:hAnsi="Times New Roman" w:cs="Times New Roman" w:eastAsia="宋体"/>
          <w:b w:val="0"/>
          <w:sz w:val="24"/>
        </w:rPr>
        <w:t>的负荷耦合强度定义为绝对Pearson相关系数：</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load</m:t>
            </m:r>
          </m:sup>
        </m:sSubSup>
        <m:r>
          <m:t>=</m:t>
        </m:r>
        <m:r>
          <m:t>|</m:t>
        </m:r>
        <m:f>
          <m:num>
            <m:sSup>
              <m:sSupPr/>
              <m:e>
                <m:r>
                  <m:t>(</m:t>
                </m:r>
                <m:sSub>
                  <m:sSubPr/>
                  <m:e>
                    <m:r>
                      <m:t>𝐥</m:t>
                    </m:r>
                  </m:e>
                  <m:sub>
                    <m:r>
                      <m:t>i</m:t>
                    </m:r>
                  </m:sub>
                </m:sSub>
                <m:r>
                  <m:t>−</m:t>
                </m:r>
                <m:sSub>
                  <m:sSubPr/>
                  <m:e>
                    <m:r>
                      <m:t>l</m:t>
                    </m:r>
                    <m:r>
                      <m:t>‾</m:t>
                    </m:r>
                  </m:e>
                  <m:sub>
                    <m:r>
                      <m:t>i</m:t>
                    </m:r>
                  </m:sub>
                </m:sSub>
                <m:r>
                  <m:t>)</m:t>
                </m:r>
              </m:e>
              <m:sup>
                <m:r>
                  <m:t>𝖳</m:t>
                </m:r>
              </m:sup>
            </m:sSup>
            <m:r>
              <m:t>(</m:t>
            </m:r>
            <m:sSub>
              <m:sSubPr/>
              <m:e>
                <m:r>
                  <m:t>𝐥</m:t>
                </m:r>
              </m:e>
              <m:sub>
                <m:r>
                  <m:t>j</m:t>
                </m:r>
              </m:sub>
            </m:sSub>
            <m:r>
              <m:t>−</m:t>
            </m:r>
            <m:sSub>
              <m:sSubPr/>
              <m:e>
                <m:r>
                  <m:t>l</m:t>
                </m:r>
                <m:r>
                  <m:t>‾</m:t>
                </m:r>
              </m:e>
              <m:sub>
                <m:r>
                  <m:t>j</m:t>
                </m:r>
              </m:sub>
            </m:sSub>
            <m:r>
              <m:t>)</m:t>
            </m:r>
          </m:num>
          <m:den>
            <m:r>
              <m:t>‖</m:t>
            </m:r>
            <m:sSub>
              <m:sSubPr/>
              <m:e>
                <m:r>
                  <m:t>𝐥</m:t>
                </m:r>
              </m:e>
              <m:sub>
                <m:r>
                  <m:t>i</m:t>
                </m:r>
              </m:sub>
            </m:sSub>
            <m:r>
              <m:t>−</m:t>
            </m:r>
            <m:sSub>
              <m:sSubPr/>
              <m:e>
                <m:r>
                  <m:t>l</m:t>
                </m:r>
                <m:r>
                  <m:t>‾</m:t>
                </m:r>
              </m:e>
              <m:sub>
                <m:r>
                  <m:t>i</m:t>
                </m:r>
              </m:sub>
            </m:sSub>
            <m:sSub>
              <m:sSubPr/>
              <m:e>
                <m:r>
                  <m:t>‖</m:t>
                </m:r>
              </m:e>
              <m:sub>
                <m:r>
                  <m:t>2</m:t>
                </m:r>
              </m:sub>
            </m:sSub>
            <m:r>
              <m:t>‖</m:t>
            </m:r>
            <m:sSub>
              <m:sSubPr/>
              <m:e>
                <m:r>
                  <m:t>𝐥</m:t>
                </m:r>
              </m:e>
              <m:sub>
                <m:r>
                  <m:t>j</m:t>
                </m:r>
              </m:sub>
            </m:sSub>
            <m:r>
              <m:t>−</m:t>
            </m:r>
            <m:sSub>
              <m:sSubPr/>
              <m:e>
                <m:r>
                  <m:t>l</m:t>
                </m:r>
                <m:r>
                  <m:t>‾</m:t>
                </m:r>
              </m:e>
              <m:sub>
                <m:r>
                  <m:t>j</m:t>
                </m:r>
              </m:sub>
            </m:sSub>
            <m:sSub>
              <m:sSubPr/>
              <m:e>
                <m:r>
                  <m:t>‖</m:t>
                </m:r>
              </m:e>
              <m:sub>
                <m:r>
                  <m:t>2</m:t>
                </m:r>
              </m:sub>
            </m:sSub>
          </m:den>
        </m:f>
        <m:r>
          <m:t>|</m:t>
        </m:r>
        <m:r>
          <m:t>.</m:t>
        </m:r>
      </m:oMath>
      <w:r>
        <w:tab/>
      </w:r>
      <w:r>
        <w:rPr>
          <w:rFonts w:ascii="Times New Roman" w:hAnsi="Times New Roman" w:cs="Times New Roman" w:eastAsia="宋体"/>
          <w:sz w:val="21"/>
        </w:rPr>
        <w:t>（3-3）</w:t>
      </w:r>
    </w:p>
    <w:p>
      <w:pPr>
        <w:spacing w:before="0" w:after="0" w:line="300" w:lineRule="auto"/>
        <w:ind w:firstLine="480"/>
        <w:jc w:val="both"/>
      </w:pPr>
      <w:r>
        <w:rPr>
          <w:rFonts w:ascii="Times New Roman" w:hAnsi="Times New Roman" w:cs="Times New Roman" w:eastAsia="宋体"/>
          <w:b w:val="0"/>
          <w:sz w:val="24"/>
        </w:rPr>
        <w:t>绝对值表示耦合强度，不保留正负方向；任一序列方差为零时，对应权重置零。该关系描述节点负荷在训练期的同步程度，不解释为物理连线或因果联系。</w:t>
      </w:r>
    </w:p>
    <w:p>
      <w:pPr>
        <w:spacing w:before="240" w:after="180" w:line="300" w:lineRule="auto"/>
        <w:ind w:firstLine="0"/>
        <w:jc w:val="both"/>
        <w:outlineLvl w:val="2"/>
      </w:pPr>
      <w:r>
        <w:rPr>
          <w:rFonts w:ascii="Times New Roman" w:hAnsi="Times New Roman" w:cs="Times New Roman" w:eastAsia="黑体"/>
          <w:b w:val="0"/>
          <w:sz w:val="28"/>
        </w:rPr>
        <w:t>3.3.2 行为共现关系图</w:t>
      </w:r>
    </w:p>
    <w:p>
      <w:pPr>
        <w:spacing w:before="0" w:after="0" w:line="300" w:lineRule="auto"/>
        <w:ind w:firstLine="480"/>
        <w:jc w:val="both"/>
      </w:pPr>
      <w:r>
        <w:rPr>
          <w:rFonts w:ascii="Times New Roman" w:hAnsi="Times New Roman" w:cs="Times New Roman" w:eastAsia="宋体"/>
          <w:b w:val="0"/>
          <w:sz w:val="24"/>
        </w:rPr>
        <w:t>对节点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oMath>
      <w:r>
        <w:rPr>
          <w:rFonts w:ascii="Times New Roman" w:hAnsi="Times New Roman" w:cs="Times New Roman" w:eastAsia="宋体"/>
          <w:b w:val="0"/>
          <w:sz w:val="24"/>
        </w:rPr>
        <w:t>构造行为序列</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𝐛</m:t>
            </m:r>
          </m:e>
          <m:sub>
            <m:r>
              <m:t>i</m:t>
            </m:r>
          </m:sub>
        </m:sSub>
        <m:r>
          <m:t>=</m:t>
        </m:r>
        <m:sSubSup>
          <m:sSubSupPr/>
          <m:e>
            <m:r>
              <m:t>𝐱</m:t>
            </m:r>
          </m:e>
          <m:sub>
            <m:r>
              <m:t>i</m:t>
            </m:r>
          </m:sub>
          <m:sup>
            <m:r>
              <m:t>access</m:t>
            </m:r>
          </m:sup>
        </m:sSubSup>
        <m:r>
          <m:t>+</m:t>
        </m:r>
        <m:sSubSup>
          <m:sSubSupPr/>
          <m:e>
            <m:r>
              <m:t>𝐱</m:t>
            </m:r>
          </m:e>
          <m:sub>
            <m:r>
              <m:t>i</m:t>
            </m:r>
          </m:sub>
          <m:sup>
            <m:r>
              <m:t>departure</m:t>
            </m:r>
          </m:sup>
        </m:sSubSup>
        <m:r>
          <m:t>+</m:t>
        </m:r>
        <m:r>
          <m:t>|</m:t>
        </m:r>
        <m:r>
          <m:t>Δ</m:t>
        </m:r>
        <m:sSubSup>
          <m:sSubSupPr/>
          <m:e>
            <m:r>
              <m:t>𝐱</m:t>
            </m:r>
          </m:e>
          <m:sub>
            <m:r>
              <m:t>i</m:t>
            </m:r>
          </m:sub>
          <m:sup>
            <m:r>
              <m:t>active</m:t>
            </m:r>
          </m:sup>
        </m:sSubSup>
        <m:r>
          <m:t>|</m:t>
        </m:r>
      </m:oMath>
      <w:r>
        <w:rPr>
          <w:rFonts w:ascii="Times New Roman" w:hAnsi="Times New Roman" w:cs="Times New Roman" w:eastAsia="宋体"/>
          <w:b w:val="0"/>
          <w:sz w:val="24"/>
        </w:rPr>
        <w:t>，再以余弦相似度定义行为共现关系：</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A</m:t>
            </m:r>
          </m:e>
          <m:sub>
            <m:r>
              <m:t>i</m:t>
            </m:r>
            <m:r>
              <m:t>j</m:t>
            </m:r>
          </m:sub>
          <m:sup>
            <m:r>
              <m:t>event</m:t>
            </m:r>
          </m:sup>
        </m:sSubSup>
        <m:r>
          <m:t>=</m:t>
        </m:r>
        <m:f>
          <m:num>
            <m:sSubSup>
              <m:sSubSupPr/>
              <m:e>
                <m:r>
                  <m:t>𝐛</m:t>
                </m:r>
              </m:e>
              <m:sub>
                <m:r>
                  <m:t>i</m:t>
                </m:r>
              </m:sub>
              <m:sup>
                <m:r>
                  <m:t>𝖳</m:t>
                </m:r>
              </m:sup>
            </m:sSubSup>
            <m:sSub>
              <m:sSubPr/>
              <m:e>
                <m:r>
                  <m:t>𝐛</m:t>
                </m:r>
              </m:e>
              <m:sub>
                <m:r>
                  <m:t>j</m:t>
                </m:r>
              </m:sub>
            </m:sSub>
          </m:num>
          <m:den>
            <m:r>
              <m:t>‖</m:t>
            </m:r>
            <m:sSub>
              <m:sSubPr/>
              <m:e>
                <m:r>
                  <m:t>𝐛</m:t>
                </m:r>
              </m:e>
              <m:sub>
                <m:r>
                  <m:t>i</m:t>
                </m:r>
              </m:sub>
            </m:sSub>
            <m:sSub>
              <m:sSubPr/>
              <m:e>
                <m:r>
                  <m:t>‖</m:t>
                </m:r>
              </m:e>
              <m:sub>
                <m:r>
                  <m:t>2</m:t>
                </m:r>
              </m:sub>
            </m:sSub>
            <m:r>
              <m:t>‖</m:t>
            </m:r>
            <m:sSub>
              <m:sSubPr/>
              <m:e>
                <m:r>
                  <m:t>𝐛</m:t>
                </m:r>
              </m:e>
              <m:sub>
                <m:r>
                  <m:t>j</m:t>
                </m:r>
              </m:sub>
            </m:sSub>
            <m:sSub>
              <m:sSubPr/>
              <m:e>
                <m:r>
                  <m:t>‖</m:t>
                </m:r>
              </m:e>
              <m:sub>
                <m:r>
                  <m:t>2</m:t>
                </m:r>
              </m:sub>
            </m:sSub>
          </m:den>
        </m:f>
        <m:r>
          <m:t>.</m:t>
        </m:r>
      </m:oMath>
      <w:r>
        <w:tab/>
      </w:r>
      <w:r>
        <w:rPr>
          <w:rFonts w:ascii="Times New Roman" w:hAnsi="Times New Roman" w:cs="Times New Roman" w:eastAsia="宋体"/>
          <w:sz w:val="21"/>
        </w:rPr>
        <w:t>（3-4）</w:t>
      </w:r>
    </w:p>
    <w:p>
      <w:pPr>
        <w:spacing w:before="0" w:after="0" w:line="300" w:lineRule="auto"/>
        <w:ind w:firstLine="480"/>
        <w:jc w:val="both"/>
      </w:pPr>
      <w:r>
        <w:rPr>
          <w:rFonts w:ascii="Times New Roman" w:hAnsi="Times New Roman" w:cs="Times New Roman" w:eastAsia="宋体"/>
          <w:b w:val="0"/>
          <w:sz w:val="24"/>
        </w:rPr>
        <w:t>分母为零时权重置零。该关系侧重接入、离站与活跃变化在时间上的共同出现，对行为规模差异相对不敏感。</w:t>
      </w:r>
    </w:p>
    <w:p>
      <w:pPr>
        <w:spacing w:before="240" w:after="180" w:line="300" w:lineRule="auto"/>
        <w:ind w:firstLine="0"/>
        <w:jc w:val="both"/>
        <w:outlineLvl w:val="2"/>
      </w:pPr>
      <w:r>
        <w:rPr>
          <w:rFonts w:ascii="Times New Roman" w:hAnsi="Times New Roman" w:cs="Times New Roman" w:eastAsia="黑体"/>
          <w:b w:val="0"/>
          <w:sz w:val="28"/>
        </w:rPr>
        <w:t>3.3.3 轮廓相似关系图</w:t>
      </w:r>
    </w:p>
    <w:p>
      <w:pPr>
        <w:spacing w:before="0" w:after="0" w:line="300" w:lineRule="auto"/>
        <w:ind w:firstLine="480"/>
        <w:jc w:val="both"/>
      </w:pPr>
      <w:r>
        <w:rPr>
          <w:rFonts w:ascii="Times New Roman" w:hAnsi="Times New Roman" w:cs="Times New Roman" w:eastAsia="宋体"/>
          <w:b w:val="0"/>
          <w:sz w:val="24"/>
        </w:rPr>
        <w:t>训练序列按数据起点固定相位划分为96步片段，对各相位取均值得到节点轮廓</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𝐩</m:t>
            </m:r>
          </m:e>
          <m:sub>
            <m:r>
              <m:t>i</m:t>
            </m:r>
          </m:sub>
        </m:sSub>
        <m:r>
          <m:t>∈</m:t>
        </m:r>
        <m:sSup>
          <m:sSupPr/>
          <m:e>
            <m:r>
              <m:t>ℝ</m:t>
            </m:r>
          </m:e>
          <m:sup>
            <m:r>
              <m:t>96</m:t>
            </m:r>
          </m:sup>
        </m:sSup>
      </m:oMath>
      <w:r>
        <w:rPr>
          <w:rFonts w:ascii="Times New Roman" w:hAnsi="Times New Roman" w:cs="Times New Roman" w:eastAsia="宋体"/>
          <w:b w:val="0"/>
          <w:sz w:val="24"/>
        </w:rPr>
        <w:t>。由于数据起始时刻为11:00，该轮廓是固定相位的96步周期轮廓，而非自然日00:00起算的日曲线。先对每个节点轮廓去均值，再计算均方根距离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i</m:t>
        </m:r>
        <m:r>
          <m:t>j</m:t>
        </m:r>
      </m:oMath>
      <w:r>
        <w:rPr>
          <w:rFonts w:ascii="Times New Roman" w:hAnsi="Times New Roman" w:cs="Times New Roman" w:eastAsia="宋体"/>
          <w:b w:val="0"/>
          <w:sz w:val="24"/>
        </w:rPr>
        <w:t>，并用指数核转换为相似度：</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d</m:t>
            </m:r>
          </m:e>
          <m:sub>
            <m:r>
              <m:t>i</m:t>
            </m:r>
            <m:r>
              <m:t>j</m:t>
            </m:r>
          </m:sub>
        </m:sSub>
        <m:r>
          <m:t>=</m:t>
        </m:r>
        <m:rad>
          <m:radPr>
            <m:degHide m:val="1"/>
          </m:radPr>
          <m:deg/>
          <m:e>
            <m:f>
              <m:num>
                <m:r>
                  <m:t>1</m:t>
                </m:r>
              </m:num>
              <m:den>
                <m:r>
                  <m:t>96</m:t>
                </m:r>
              </m:den>
            </m:f>
            <m:sSubSup>
              <m:sSubSupPr/>
              <m:e>
                <m:r>
                  <m:t>∑</m:t>
                </m:r>
              </m:e>
              <m:sub>
                <m:r>
                  <m:t>q</m:t>
                </m:r>
                <m:r>
                  <m:t>=</m:t>
                </m:r>
                <m:r>
                  <m:t>1</m:t>
                </m:r>
              </m:sub>
              <m:sup>
                <m:r>
                  <m:t>96</m:t>
                </m:r>
              </m:sup>
            </m:sSubSup>
            <m:sSup>
              <m:sSupPr/>
              <m:e>
                <m:r>
                  <m:t>(</m:t>
                </m:r>
                <m:sSub>
                  <m:sSubPr/>
                  <m:e>
                    <m:r>
                      <m:t>p</m:t>
                    </m:r>
                  </m:e>
                  <m:sub>
                    <m:r>
                      <m:t>i</m:t>
                    </m:r>
                    <m:r>
                      <m:t>q</m:t>
                    </m:r>
                  </m:sub>
                </m:sSub>
                <m:r>
                  <m:t>−</m:t>
                </m:r>
                <m:sSub>
                  <m:sSubPr/>
                  <m:e>
                    <m:r>
                      <m:t>p</m:t>
                    </m:r>
                  </m:e>
                  <m:sub>
                    <m:r>
                      <m:t>j</m:t>
                    </m:r>
                    <m:r>
                      <m:t>q</m:t>
                    </m:r>
                  </m:sub>
                </m:sSub>
                <m:r>
                  <m:t>)</m:t>
                </m:r>
              </m:e>
              <m:sup>
                <m:r>
                  <m:t>2</m:t>
                </m:r>
              </m:sup>
            </m:sSup>
          </m:e>
        </m:rad>
        <m:r>
          <m:t>,</m:t>
        </m:r>
        <m:sSubSup>
          <m:sSubSupPr/>
          <m:e>
            <m:r>
              <m:t>A</m:t>
            </m:r>
          </m:e>
          <m:sub>
            <m:r>
              <m:t>i</m:t>
            </m:r>
            <m:r>
              <m:t>j</m:t>
            </m:r>
          </m:sub>
          <m:sup>
            <m:r>
              <m:t>pattern</m:t>
            </m:r>
          </m:sup>
        </m:sSubSup>
        <m:r>
          <m:t>=</m:t>
        </m:r>
        <m:r>
          <m:t>exp</m:t>
        </m:r>
        <m:r>
          <m:t>⁡</m:t>
        </m:r>
        <m:r>
          <m:t>[</m:t>
        </m:r>
        <m:r>
          <m:t>−</m:t>
        </m:r>
        <m:f>
          <m:num>
            <m:sSub>
              <m:sSubPr/>
              <m:e>
                <m:r>
                  <m:t>d</m:t>
                </m:r>
              </m:e>
              <m:sub>
                <m:r>
                  <m:t>i</m:t>
                </m:r>
                <m:r>
                  <m:t>j</m:t>
                </m:r>
              </m:sub>
            </m:sSub>
          </m:num>
          <m:den>
            <m:r>
              <m:t>median</m:t>
            </m:r>
            <m:r>
              <m:t>⁡</m:t>
            </m:r>
            <m:r>
              <m:t>(</m:t>
            </m:r>
            <m:sSub>
              <m:sSubPr/>
              <m:e>
                <m:r>
                  <m:t>d</m:t>
                </m:r>
              </m:e>
              <m:sub>
                <m:r>
                  <m:t>u</m:t>
                </m:r>
                <m:r>
                  <m:t>v</m:t>
                </m:r>
              </m:sub>
            </m:sSub>
            <m:r>
              <m:t>&gt;</m:t>
            </m:r>
            <m:r>
              <m:t>0</m:t>
            </m:r>
            <m:r>
              <m:t>)</m:t>
            </m:r>
          </m:den>
        </m:f>
        <m:r>
          <m:t>]</m:t>
        </m:r>
        <m:r>
          <m:t>.</m:t>
        </m:r>
      </m:oMath>
      <w:r>
        <w:tab/>
      </w:r>
      <w:r>
        <w:rPr>
          <w:rFonts w:ascii="Times New Roman" w:hAnsi="Times New Roman" w:cs="Times New Roman" w:eastAsia="宋体"/>
          <w:sz w:val="21"/>
        </w:rPr>
        <w:t>（3-5）</w:t>
      </w:r>
    </w:p>
    <w:p>
      <w:pPr>
        <w:spacing w:before="0" w:after="0" w:line="300" w:lineRule="auto"/>
        <w:ind w:firstLine="480"/>
        <w:jc w:val="both"/>
      </w:pPr>
      <w:r>
        <w:rPr>
          <w:rFonts w:ascii="Times New Roman" w:hAnsi="Times New Roman" w:cs="Times New Roman" w:eastAsia="宋体"/>
          <w:b w:val="0"/>
          <w:sz w:val="24"/>
        </w:rPr>
        <w:t>去均值后，关系更侧重轮廓形状而非平均负荷水平，与负荷耦合关系形成互补。</w:t>
      </w:r>
    </w:p>
    <w:p>
      <w:pPr>
        <w:spacing w:before="240" w:after="180" w:line="300" w:lineRule="auto"/>
        <w:ind w:firstLine="0"/>
        <w:jc w:val="both"/>
        <w:outlineLvl w:val="2"/>
      </w:pPr>
      <w:r>
        <w:rPr>
          <w:rFonts w:ascii="Times New Roman" w:hAnsi="Times New Roman" w:cs="Times New Roman" w:eastAsia="黑体"/>
          <w:b w:val="0"/>
          <w:sz w:val="28"/>
        </w:rPr>
        <w:t>3.3.4 top-k稀疏化与对称归一化</w:t>
      </w:r>
    </w:p>
    <w:p>
      <w:pPr>
        <w:spacing w:before="0" w:after="0" w:line="300" w:lineRule="auto"/>
        <w:ind w:firstLine="480"/>
        <w:jc w:val="both"/>
      </w:pPr>
      <w:r>
        <w:rPr>
          <w:rFonts w:ascii="Times New Roman" w:hAnsi="Times New Roman" w:cs="Times New Roman" w:eastAsia="宋体"/>
          <w:b w:val="0"/>
          <w:sz w:val="24"/>
        </w:rPr>
        <w:t>三类关系矩阵分别进行稀疏化。首先在每行保留权重最大的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个非自身邻居，随后以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max</m:t>
        </m:r>
        <m:r>
          <m:t>⁡</m:t>
        </m:r>
        <m:r>
          <m:t>(</m:t>
        </m:r>
        <m:r>
          <m:t>𝐀</m:t>
        </m:r>
        <m:r>
          <m:t>,</m:t>
        </m:r>
        <m:sSup>
          <m:sSupPr/>
          <m:e>
            <m:r>
              <m:t>𝐀</m:t>
            </m:r>
          </m:e>
          <m:sup>
            <m:r>
              <m:t>𝖳</m:t>
            </m:r>
          </m:sup>
        </m:sSup>
        <m:r>
          <m:t>)</m:t>
        </m:r>
      </m:oMath>
      <w:r>
        <w:rPr>
          <w:rFonts w:ascii="Times New Roman" w:hAnsi="Times New Roman" w:cs="Times New Roman" w:eastAsia="宋体"/>
          <w:b w:val="0"/>
          <w:sz w:val="24"/>
        </w:rPr>
        <w:t>取得无向并集。因此，某节点最终的非零邻居数可能略多于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。旧正式主模型（SG-DATA-005、SG-EXP-003）冻结为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rFonts w:ascii="Times New Roman" w:hAnsi="Times New Roman" w:cs="Times New Roman" w:eastAsia="宋体"/>
          <w:b w:val="0"/>
          <w:sz w:val="24"/>
        </w:rPr>
        <w:t>；后文另行报告的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属于不同登记实验的稀疏度敏感性，不能改写旧主结果的配置。事件时刻可见协议SG-DATA-006-eventtime-v1另行冻结为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，其结果不与旧协议直接比较。在加入单位自环后，采用对称归一化：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𝐀</m:t>
            </m:r>
            <m:r>
              <m:t>ˆ</m:t>
            </m:r>
          </m:e>
          <m:sub>
            <m:r>
              <m:t>r</m:t>
            </m:r>
          </m:sub>
        </m:sSub>
        <m:r>
          <m:t>=</m:t>
        </m:r>
        <m:sSubSup>
          <m:sSubSupPr/>
          <m:e>
            <m:r>
              <m:t>𝐃</m:t>
            </m:r>
            <m:r>
              <m:t>~</m:t>
            </m:r>
          </m:e>
          <m:sub>
            <m:r>
              <m:t>r</m:t>
            </m:r>
          </m:sub>
          <m:sup>
            <m:r>
              <m:t>−</m:t>
            </m:r>
            <m:r>
              <m:t>1</m:t>
            </m:r>
            <m:r>
              <m:t>/</m:t>
            </m:r>
            <m:r>
              <m:t>2</m:t>
            </m:r>
          </m:sup>
        </m:sSubSup>
        <m:r>
          <m:t>(</m:t>
        </m:r>
        <m:sSub>
          <m:sSubPr/>
          <m:e>
            <m:r>
              <m:t>𝐀</m:t>
            </m:r>
          </m:e>
          <m:sub>
            <m:r>
              <m:t>r</m:t>
            </m:r>
          </m:sub>
        </m:sSub>
        <m:r>
          <m:t>+</m:t>
        </m:r>
        <m:r>
          <m:t>𝐈</m:t>
        </m:r>
        <m:r>
          <m:t>)</m:t>
        </m:r>
        <m:sSubSup>
          <m:sSubSupPr/>
          <m:e>
            <m:r>
              <m:t>𝐃</m:t>
            </m:r>
            <m:r>
              <m:t>~</m:t>
            </m:r>
          </m:e>
          <m:sub>
            <m:r>
              <m:t>r</m:t>
            </m:r>
          </m:sub>
          <m:sup>
            <m:r>
              <m:t>−</m:t>
            </m:r>
            <m:r>
              <m:t>1</m:t>
            </m:r>
            <m:r>
              <m:t>/</m:t>
            </m:r>
            <m:r>
              <m:t>2</m:t>
            </m:r>
          </m:sup>
        </m:sSubSup>
        <m:r>
          <m:t>,</m:t>
        </m:r>
        <m:r>
          <m:t>r</m:t>
        </m:r>
        <m:r>
          <m:t>∈</m:t>
        </m:r>
        <m:r>
          <m:t>{</m:t>
        </m:r>
        <m:r>
          <m:t>l</m:t>
        </m:r>
        <m:r>
          <m:t>o</m:t>
        </m:r>
        <m:r>
          <m:t>a</m:t>
        </m:r>
        <m:r>
          <m:t>d</m:t>
        </m:r>
        <m:r>
          <m:t>,</m:t>
        </m:r>
        <m:r>
          <m:t>e</m:t>
        </m:r>
        <m:r>
          <m:t>v</m:t>
        </m:r>
        <m:r>
          <m:t>e</m:t>
        </m:r>
        <m:r>
          <m:t>n</m:t>
        </m:r>
        <m:r>
          <m:t>t</m:t>
        </m:r>
        <m:r>
          <m:t>,</m:t>
        </m:r>
        <m:r>
          <m:t>p</m:t>
        </m:r>
        <m:r>
          <m:t>a</m:t>
        </m:r>
        <m:r>
          <m:t>t</m:t>
        </m:r>
        <m:r>
          <m:t>t</m:t>
        </m:r>
        <m:r>
          <m:t>e</m:t>
        </m:r>
        <m:r>
          <m:t>r</m:t>
        </m:r>
        <m:r>
          <m:t>n</m:t>
        </m:r>
        <m:r>
          <m:t>}</m:t>
        </m:r>
        <m:r>
          <m:t>.</m:t>
        </m:r>
      </m:oMath>
      <w:r>
        <w:tab/>
      </w:r>
      <w:r>
        <w:rPr>
          <w:rFonts w:ascii="Times New Roman" w:hAnsi="Times New Roman" w:cs="Times New Roman" w:eastAsia="宋体"/>
          <w:sz w:val="21"/>
        </w:rPr>
        <w:t>（3-6）</w:t>
      </w:r>
    </w:p>
    <w:p>
      <w:pPr>
        <w:spacing w:before="0" w:after="0" w:line="300" w:lineRule="auto"/>
        <w:ind w:firstLine="480"/>
        <w:jc w:val="both"/>
      </w:pPr>
      <w:r>
        <w:rPr>
          <w:rFonts w:ascii="Times New Roman" w:hAnsi="Times New Roman" w:cs="Times New Roman" w:eastAsia="宋体"/>
          <w:b w:val="0"/>
          <w:sz w:val="24"/>
        </w:rPr>
        <w:t>三类关系矩阵见图3-5。它们均为训练期统计关系，颜色只表示关系权重，不表示地理距离、配电拓扑或因果方向。</w:t>
      </w:r>
    </w:p>
    <w:p>
      <w:pPr>
        <w:spacing w:before="60" w:after="60" w:line="240" w:lineRule="auto"/>
        <w:ind w:firstLine="0"/>
        <w:jc w:val="center"/>
      </w:pPr>
      <w:r>
        <w:drawing>
          <wp:inline xmlns:a="http://schemas.openxmlformats.org/drawingml/2006/main" xmlns:pic="http://schemas.openxmlformats.org/drawingml/2006/picture">
            <wp:extent cx="5112000" cy="1983301"/>
            <wp:docPr id="41" name="Picture 41"/>
            <wp:cNvGraphicFramePr>
              <a:graphicFrameLocks noChangeAspect="1"/>
            </wp:cNvGraphicFramePr>
            <a:graphic>
              <a:graphicData uri="http://schemas.openxmlformats.org/drawingml/2006/picture">
                <pic:pic>
                  <pic:nvPicPr>
                    <pic:cNvPr id="0" name="fig3_5_lre_matrices.png"/>
                    <pic:cNvPicPr/>
                  </pic:nvPicPr>
                  <pic:blipFill>
                    <a:blip r:embed="rId81"/>
                    <a:stretch>
                      <a:fillRect/>
                    </a:stretch>
                  </pic:blipFill>
                  <pic:spPr>
                    <a:xfrm>
                      <a:off x="0" y="0"/>
                      <a:ext cx="5112000" cy="198330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图3-5 LRE三类站内关系矩阵</w:t>
      </w:r>
    </w:p>
    <w:p>
      <w:pPr>
        <w:spacing w:before="0" w:after="0" w:line="300" w:lineRule="auto"/>
        <w:ind w:firstLine="480"/>
        <w:jc w:val="both"/>
      </w:pPr>
      <w:r>
        <w:rPr>
          <w:rFonts w:ascii="Times New Roman" w:hAnsi="Times New Roman" w:cs="Times New Roman" w:eastAsia="宋体"/>
          <w:b w:val="0"/>
          <w:sz w:val="18"/>
        </w:rPr>
        <w:t>注：三个面板依次表示负荷耦合、行为共现和轮廓相似关系，并采用统一色阶。矩阵由训练集一次性构建，不含跨种子误差棒。</w:t>
      </w:r>
    </w:p>
    <w:p>
      <w:pPr>
        <w:spacing w:before="360" w:after="240" w:line="360" w:lineRule="auto"/>
        <w:ind w:firstLine="0"/>
        <w:jc w:val="both"/>
        <w:outlineLvl w:val="1"/>
      </w:pPr>
      <w:r>
        <w:rPr>
          <w:rFonts w:ascii="Times New Roman" w:hAnsi="Times New Roman" w:cs="Times New Roman" w:eastAsia="黑体"/>
          <w:b/>
          <w:sz w:val="30"/>
        </w:rPr>
        <w:t>3.4 时间基线：TCN</w:t>
      </w:r>
    </w:p>
    <w:p>
      <w:pPr>
        <w:spacing w:before="0" w:after="0" w:line="300" w:lineRule="auto"/>
        <w:ind w:firstLine="480"/>
        <w:jc w:val="both"/>
      </w:pPr>
      <w:r>
        <w:rPr>
          <w:rFonts w:ascii="Times New Roman" w:hAnsi="Times New Roman" w:cs="Times New Roman" w:eastAsia="宋体"/>
          <w:b w:val="0"/>
          <w:sz w:val="24"/>
        </w:rPr>
        <w:t>时间骨干采用TCN</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。对每个节点独立处理96步输入，六层一维卷积的膨胀率依次为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1,2,4,8,16,32</m:t>
        </m:r>
      </m:oMath>
      <w:r>
        <w:rPr>
          <w:rFonts w:ascii="Times New Roman" w:hAnsi="Times New Roman" w:cs="Times New Roman" w:eastAsia="宋体"/>
          <w:b w:val="0"/>
          <w:sz w:val="24"/>
        </w:rPr>
        <w:t>，卷积核宽度为3。网络使用因果填充并裁去右侧多余输出，使时刻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的表示只依赖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m:t>
        </m:r>
      </m:oMath>
      <w:r>
        <w:rPr>
          <w:rFonts w:ascii="Times New Roman" w:hAnsi="Times New Roman" w:cs="Times New Roman" w:eastAsia="宋体"/>
          <w:b w:val="0"/>
          <w:sz w:val="24"/>
        </w:rPr>
        <w:t>及其历史。其感受野为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1</m:t>
        </m:r>
        <m:r>
          <m:t>+</m:t>
        </m:r>
        <m:r>
          <m:t>(</m:t>
        </m:r>
        <m:r>
          <m:t>K</m:t>
        </m:r>
        <m:r>
          <m:t>−</m:t>
        </m:r>
        <m:r>
          <m:t>1</m:t>
        </m:r>
        <m:r>
          <m:t>)</m:t>
        </m:r>
        <m:sSubSup>
          <m:sSubSupPr/>
          <m:e>
            <m:r>
              <m:t>∑</m:t>
            </m:r>
          </m:e>
          <m:sub>
            <m:r>
              <m:t>l</m:t>
            </m:r>
            <m:r>
              <m:t>=</m:t>
            </m:r>
            <m:r>
              <m:t>0</m:t>
            </m:r>
          </m:sub>
          <m:sup>
            <m:r>
              <m:t>L</m:t>
            </m:r>
            <m:r>
              <m:t>−</m:t>
            </m:r>
            <m:r>
              <m:t>1</m:t>
            </m:r>
          </m:sup>
        </m:sSubSup>
        <m:sSup>
          <m:sSupPr/>
          <m:e>
            <m:r>
              <m:t>2</m:t>
            </m:r>
          </m:e>
          <m:sup>
            <m:r>
              <m:t>l</m:t>
            </m:r>
          </m:sup>
        </m:sSup>
        <m:r>
          <m:t>=</m:t>
        </m:r>
        <m:r>
          <m:t>1</m:t>
        </m:r>
        <m:r>
          <m:t>+</m:t>
        </m:r>
        <m:r>
          <m:t>2</m:t>
        </m:r>
        <m:r>
          <m:t>(</m:t>
        </m:r>
        <m:r>
          <m:t>1</m:t>
        </m:r>
        <m:r>
          <m:t>+</m:t>
        </m:r>
        <m:r>
          <m:t>2</m:t>
        </m:r>
        <m:r>
          <m:t>+</m:t>
        </m:r>
        <m:r>
          <m:t>4</m:t>
        </m:r>
        <m:r>
          <m:t>+</m:t>
        </m:r>
        <m:r>
          <m:t>8</m:t>
        </m:r>
        <m:r>
          <m:t>+</m:t>
        </m:r>
        <m:r>
          <m:t>16</m:t>
        </m:r>
        <m:r>
          <m:t>+</m:t>
        </m:r>
        <m:r>
          <m:t>32</m:t>
        </m:r>
        <m:r>
          <m:t>)</m:t>
        </m:r>
        <m:r>
          <m:t>=</m:t>
        </m:r>
        <m:r>
          <m:t>127</m:t>
        </m:r>
        <m:r>
          <m:t>,</m:t>
        </m:r>
      </m:oMath>
      <w:r>
        <w:tab/>
      </w:r>
      <w:r>
        <w:rPr>
          <w:rFonts w:ascii="Times New Roman" w:hAnsi="Times New Roman" w:cs="Times New Roman" w:eastAsia="宋体"/>
          <w:sz w:val="21"/>
        </w:rPr>
        <w:t>（3-7）</w:t>
      </w:r>
    </w:p>
    <w:p>
      <w:pPr>
        <w:spacing w:before="0" w:after="0" w:line="300" w:lineRule="auto"/>
        <w:ind w:firstLine="480"/>
        <w:jc w:val="both"/>
      </w:pPr>
      <w:r>
        <w:rPr>
          <w:rFonts w:ascii="Times New Roman" w:hAnsi="Times New Roman" w:cs="Times New Roman" w:eastAsia="宋体"/>
          <w:b w:val="0"/>
          <w:sz w:val="24"/>
        </w:rPr>
        <w:t>能够覆盖96步历史窗口。每层在通道维执行逐时间步LayerNorm，不跨时间汇总统计量；最终时刻的隐藏状态作为节点初始表示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ℝ</m:t>
            </m:r>
          </m:e>
          <m:sup>
            <m:r>
              <m:t>B</m:t>
            </m:r>
            <m:r>
              <m:t>×</m:t>
            </m:r>
            <m:r>
              <m:t>N</m:t>
            </m:r>
            <m:r>
              <m:t>×</m:t>
            </m:r>
            <m:r>
              <m:t>D</m:t>
            </m:r>
          </m:sup>
        </m:sSup>
      </m:oMath>
      <w:r>
        <w:rPr>
          <w:rFonts w:ascii="Times New Roman" w:hAnsi="Times New Roman" w:cs="Times New Roman" w:eastAsia="宋体"/>
          <w:b w:val="0"/>
          <w:sz w:val="24"/>
        </w:rPr>
        <w:t>。主实验取隐藏维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D</m:t>
        </m:r>
        <m:r>
          <m:t>=</m:t>
        </m:r>
        <m:r>
          <m:t>32</m:t>
        </m:r>
      </m:oMath>
      <w:r>
        <w:rPr>
          <w:rFonts w:ascii="Times New Roman" w:hAnsi="Times New Roman" w:cs="Times New Roman" w:eastAsia="宋体"/>
          <w:b w:val="0"/>
          <w:sz w:val="24"/>
        </w:rPr>
        <w:t>、dropout为0.1。TCN既作为MRG-GCN的时间编码器，也作为无图基线。</w:t>
      </w:r>
    </w:p>
    <w:p>
      <w:pPr>
        <w:spacing w:before="360" w:after="240" w:line="360" w:lineRule="auto"/>
        <w:ind w:firstLine="0"/>
        <w:jc w:val="both"/>
        <w:outlineLvl w:val="1"/>
      </w:pPr>
      <w:r>
        <w:rPr>
          <w:rFonts w:ascii="Times New Roman" w:hAnsi="Times New Roman" w:cs="Times New Roman" w:eastAsia="黑体"/>
          <w:b/>
          <w:sz w:val="30"/>
        </w:rPr>
        <w:t>3.5 双层多关系门控图卷积网络（MRG-GCN）</w:t>
      </w:r>
    </w:p>
    <w:p>
      <w:pPr>
        <w:spacing w:before="240" w:after="180" w:line="300" w:lineRule="auto"/>
        <w:ind w:firstLine="0"/>
        <w:jc w:val="both"/>
        <w:outlineLvl w:val="2"/>
      </w:pPr>
      <w:r>
        <w:rPr>
          <w:rFonts w:ascii="Times New Roman" w:hAnsi="Times New Roman" w:cs="Times New Roman" w:eastAsia="黑体"/>
          <w:b w:val="0"/>
          <w:sz w:val="28"/>
        </w:rPr>
        <w:t>3.5.1 总体架构</w:t>
      </w:r>
    </w:p>
    <w:p>
      <w:pPr>
        <w:spacing w:before="0" w:after="0" w:line="300" w:lineRule="auto"/>
        <w:ind w:firstLine="480"/>
        <w:jc w:val="both"/>
      </w:pPr>
      <w:r>
        <w:rPr>
          <w:rFonts w:ascii="Times New Roman" w:hAnsi="Times New Roman" w:cs="Times New Roman" w:eastAsia="宋体"/>
          <w:b w:val="0"/>
          <w:sz w:val="24"/>
        </w:rPr>
        <w:t>MRG-GCN由时间编码、两层多关系图卷积、层间特征精炼、跨层融合和预测头组成。TCN输出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；第一层图卷积得到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；中间残差MLP生成精炼表示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，并作为第二层图卷积的输入，得到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。最后拼接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，经线性映射、层归一化（LayerNorm）、GELU激活和随机失活融合，预测未来4步负荷。该结构同时保留纯时序、一阶邻域和二阶传播信息。为统一两层记号，定义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1</m:t>
            </m:r>
            <m:r>
              <m:t>)</m:t>
            </m:r>
          </m:sup>
        </m:sSup>
        <m:r>
          <m:t>=</m:t>
        </m:r>
        <m:sSup>
          <m:sSupPr/>
          <m:e>
            <m:r>
              <m:t>𝐇</m:t>
            </m:r>
          </m:e>
          <m:sup>
            <m:r>
              <m:t>(</m:t>
            </m:r>
            <m:r>
              <m:t>0</m:t>
            </m:r>
            <m:r>
              <m:t>)</m:t>
            </m:r>
          </m:sup>
        </m:sSup>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𝐙</m:t>
            </m:r>
          </m:e>
          <m:sup>
            <m:r>
              <m:t>(</m:t>
            </m:r>
            <m:r>
              <m:t>2</m:t>
            </m:r>
            <m:r>
              <m:t>)</m:t>
            </m:r>
          </m:sup>
        </m:sSup>
        <m:r>
          <m:t>=</m:t>
        </m:r>
        <m:sSup>
          <m:sSupPr/>
          <m:e>
            <m:r>
              <m:t>𝐇</m:t>
            </m:r>
          </m:e>
          <m:sup>
            <m:r>
              <m:t>(</m:t>
            </m:r>
            <m:r>
              <m:t>1</m:t>
            </m:r>
            <m:r>
              <m:t>,</m:t>
            </m:r>
            <m:r>
              <m:t>ref</m:t>
            </m:r>
            <m:r>
              <m:t>)</m:t>
            </m:r>
          </m:sup>
        </m:sSup>
      </m:oMath>
      <w:r>
        <w:rPr>
          <w:rFonts w:ascii="Times New Roman" w:hAnsi="Times New Roman" w:cs="Times New Roman" w:eastAsia="宋体"/>
          <w:b w:val="0"/>
          <w:sz w:val="24"/>
        </w:rPr>
        <w:t>，即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表示第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层传播的实际输入。</w:t>
      </w:r>
    </w:p>
    <w:p>
      <w:pPr>
        <w:spacing w:before="240" w:after="180" w:line="300" w:lineRule="auto"/>
        <w:ind w:firstLine="0"/>
        <w:jc w:val="both"/>
        <w:outlineLvl w:val="2"/>
      </w:pPr>
      <w:r>
        <w:rPr>
          <w:rFonts w:ascii="Times New Roman" w:hAnsi="Times New Roman" w:cs="Times New Roman" w:eastAsia="黑体"/>
          <w:b w:val="0"/>
          <w:sz w:val="28"/>
        </w:rPr>
        <w:t>3.5.2 单关系消息传递</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oMath>
      <w:r>
        <w:rPr>
          <w:rFonts w:ascii="Times New Roman" w:hAnsi="Times New Roman" w:cs="Times New Roman" w:eastAsia="宋体"/>
          <w:b w:val="0"/>
          <w:sz w:val="24"/>
        </w:rPr>
        <w:t>的消息为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𝐌</m:t>
            </m:r>
          </m:e>
          <m:sub>
            <m:r>
              <m:t>r</m:t>
            </m:r>
          </m:sub>
          <m:sup>
            <m:r>
              <m:t>(</m:t>
            </m:r>
            <m:r>
              <m:t>l</m:t>
            </m:r>
            <m:r>
              <m:t>)</m:t>
            </m:r>
          </m:sup>
        </m:sSubSup>
        <m:r>
          <m:t>=</m:t>
        </m:r>
        <m:sSub>
          <m:sSubPr/>
          <m:e>
            <m:r>
              <m:t>𝐀</m:t>
            </m:r>
            <m:r>
              <m:t>ˆ</m:t>
            </m:r>
          </m:e>
          <m:sub>
            <m:r>
              <m:t>r</m:t>
            </m:r>
          </m:sub>
        </m:sSub>
        <m:sSup>
          <m:sSupPr/>
          <m:e>
            <m:r>
              <m:t>𝐙</m:t>
            </m:r>
          </m:e>
          <m:sup>
            <m:r>
              <m:t>(</m:t>
            </m:r>
            <m:r>
              <m:t>l</m:t>
            </m:r>
            <m:r>
              <m:t>)</m:t>
            </m:r>
          </m:sup>
        </m:sSup>
        <m:sSubSup>
          <m:sSubSupPr/>
          <m:e>
            <m:r>
              <m:t>𝐖</m:t>
            </m:r>
          </m:e>
          <m:sub>
            <m:r>
              <m:t>r</m:t>
            </m:r>
          </m:sub>
          <m:sup>
            <m:r>
              <m:t>(</m:t>
            </m:r>
            <m:r>
              <m:t>l</m:t>
            </m:r>
            <m:r>
              <m:t>)</m:t>
            </m:r>
          </m:sup>
        </m:sSubSup>
        <m:r>
          <m:t>,</m:t>
        </m:r>
      </m:oMath>
      <w:r>
        <w:tab/>
      </w:r>
      <w:r>
        <w:rPr>
          <w:rFonts w:ascii="Times New Roman" w:hAnsi="Times New Roman" w:cs="Times New Roman" w:eastAsia="宋体"/>
          <w:sz w:val="21"/>
        </w:rPr>
        <w:t>（3-8）</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𝐖</m:t>
            </m:r>
          </m:e>
          <m:sub>
            <m:r>
              <m:t>r</m:t>
            </m:r>
          </m:sub>
          <m:sup>
            <m:r>
              <m:t>(</m:t>
            </m:r>
            <m:r>
              <m:t>l</m:t>
            </m:r>
            <m:r>
              <m:t>)</m:t>
            </m:r>
          </m:sup>
        </m:sSubSup>
        <m:r>
          <m:t>∈</m:t>
        </m:r>
        <m:sSup>
          <m:sSupPr/>
          <m:e>
            <m:r>
              <m:t>ℝ</m:t>
            </m:r>
          </m:e>
          <m:sup>
            <m:r>
              <m:t>D</m:t>
            </m:r>
            <m:r>
              <m:t>×</m:t>
            </m:r>
            <m:r>
              <m:t>D</m:t>
            </m:r>
          </m:sup>
        </m:sSup>
      </m:oMath>
      <w:r>
        <w:rPr>
          <w:rFonts w:ascii="Times New Roman" w:hAnsi="Times New Roman" w:cs="Times New Roman" w:eastAsia="宋体"/>
          <w:b w:val="0"/>
          <w:sz w:val="24"/>
        </w:rPr>
        <w:t>为关系专属变换矩阵。邻接聚合沿节点维进行，不改变批次维和隐藏维。</w:t>
      </w:r>
    </w:p>
    <w:p>
      <w:pPr>
        <w:spacing w:before="240" w:after="180" w:line="300" w:lineRule="auto"/>
        <w:ind w:firstLine="0"/>
        <w:jc w:val="both"/>
        <w:outlineLvl w:val="2"/>
      </w:pPr>
      <w:r>
        <w:rPr>
          <w:rFonts w:ascii="Times New Roman" w:hAnsi="Times New Roman" w:cs="Times New Roman" w:eastAsia="黑体"/>
          <w:b w:val="0"/>
          <w:sz w:val="28"/>
        </w:rPr>
        <w:t>3.5.3 关系级门控</w:t>
      </w:r>
    </w:p>
    <w:p>
      <w:pPr>
        <w:spacing w:before="0" w:after="0" w:line="300" w:lineRule="auto"/>
        <w:ind w:firstLine="480"/>
        <w:jc w:val="both"/>
      </w:pPr>
      <w:r>
        <w:rPr>
          <w:rFonts w:ascii="Times New Roman" w:hAnsi="Times New Roman" w:cs="Times New Roman" w:eastAsia="宋体"/>
          <w:b w:val="0"/>
          <w:sz w:val="24"/>
        </w:rPr>
        <w:t>每层设置独立的未归一化权重参数（logit）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，经Softmax得到三类关系的全局融合权重：</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Sup>
          <m:sSubSupPr/>
          <m:e>
            <m:r>
              <m:t>β</m:t>
            </m:r>
          </m:e>
          <m:sub>
            <m:r>
              <m:t>r</m:t>
            </m:r>
          </m:sub>
          <m:sup>
            <m:r>
              <m:t>(</m:t>
            </m:r>
            <m:r>
              <m:t>l</m:t>
            </m:r>
            <m:r>
              <m:t>)</m:t>
            </m:r>
          </m:sup>
        </m:sSubSup>
        <m:r>
          <m:t>=</m:t>
        </m:r>
        <m:f>
          <m:num>
            <m:r>
              <m:t>exp</m:t>
            </m:r>
            <m:r>
              <m:t>⁡</m:t>
            </m:r>
            <m:r>
              <m:t>(</m:t>
            </m:r>
            <m:sSubSup>
              <m:sSubSupPr/>
              <m:e>
                <m:r>
                  <m:t>a</m:t>
                </m:r>
              </m:e>
              <m:sub>
                <m:r>
                  <m:t>r</m:t>
                </m:r>
              </m:sub>
              <m:sup>
                <m:r>
                  <m:t>(</m:t>
                </m:r>
                <m:r>
                  <m:t>l</m:t>
                </m:r>
                <m:r>
                  <m:t>)</m:t>
                </m:r>
              </m:sup>
            </m:sSubSup>
            <m:r>
              <m:t>)</m:t>
            </m:r>
          </m:num>
          <m:den>
            <m:sSubSup>
              <m:sSubSupPr/>
              <m:e>
                <m:r>
                  <m:t>∑</m:t>
                </m:r>
              </m:e>
              <m:sub>
                <m:r>
                  <m:t>s</m:t>
                </m:r>
                <m:r>
                  <m:t>=</m:t>
                </m:r>
                <m:r>
                  <m:t>1</m:t>
                </m:r>
              </m:sub>
              <m:sup>
                <m:r>
                  <m:t>3</m:t>
                </m:r>
              </m:sup>
            </m:sSubSup>
            <m:r>
              <m:t>exp</m:t>
            </m:r>
            <m:r>
              <m:t>⁡</m:t>
            </m:r>
            <m:r>
              <m:t>(</m:t>
            </m:r>
            <m:sSubSup>
              <m:sSubSupPr/>
              <m:e>
                <m:r>
                  <m:t>a</m:t>
                </m:r>
              </m:e>
              <m:sub>
                <m:r>
                  <m:t>s</m:t>
                </m:r>
              </m:sub>
              <m:sup>
                <m:r>
                  <m:t>(</m:t>
                </m:r>
                <m:r>
                  <m:t>l</m:t>
                </m:r>
                <m:r>
                  <m:t>)</m:t>
                </m:r>
              </m:sup>
            </m:sSubSup>
            <m:r>
              <m:t>)</m:t>
            </m:r>
          </m:den>
        </m:f>
        <m:r>
          <m:t>,</m:t>
        </m:r>
        <m:sSup>
          <m:sSupPr/>
          <m:e>
            <m:r>
              <m:t>𝐌</m:t>
            </m:r>
          </m:e>
          <m:sup>
            <m:r>
              <m:t>(</m:t>
            </m:r>
            <m:r>
              <m:t>l</m:t>
            </m:r>
            <m:r>
              <m:t>)</m:t>
            </m:r>
          </m:sup>
        </m:sSup>
        <m:r>
          <m:t>=</m:t>
        </m:r>
        <m:sSubSup>
          <m:sSubSupPr/>
          <m:e>
            <m:r>
              <m:t>∑</m:t>
            </m:r>
          </m:e>
          <m:sub>
            <m:r>
              <m:t>r</m:t>
            </m:r>
            <m:r>
              <m:t>=</m:t>
            </m:r>
            <m:r>
              <m:t>1</m:t>
            </m:r>
          </m:sub>
          <m:sup>
            <m:r>
              <m:t>3</m:t>
            </m:r>
          </m:sup>
        </m:sSubSup>
        <m:sSubSup>
          <m:sSubSupPr/>
          <m:e>
            <m:r>
              <m:t>β</m:t>
            </m:r>
          </m:e>
          <m:sub>
            <m:r>
              <m:t>r</m:t>
            </m:r>
          </m:sub>
          <m:sup>
            <m:r>
              <m:t>(</m:t>
            </m:r>
            <m:r>
              <m:t>l</m:t>
            </m:r>
            <m:r>
              <m:t>)</m:t>
            </m:r>
          </m:sup>
        </m:sSubSup>
        <m:sSubSup>
          <m:sSubSupPr/>
          <m:e>
            <m:r>
              <m:t>𝐌</m:t>
            </m:r>
          </m:e>
          <m:sub>
            <m:r>
              <m:t>r</m:t>
            </m:r>
          </m:sub>
          <m:sup>
            <m:r>
              <m:t>(</m:t>
            </m:r>
            <m:r>
              <m:t>l</m:t>
            </m:r>
            <m:r>
              <m:t>)</m:t>
            </m:r>
          </m:sup>
        </m:sSubSup>
        <m:r>
          <m:t>.</m:t>
        </m:r>
      </m:oMath>
      <w:r>
        <w:tab/>
      </w:r>
      <w:r>
        <w:rPr>
          <w:rFonts w:ascii="Times New Roman" w:hAnsi="Times New Roman" w:cs="Times New Roman" w:eastAsia="宋体"/>
          <w:sz w:val="21"/>
        </w:rPr>
        <w:t>（3-9）</w:t>
      </w:r>
    </w:p>
    <w:p>
      <w:pPr>
        <w:spacing w:before="0" w:after="0" w:line="300" w:lineRule="auto"/>
        <w:ind w:firstLine="480"/>
        <w:jc w:val="both"/>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在同一层内由全部节点共享，用于表示该层的关系混合偏好，不是逐节点贡献度，也不等同于因果效应。两层参数相互独立，允许不同传播深度采用不同关系组合。</w:t>
      </w:r>
    </w:p>
    <w:p>
      <w:pPr>
        <w:spacing w:before="240" w:after="180" w:line="300" w:lineRule="auto"/>
        <w:ind w:firstLine="0"/>
        <w:jc w:val="both"/>
        <w:outlineLvl w:val="2"/>
      </w:pPr>
      <w:r>
        <w:rPr>
          <w:rFonts w:ascii="Times New Roman" w:hAnsi="Times New Roman" w:cs="Times New Roman" w:eastAsia="黑体"/>
          <w:b w:val="0"/>
          <w:sz w:val="28"/>
        </w:rPr>
        <w:t>3.5.4 节点级门控</w:t>
      </w:r>
    </w:p>
    <w:p>
      <w:pPr>
        <w:spacing w:before="0" w:after="0" w:line="300" w:lineRule="auto"/>
        <w:ind w:firstLine="480"/>
        <w:jc w:val="both"/>
      </w:pPr>
      <w:r>
        <w:rPr>
          <w:rFonts w:ascii="Times New Roman" w:hAnsi="Times New Roman" w:cs="Times New Roman" w:eastAsia="宋体"/>
          <w:b w:val="0"/>
          <w:sz w:val="24"/>
        </w:rPr>
        <w:t>关系消息聚合后，模型按样本、节点和特征维计算门值：</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r>
          <m:t>σ</m:t>
        </m:r>
        <m:r>
          <m:t>(</m:t>
        </m:r>
        <m:r>
          <m:t>[</m:t>
        </m:r>
        <m:sSup>
          <m:sSupPr/>
          <m:e>
            <m:r>
              <m:t>𝐙</m:t>
            </m:r>
          </m:e>
          <m:sup>
            <m:r>
              <m:t>(</m:t>
            </m:r>
            <m:r>
              <m:t>l</m:t>
            </m:r>
            <m:r>
              <m:t>)</m:t>
            </m:r>
          </m:sup>
        </m:sSup>
        <m:r>
          <m:t>‖</m:t>
        </m:r>
        <m:sSup>
          <m:sSupPr/>
          <m:e>
            <m:r>
              <m:t>𝐌</m:t>
            </m:r>
          </m:e>
          <m:sup>
            <m:r>
              <m:t>(</m:t>
            </m:r>
            <m:r>
              <m:t>l</m:t>
            </m:r>
            <m:r>
              <m:t>)</m:t>
            </m:r>
          </m:sup>
        </m:sSup>
        <m:r>
          <m:t>]</m:t>
        </m:r>
        <m:sSubSup>
          <m:sSubSupPr/>
          <m:e>
            <m:r>
              <m:t>𝐖</m:t>
            </m:r>
          </m:e>
          <m:sub>
            <m:r>
              <m:t>g</m:t>
            </m:r>
          </m:sub>
          <m:sup>
            <m:r>
              <m:t>(</m:t>
            </m:r>
            <m:r>
              <m:t>l</m:t>
            </m:r>
            <m:r>
              <m:t>)</m:t>
            </m:r>
          </m:sup>
        </m:sSubSup>
        <m:r>
          <m:t>+</m:t>
        </m:r>
        <m:sSubSup>
          <m:sSubSupPr/>
          <m:e>
            <m:r>
              <m:t>𝐛</m:t>
            </m:r>
          </m:e>
          <m:sub>
            <m:r>
              <m:t>g</m:t>
            </m:r>
          </m:sub>
          <m:sup>
            <m:r>
              <m:t>(</m:t>
            </m:r>
            <m:r>
              <m:t>l</m:t>
            </m:r>
            <m:r>
              <m:t>)</m:t>
            </m:r>
          </m:sup>
        </m:sSubSup>
        <m:r>
          <m:t>)</m:t>
        </m:r>
        <m:r>
          <m:t>,</m:t>
        </m:r>
        <m:sSup>
          <m:sSupPr/>
          <m:e>
            <m:r>
              <m:t>𝐇</m:t>
            </m:r>
            <m:r>
              <m:t>~</m:t>
            </m:r>
          </m:e>
          <m:sup>
            <m:r>
              <m:t>(</m:t>
            </m:r>
            <m:r>
              <m:t>l</m:t>
            </m:r>
            <m:r>
              <m:t>)</m:t>
            </m:r>
          </m:sup>
        </m:sSup>
        <m:r>
          <m:t>=</m:t>
        </m:r>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r>
          <m:t>,</m:t>
        </m:r>
      </m:oMath>
      <w:r>
        <w:tab/>
      </w:r>
      <w:r>
        <w:rPr>
          <w:rFonts w:ascii="Times New Roman" w:hAnsi="Times New Roman" w:cs="Times New Roman" w:eastAsia="宋体"/>
          <w:sz w:val="21"/>
        </w:rPr>
        <w:t>（3-10）</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l</m:t>
            </m:r>
            <m:r>
              <m:t>)</m:t>
            </m:r>
          </m:sup>
        </m:sSup>
        <m:r>
          <m:t>=</m:t>
        </m:r>
        <m:r>
          <m:t>LayerNorm</m:t>
        </m:r>
        <m:r>
          <m:t>⁡</m:t>
        </m:r>
        <m:r>
          <m:t>[</m:t>
        </m:r>
        <m:sSup>
          <m:sSupPr/>
          <m:e>
            <m:r>
              <m:t>𝐙</m:t>
            </m:r>
          </m:e>
          <m:sup>
            <m:r>
              <m:t>(</m:t>
            </m:r>
            <m:r>
              <m:t>l</m:t>
            </m:r>
            <m:r>
              <m:t>)</m:t>
            </m:r>
          </m:sup>
        </m:sSup>
        <m:r>
          <m:t>+</m:t>
        </m:r>
        <m:r>
          <m:t>Dropout</m:t>
        </m:r>
        <m:r>
          <m:t>⁡</m:t>
        </m:r>
        <m:r>
          <m:t>(</m:t>
        </m:r>
        <m:sSup>
          <m:sSupPr/>
          <m:e>
            <m:r>
              <m:t>𝐇</m:t>
            </m:r>
            <m:r>
              <m:t>~</m:t>
            </m:r>
          </m:e>
          <m:sup>
            <m:r>
              <m:t>(</m:t>
            </m:r>
            <m:r>
              <m:t>l</m:t>
            </m:r>
            <m:r>
              <m:t>)</m:t>
            </m:r>
          </m:sup>
        </m:sSup>
        <m:r>
          <m:t>)</m:t>
        </m:r>
        <m:r>
          <m:t>]</m:t>
        </m:r>
        <m:r>
          <m:t>.</m:t>
        </m:r>
      </m:oMath>
      <w:r>
        <w:tab/>
      </w:r>
      <w:r>
        <w:rPr>
          <w:rFonts w:ascii="Times New Roman" w:hAnsi="Times New Roman" w:cs="Times New Roman" w:eastAsia="宋体"/>
          <w:sz w:val="21"/>
        </w:rPr>
        <w:t>（3-11）</w:t>
      </w:r>
    </w:p>
    <w:p>
      <w:pPr>
        <w:spacing w:before="0" w:after="0" w:line="300" w:lineRule="auto"/>
        <w:ind w:firstLine="480"/>
        <w:jc w:val="both"/>
      </w:pPr>
      <w:r>
        <w:rPr>
          <w:rFonts w:ascii="Times New Roman" w:hAnsi="Times New Roman" w:cs="Times New Roman" w:eastAsia="宋体"/>
          <w:b w:val="0"/>
          <w:sz w:val="24"/>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决定“聚合哪些关系”，节点级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决定“当前节点保留多少邻域消息”。本文未对</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进行单独消融，因而不对其独立增益作数值归因。</w:t>
      </w:r>
    </w:p>
    <w:p>
      <w:pPr>
        <w:spacing w:before="240" w:after="180" w:line="300" w:lineRule="auto"/>
        <w:ind w:firstLine="0"/>
        <w:jc w:val="both"/>
        <w:outlineLvl w:val="2"/>
      </w:pPr>
      <w:r>
        <w:rPr>
          <w:rFonts w:ascii="Times New Roman" w:hAnsi="Times New Roman" w:cs="Times New Roman" w:eastAsia="黑体"/>
          <w:b w:val="0"/>
          <w:sz w:val="28"/>
        </w:rPr>
        <w:t>3.5.5 关系随机失活</w:t>
      </w:r>
    </w:p>
    <w:p>
      <w:pPr>
        <w:spacing w:before="0" w:after="0" w:line="300" w:lineRule="auto"/>
        <w:ind w:firstLine="480"/>
        <w:jc w:val="both"/>
      </w:pPr>
      <w:r>
        <w:rPr>
          <w:rFonts w:ascii="Times New Roman" w:hAnsi="Times New Roman" w:cs="Times New Roman" w:eastAsia="宋体"/>
          <w:b w:val="0"/>
          <w:sz w:val="24"/>
        </w:rPr>
        <w:t>关系随机失活（relation dropout）在训练时按关系类型采样掩码，并对保留关系的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重新归一化；若三类关系均被屏蔽，则随机恢复其中一类，以保证消息传播路径非空。该机制只在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&gt;</m:t>
        </m:r>
        <m:r>
          <m:t>0</m:t>
        </m:r>
      </m:oMath>
      <w:r>
        <w:rPr>
          <w:rFonts w:ascii="Times New Roman" w:hAnsi="Times New Roman" w:cs="Times New Roman" w:eastAsia="宋体"/>
          <w:b w:val="0"/>
          <w:sz w:val="24"/>
        </w:rPr>
        <w:t>时启用，主模型配置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，因此不是主结果中的有效正则项；其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r>
        <w:rPr>
          <w:rFonts w:ascii="Times New Roman" w:hAnsi="Times New Roman" w:cs="Times New Roman" w:eastAsia="宋体"/>
          <w:b w:val="0"/>
          <w:sz w:val="24"/>
        </w:rPr>
        <w:t>设置仅用于3.7.4节敏感性检验。</w:t>
      </w:r>
    </w:p>
    <w:p>
      <w:pPr>
        <w:spacing w:before="240" w:after="180" w:line="300" w:lineRule="auto"/>
        <w:ind w:firstLine="0"/>
        <w:jc w:val="both"/>
        <w:outlineLvl w:val="2"/>
      </w:pPr>
      <w:r>
        <w:rPr>
          <w:rFonts w:ascii="Times New Roman" w:hAnsi="Times New Roman" w:cs="Times New Roman" w:eastAsia="黑体"/>
          <w:b w:val="0"/>
          <w:sz w:val="28"/>
        </w:rPr>
        <w:t>3.5.6 逐层关系选择与跨层融合</w:t>
      </w:r>
    </w:p>
    <w:p>
      <w:pPr>
        <w:spacing w:before="0" w:after="0" w:line="300" w:lineRule="auto"/>
        <w:ind w:firstLine="480"/>
        <w:jc w:val="both"/>
      </w:pPr>
      <w:r>
        <w:rPr>
          <w:rFonts w:ascii="Times New Roman" w:hAnsi="Times New Roman" w:cs="Times New Roman" w:eastAsia="宋体"/>
          <w:b w:val="0"/>
          <w:sz w:val="24"/>
        </w:rPr>
        <w:t>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经残差MLP精炼后输入第二层，但跨层融合使用原始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，而非精炼后的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。最终表示为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fuse</m:t>
            </m:r>
          </m:sup>
        </m:sSup>
        <m:r>
          <m:t>=</m:t>
        </m:r>
        <m:r>
          <m:t>Dropout</m:t>
        </m:r>
        <m:r>
          <m:t>⁡</m:t>
        </m:r>
        <m:r>
          <m:t>(</m:t>
        </m:r>
        <m:r>
          <m:t>GELU</m:t>
        </m:r>
        <m:r>
          <m:t>⁡</m:t>
        </m:r>
        <m:r>
          <m:t>{</m:t>
        </m:r>
        <m:r>
          <m:t>LayerNorm</m:t>
        </m:r>
        <m:r>
          <m:t>⁡</m:t>
        </m:r>
        <m:r>
          <m:t>[</m:t>
        </m:r>
        <m:sSub>
          <m:sSubPr/>
          <m:e>
            <m:r>
              <m:t>𝐖</m:t>
            </m:r>
          </m:e>
          <m:sub>
            <m:r>
              <m:t>f</m:t>
            </m:r>
          </m:sub>
        </m:sSub>
        <m:r>
          <m:t>(</m:t>
        </m:r>
        <m:sSup>
          <m:sSupPr/>
          <m:e>
            <m:r>
              <m:t>𝐇</m:t>
            </m:r>
          </m:e>
          <m:sup>
            <m:r>
              <m:t>(</m:t>
            </m:r>
            <m:r>
              <m:t>0</m:t>
            </m:r>
            <m:r>
              <m:t>)</m:t>
            </m:r>
          </m:sup>
        </m:sSup>
        <m:r>
          <m:t>‖</m:t>
        </m:r>
        <m:sSup>
          <m:sSupPr/>
          <m:e>
            <m:r>
              <m:t>𝐇</m:t>
            </m:r>
          </m:e>
          <m:sup>
            <m:r>
              <m:t>(</m:t>
            </m:r>
            <m:r>
              <m:t>1</m:t>
            </m:r>
            <m:r>
              <m:t>)</m:t>
            </m:r>
          </m:sup>
        </m:sSup>
        <m:r>
          <m:t>‖</m:t>
        </m:r>
        <m:sSup>
          <m:sSupPr/>
          <m:e>
            <m:r>
              <m:t>𝐇</m:t>
            </m:r>
          </m:e>
          <m:sup>
            <m:r>
              <m:t>(</m:t>
            </m:r>
            <m:r>
              <m:t>2</m:t>
            </m:r>
            <m:r>
              <m:t>)</m:t>
            </m:r>
          </m:sup>
        </m:sSup>
        <m:r>
          <m:t>)</m:t>
        </m:r>
        <m:r>
          <m:t>]</m:t>
        </m:r>
        <m:r>
          <m:t>}</m:t>
        </m:r>
        <m:r>
          <m:t>)</m:t>
        </m:r>
        <m:r>
          <m:t>.</m:t>
        </m:r>
      </m:oMath>
      <w:r>
        <w:tab/>
      </w:r>
      <w:r>
        <w:rPr>
          <w:rFonts w:ascii="Times New Roman" w:hAnsi="Times New Roman" w:cs="Times New Roman" w:eastAsia="宋体"/>
          <w:sz w:val="21"/>
        </w:rPr>
        <w:t>（3-12）</w:t>
      </w:r>
    </w:p>
    <w:p>
      <w:pPr>
        <w:spacing w:before="0" w:after="0" w:line="300" w:lineRule="auto"/>
        <w:ind w:firstLine="480"/>
        <w:jc w:val="both"/>
      </w:pPr>
      <w:r>
        <w:rPr>
          <w:rFonts w:ascii="Times New Roman" w:hAnsi="Times New Roman" w:cs="Times New Roman" w:eastAsia="宋体"/>
          <w:b w:val="0"/>
          <w:sz w:val="24"/>
        </w:rPr>
        <w:t>预测头将每个节点的融合表示映射为4个预测步。图3-1给出整体数据流，图3-2和图3-3分别展开关系传播单元与跨层融合路径。</w:t>
      </w:r>
    </w:p>
    <w:p>
      <w:pPr>
        <w:spacing w:before="240" w:after="180" w:line="300" w:lineRule="auto"/>
        <w:ind w:firstLine="0"/>
        <w:jc w:val="both"/>
        <w:outlineLvl w:val="2"/>
      </w:pPr>
      <w:r>
        <w:rPr>
          <w:rFonts w:ascii="Times New Roman" w:hAnsi="Times New Roman" w:cs="Times New Roman" w:eastAsia="黑体"/>
          <w:b w:val="0"/>
          <w:sz w:val="28"/>
        </w:rPr>
        <w:t>3.5.7 目标函数与训练策略</w:t>
      </w:r>
    </w:p>
    <w:p>
      <w:pPr>
        <w:spacing w:before="0" w:after="0" w:line="300" w:lineRule="auto"/>
        <w:ind w:firstLine="480"/>
        <w:jc w:val="both"/>
      </w:pPr>
      <w:r>
        <w:rPr>
          <w:rFonts w:ascii="Times New Roman" w:hAnsi="Times New Roman" w:cs="Times New Roman" w:eastAsia="宋体"/>
          <w:b w:val="0"/>
          <w:sz w:val="24"/>
        </w:rPr>
        <w:t>训练目标采用标准化空间中的L1损失：</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ℒ</m:t>
        </m:r>
        <m:r>
          <m:t>(</m:t>
        </m:r>
        <m:r>
          <m:t>θ</m:t>
        </m:r>
        <m:r>
          <m:t>)</m:t>
        </m:r>
        <m:r>
          <m:t>=</m:t>
        </m:r>
        <m:f>
          <m:num>
            <m:r>
              <m:t>1</m:t>
            </m:r>
          </m:num>
          <m:den>
            <m:r>
              <m:t>B</m:t>
            </m:r>
            <m:r>
              <m:t>P</m:t>
            </m:r>
            <m:r>
              <m:t>N</m:t>
            </m:r>
          </m:den>
        </m:f>
        <m:sSubSup>
          <m:sSubSupPr/>
          <m:e>
            <m:r>
              <m:t>∑</m:t>
            </m:r>
          </m:e>
          <m:sub>
            <m:r>
              <m:t>b</m:t>
            </m:r>
            <m:r>
              <m:t>=</m:t>
            </m:r>
            <m:r>
              <m:t>1</m:t>
            </m:r>
          </m:sub>
          <m:sup>
            <m:r>
              <m:t>B</m:t>
            </m:r>
          </m:sup>
        </m:sSubSup>
        <m:sSubSup>
          <m:sSubSupPr/>
          <m:e>
            <m:r>
              <m:t>∑</m:t>
            </m:r>
          </m:e>
          <m:sub>
            <m:r>
              <m:t>p</m:t>
            </m:r>
            <m:r>
              <m:t>=</m:t>
            </m:r>
            <m:r>
              <m:t>1</m:t>
            </m:r>
          </m:sub>
          <m:sup>
            <m:r>
              <m:t>P</m:t>
            </m:r>
          </m:sup>
        </m:sSubSup>
        <m:sSubSup>
          <m:sSubSupPr/>
          <m:e>
            <m:r>
              <m:t>∑</m:t>
            </m:r>
          </m:e>
          <m:sub>
            <m:r>
              <m:t>i</m:t>
            </m:r>
            <m:r>
              <m:t>=</m:t>
            </m:r>
            <m:r>
              <m:t>1</m:t>
            </m:r>
          </m:sub>
          <m:sup>
            <m:r>
              <m:t>N</m:t>
            </m:r>
          </m:sup>
        </m:sSubSup>
        <m:r>
          <m:t>|</m:t>
        </m:r>
        <m:sSub>
          <m:sSubPr/>
          <m:e>
            <m:r>
              <m:t>Y</m:t>
            </m:r>
            <m:r>
              <m:t>ˆ</m:t>
            </m:r>
          </m:e>
          <m:sub>
            <m:r>
              <m:t>b</m:t>
            </m:r>
            <m:r>
              <m:t>p</m:t>
            </m:r>
            <m:r>
              <m:t>i</m:t>
            </m:r>
          </m:sub>
        </m:sSub>
        <m:r>
          <m:t>−</m:t>
        </m:r>
        <m:sSub>
          <m:sSubPr/>
          <m:e>
            <m:r>
              <m:t>Y</m:t>
            </m:r>
          </m:e>
          <m:sub>
            <m:r>
              <m:t>b</m:t>
            </m:r>
            <m:r>
              <m:t>p</m:t>
            </m:r>
            <m:r>
              <m:t>i</m:t>
            </m:r>
          </m:sub>
        </m:sSub>
        <m:r>
          <m:t>|</m:t>
        </m:r>
        <m:r>
          <m:t>.</m:t>
        </m:r>
      </m:oMath>
      <w:r>
        <w:tab/>
      </w:r>
      <w:r>
        <w:rPr>
          <w:rFonts w:ascii="Times New Roman" w:hAnsi="Times New Roman" w:cs="Times New Roman" w:eastAsia="宋体"/>
          <w:sz w:val="21"/>
        </w:rPr>
        <w:t>（3-13）</w:t>
      </w:r>
    </w:p>
    <w:p>
      <w:pPr>
        <w:spacing w:before="0" w:after="0" w:line="300" w:lineRule="auto"/>
        <w:ind w:firstLine="480"/>
        <w:jc w:val="both"/>
      </w:pPr>
      <w:r>
        <w:rPr>
          <w:rFonts w:ascii="Times New Roman" w:hAnsi="Times New Roman" w:cs="Times New Roman" w:eastAsia="宋体"/>
          <w:b w:val="0"/>
          <w:sz w:val="24"/>
        </w:rPr>
        <w:t>主实验使用AdamW优化器，学习率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rFonts w:ascii="Times New Roman" w:hAnsi="Times New Roman" w:cs="Times New Roman" w:eastAsia="宋体"/>
          <w:b w:val="0"/>
          <w:sz w:val="24"/>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rFonts w:ascii="Times New Roman" w:hAnsi="Times New Roman" w:cs="Times New Roman" w:eastAsia="宋体"/>
          <w:b w:val="0"/>
          <w:sz w:val="24"/>
        </w:rPr>
        <w:t>、批量大小256，最多训练60轮；验证损失连续8轮未改善则早停。正式结果采用三种子2024、2025和2026。验证集同时承担早停选择和冻结事件规则阈值拟合，但两项操作相互独立；测试集不参与模型选择、构图或阈值拟合。</w:t>
      </w:r>
    </w:p>
    <w:p>
      <w:pPr>
        <w:spacing w:before="240" w:after="180" w:line="300" w:lineRule="auto"/>
        <w:ind w:firstLine="0"/>
        <w:jc w:val="both"/>
        <w:outlineLvl w:val="2"/>
      </w:pPr>
      <w:r>
        <w:rPr>
          <w:rFonts w:ascii="Times New Roman" w:hAnsi="Times New Roman" w:cs="Times New Roman" w:eastAsia="黑体"/>
          <w:b w:val="0"/>
          <w:sz w:val="28"/>
        </w:rPr>
        <w:t>3.5.8 与现有方法的区别</w:t>
      </w:r>
    </w:p>
    <w:p>
      <w:pPr>
        <w:spacing w:before="0" w:after="0" w:line="300" w:lineRule="auto"/>
        <w:ind w:firstLine="480"/>
        <w:jc w:val="both"/>
      </w:pPr>
      <w:r>
        <w:rPr>
          <w:rFonts w:ascii="Times New Roman" w:hAnsi="Times New Roman" w:cs="Times New Roman" w:eastAsia="宋体"/>
          <w:b w:val="0"/>
          <w:sz w:val="24"/>
        </w:rPr>
        <w:t>MRG-GCN沿用图卷积和多关系传播的一般思想</w:t>
      </w:r>
      <w:r>
        <w:rPr>
          <w:rFonts w:ascii="Times New Roman" w:hAnsi="Times New Roman" w:cs="Times New Roman" w:eastAsia="宋体"/>
          <w:b w:val="0"/>
          <w:sz w:val="24"/>
          <w:vertAlign w:val="superscript"/>
        </w:rPr>
        <w:t>[47,49]</w:t>
      </w:r>
      <w:r>
        <w:rPr>
          <w:rFonts w:ascii="Times New Roman" w:hAnsi="Times New Roman" w:cs="Times New Roman" w:eastAsia="宋体"/>
          <w:b w:val="0"/>
          <w:sz w:val="24"/>
        </w:rPr>
        <w:t>，差异主要体现在三方面：一是从充电会话数据构建负荷、行为和轮廓三类可解释统计关系；二是将层级共享的关系权重与逐节点逐特征门控组合；三是保留纯时序、一阶和二阶表示以降低单一路径信息损失。与Graph WaveNet</w:t>
      </w:r>
      <w:r>
        <w:rPr>
          <w:rFonts w:ascii="Times New Roman" w:hAnsi="Times New Roman" w:cs="Times New Roman" w:eastAsia="宋体"/>
          <w:b w:val="0"/>
          <w:sz w:val="24"/>
          <w:vertAlign w:val="superscript"/>
        </w:rPr>
        <w:t>[51]</w:t>
      </w:r>
      <w:r>
        <w:rPr>
          <w:rFonts w:ascii="Times New Roman" w:hAnsi="Times New Roman" w:cs="Times New Roman" w:eastAsia="宋体"/>
          <w:b w:val="0"/>
          <w:sz w:val="24"/>
        </w:rPr>
        <w:t>和AGCRN</w:t>
      </w:r>
      <w:r>
        <w:rPr>
          <w:rFonts w:ascii="Times New Roman" w:hAnsi="Times New Roman" w:cs="Times New Roman" w:eastAsia="宋体"/>
          <w:b w:val="0"/>
          <w:sz w:val="24"/>
          <w:vertAlign w:val="superscript"/>
        </w:rPr>
        <w:t>[52]</w:t>
      </w:r>
      <w:r>
        <w:rPr>
          <w:rFonts w:ascii="Times New Roman" w:hAnsi="Times New Roman" w:cs="Times New Roman" w:eastAsia="宋体"/>
          <w:b w:val="0"/>
          <w:sz w:val="24"/>
        </w:rPr>
        <w:t>主要依赖学习邻接的思路不同，本文主模型使用训练期固定统计图，自适应邻接只作为对照。上述贡献是面向站内节点预测的组合设计，不将多关系图、门控或自适应邻接本身表述为首次提出。</w:t>
      </w:r>
    </w:p>
    <w:p>
      <w:pPr>
        <w:spacing w:before="240" w:after="180" w:line="300" w:lineRule="auto"/>
        <w:ind w:firstLine="0"/>
        <w:jc w:val="both"/>
        <w:outlineLvl w:val="2"/>
      </w:pPr>
      <w:r>
        <w:rPr>
          <w:rFonts w:ascii="Times New Roman" w:hAnsi="Times New Roman" w:cs="Times New Roman" w:eastAsia="黑体"/>
          <w:b w:val="0"/>
          <w:sz w:val="28"/>
        </w:rPr>
        <w:t>3.5.9 节点门控与残差更新的分工</w:t>
      </w:r>
    </w:p>
    <w:p>
      <w:pPr>
        <w:spacing w:before="0" w:after="0" w:line="300" w:lineRule="auto"/>
        <w:ind w:firstLine="480"/>
        <w:jc w:val="both"/>
      </w:pPr>
      <w:r>
        <w:rPr>
          <w:rFonts w:ascii="Times New Roman" w:hAnsi="Times New Roman" w:cs="Times New Roman" w:eastAsia="宋体"/>
          <w:b w:val="0"/>
          <w:sz w:val="24"/>
        </w:rPr>
        <w:t>MRG-GCN中存在两个层次不同的选择操作。关系级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作用于三类关系消息之间，回答“这一层更倾向于聚合哪一种统计关系”；节点级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作用于当前节点的自身状态和邻域消息之间，回答“在这一条预测样本上，该节点需要保留多少邻域信息”。如果将二者都简单称为“注意力”，容易把全局关系偏好误读为逐节点贡献，也无法说明同一关系在不同节点或不同时间窗口上为何可能产生不同的更新幅度。本文因此在公式、图示和实验解释中始终区分两种门控。</w:t>
      </w:r>
    </w:p>
    <w:p>
      <w:pPr>
        <w:spacing w:before="0" w:after="0" w:line="300" w:lineRule="auto"/>
        <w:ind w:firstLine="480"/>
        <w:jc w:val="both"/>
      </w:pPr>
      <w:r>
        <w:rPr>
          <w:rFonts w:ascii="Times New Roman" w:hAnsi="Times New Roman" w:cs="Times New Roman" w:eastAsia="宋体"/>
          <w:b w:val="0"/>
          <w:sz w:val="24"/>
        </w:rPr>
        <w:t>对第</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l</m:t>
        </m:r>
      </m:oMath>
      <w:r>
        <w:rPr>
          <w:rFonts w:ascii="Times New Roman" w:hAnsi="Times New Roman" w:cs="Times New Roman" w:eastAsia="宋体"/>
          <w:b w:val="0"/>
          <w:sz w:val="24"/>
        </w:rPr>
        <w:t>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，三类关系先分别完成邻接聚合和关系专属线性变换，得到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关系级权重只在关系维归一化，并在批次、节点和特征维共享；其作用是改变三类消息的混合方向，而不是对每条边单独赋予一个随样本变化的系数。这样的设计保留了关系类型的可解释标签，也使第4章可以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进行固定、交换和等权替换。替换操作只改变关系混合参数，不重新估计邻接矩阵，因此可把观察到的误差变化限定为模型内部参数敏感度。</w:t>
      </w:r>
    </w:p>
    <w:p>
      <w:pPr>
        <w:spacing w:before="0" w:after="0" w:line="300" w:lineRule="auto"/>
        <w:ind w:firstLine="480"/>
        <w:jc w:val="both"/>
      </w:pPr>
      <w:r>
        <w:rPr>
          <w:rFonts w:ascii="Times New Roman" w:hAnsi="Times New Roman" w:cs="Times New Roman" w:eastAsia="宋体"/>
          <w:b w:val="0"/>
          <w:sz w:val="24"/>
        </w:rPr>
        <w:t>关系消息融合后，节点门控将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在特征维拼接，并通过线性映射和Sigmoid生成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。门值的每个元素位于0和1之间，门控混合由</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𝐆</m:t>
            </m:r>
          </m:e>
          <m:sup>
            <m:r>
              <m:t>(</m:t>
            </m:r>
            <m:r>
              <m:t>l</m:t>
            </m:r>
            <m:r>
              <m:t>)</m:t>
            </m:r>
          </m:sup>
        </m:sSup>
        <m:r>
          <m:t>⊙</m:t>
        </m:r>
        <m:sSup>
          <m:sSupPr/>
          <m:e>
            <m:r>
              <m:t>𝐌</m:t>
            </m:r>
          </m:e>
          <m:sup>
            <m:r>
              <m:t>(</m:t>
            </m:r>
            <m:r>
              <m:t>l</m:t>
            </m:r>
            <m:r>
              <m:t>)</m:t>
            </m:r>
          </m:sup>
        </m:sSup>
        <m:r>
          <m:t>+</m:t>
        </m:r>
        <m:r>
          <m:t>(</m:t>
        </m:r>
        <m:r>
          <m:t>1</m:t>
        </m:r>
        <m:r>
          <m:t>−</m:t>
        </m:r>
        <m:sSup>
          <m:sSupPr/>
          <m:e>
            <m:r>
              <m:t>𝐆</m:t>
            </m:r>
          </m:e>
          <m:sup>
            <m:r>
              <m:t>(</m:t>
            </m:r>
            <m:r>
              <m:t>l</m:t>
            </m:r>
            <m:r>
              <m:t>)</m:t>
            </m:r>
          </m:sup>
        </m:sSup>
        <m:r>
          <m:t>)</m:t>
        </m:r>
        <m:r>
          <m:t>⊙</m:t>
        </m:r>
        <m:sSup>
          <m:sSupPr/>
          <m:e>
            <m:r>
              <m:t>𝐙</m:t>
            </m:r>
          </m:e>
          <m:sup>
            <m:r>
              <m:t>(</m:t>
            </m:r>
            <m:r>
              <m:t>l</m:t>
            </m:r>
            <m:r>
              <m:t>)</m:t>
            </m:r>
          </m:sup>
        </m:sSup>
      </m:oMath>
      <w:r>
        <w:rPr>
          <w:rFonts w:ascii="Times New Roman" w:hAnsi="Times New Roman" w:cs="Times New Roman" w:eastAsia="宋体"/>
          <w:b w:val="0"/>
          <w:sz w:val="24"/>
        </w:rPr>
        <w:t>完成。门值接近1表示该位置更多保留关系消息，接近0表示更接近节点自身状态；该解释是计算意义上的插值，不等同于某一关系对真实负荷的因果贡献。由于门值同时受自身表征和融合消息影响，不能仅从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推出节点级门值。</w:t>
      </w:r>
    </w:p>
    <w:p>
      <w:pPr>
        <w:spacing w:before="0" w:after="0" w:line="300" w:lineRule="auto"/>
        <w:ind w:firstLine="480"/>
        <w:jc w:val="both"/>
      </w:pPr>
      <w:r>
        <w:rPr>
          <w:rFonts w:ascii="Times New Roman" w:hAnsi="Times New Roman" w:cs="Times New Roman" w:eastAsia="宋体"/>
          <w:b w:val="0"/>
          <w:sz w:val="24"/>
        </w:rPr>
        <w:t>残差路径位于门控混合之后。模型以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24"/>
        </w:rPr>
        <w:t>作为恒等路径，将门控结果经Dropout后与输入相加，再进行LayerNorm。该顺序有两个直接作用：当邻域消息不稳定或某一关系不适合当前节点时，输入状态仍有一条短路径可以保留；当关系消息有效时，门控更新可以在残差基准上逐步修正，而不是强制替换原状态。LayerNorm只在最后统一尺度，不承担关系选择功能。图3-6把这一顺序单独展开，避免在整体架构图中把关系级权重、节点级门值和残差更新挤在同一个框内。</w:t>
      </w:r>
    </w:p>
    <w:p>
      <w:pPr>
        <w:spacing w:before="60" w:after="60" w:line="240" w:lineRule="auto"/>
        <w:ind w:firstLine="0"/>
        <w:jc w:val="center"/>
      </w:pPr>
      <w:r>
        <w:drawing>
          <wp:inline xmlns:a="http://schemas.openxmlformats.org/drawingml/2006/main" xmlns:pic="http://schemas.openxmlformats.org/drawingml/2006/picture">
            <wp:extent cx="5112000" cy="2877029"/>
            <wp:docPr id="42" name="Picture 42"/>
            <wp:cNvGraphicFramePr>
              <a:graphicFrameLocks noChangeAspect="1"/>
            </wp:cNvGraphicFramePr>
            <a:graphic>
              <a:graphicData uri="http://schemas.openxmlformats.org/drawingml/2006/picture">
                <pic:pic>
                  <pic:nvPicPr>
                    <pic:cNvPr id="0" name="fig3_6_gate_residual_detail.png"/>
                    <pic:cNvPicPr/>
                  </pic:nvPicPr>
                  <pic:blipFill>
                    <a:blip r:embed="rId82"/>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图3-6 节点门控与残差更新细节</w:t>
      </w:r>
    </w:p>
    <w:p>
      <w:pPr>
        <w:spacing w:before="0" w:after="0" w:line="300" w:lineRule="auto"/>
        <w:ind w:firstLine="480"/>
        <w:jc w:val="both"/>
      </w:pPr>
      <w:r>
        <w:rPr>
          <w:rFonts w:ascii="Times New Roman" w:hAnsi="Times New Roman" w:cs="Times New Roman" w:eastAsia="宋体"/>
          <w:b w:val="0"/>
          <w:sz w:val="18"/>
        </w:rPr>
        <w:t>注：三类关系消息先形成融合消息</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，再与层输入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共同生成节点门值；门控混合后通过残差更新和LayerNorm得到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l</m:t>
        </m:r>
        <m:r>
          <m:t>)</m:t>
        </m:r>
      </m:oMath>
      <w:r>
        <w:rPr>
          <w:rFonts w:ascii="Times New Roman" w:hAnsi="Times New Roman" w:cs="Times New Roman" w:eastAsia="宋体"/>
          <w:b w:val="0"/>
          <w:sz w:val="18"/>
        </w:rPr>
        <w:t>。底部身份路径表示输入状态直接参与残差更新，不表示额外的关系边。</w:t>
      </w:r>
    </w:p>
    <w:p>
      <w:pPr>
        <w:spacing w:before="0" w:after="0" w:line="300" w:lineRule="auto"/>
        <w:ind w:firstLine="480"/>
        <w:jc w:val="both"/>
      </w:pPr>
      <w:r>
        <w:rPr>
          <w:rFonts w:ascii="Times New Roman" w:hAnsi="Times New Roman" w:cs="Times New Roman" w:eastAsia="宋体"/>
          <w:b w:val="0"/>
          <w:sz w:val="24"/>
        </w:rPr>
        <w:t>主模型将关系级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设置为层内共享参数，将节点级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设置为样本—节点—特征级张量。二者的参数量和自由度不同，也对应不同的干预问题。第4章L1干预只替换</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，不把其结果推广为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𝐆</m:t>
        </m:r>
      </m:oMath>
      <w:r>
        <w:rPr>
          <w:rFonts w:ascii="Times New Roman" w:hAnsi="Times New Roman" w:cs="Times New Roman" w:eastAsia="宋体"/>
          <w:b w:val="0"/>
          <w:sz w:val="24"/>
        </w:rPr>
        <w:t>的独立增益；节点门控的单独消融仍是未完成的证据项。因此，本章将节点门控描述为模型结构的一部分，第4章只报告“完整模型对关系分配存在功能依赖”，而不报告“节点门控单独贡献了多少百分点”。</w:t>
      </w:r>
    </w:p>
    <w:p>
      <w:pPr>
        <w:spacing w:before="240" w:after="180" w:line="300" w:lineRule="auto"/>
        <w:ind w:firstLine="0"/>
        <w:jc w:val="both"/>
        <w:outlineLvl w:val="2"/>
      </w:pPr>
      <w:r>
        <w:rPr>
          <w:rFonts w:ascii="Times New Roman" w:hAnsi="Times New Roman" w:cs="Times New Roman" w:eastAsia="黑体"/>
          <w:b w:val="0"/>
          <w:sz w:val="28"/>
        </w:rPr>
        <w:t>3.5.10 跨层表示的使用原则</w:t>
      </w:r>
    </w:p>
    <w:p>
      <w:pPr>
        <w:spacing w:before="0" w:after="0" w:line="300" w:lineRule="auto"/>
        <w:ind w:firstLine="480"/>
        <w:jc w:val="both"/>
      </w:pPr>
      <w:r>
        <w:rPr>
          <w:rFonts w:ascii="Times New Roman" w:hAnsi="Times New Roman" w:cs="Times New Roman" w:eastAsia="宋体"/>
          <w:b w:val="0"/>
          <w:sz w:val="24"/>
        </w:rPr>
        <w:t>双层传播并不是把所有中间状态无差别相加。第一层输出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先经过残差MLP精炼得到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，精炼目标是对第一层表示进行特征变换和尺度调整，使其适合作为第二层传播的输入。第二层再以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聚合三类关系并形成</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。因此，</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的语义是“第二层入口状态”，而不是一个需要与原始层状态并列保留的第三种输出。</w:t>
      </w:r>
    </w:p>
    <w:p>
      <w:pPr>
        <w:spacing w:before="0" w:after="0" w:line="300" w:lineRule="auto"/>
        <w:ind w:firstLine="480"/>
        <w:jc w:val="both"/>
      </w:pPr>
      <w:r>
        <w:rPr>
          <w:rFonts w:ascii="Times New Roman" w:hAnsi="Times New Roman" w:cs="Times New Roman" w:eastAsia="宋体"/>
          <w:b w:val="0"/>
          <w:sz w:val="24"/>
        </w:rPr>
        <w:t>最终预测表示使用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p>
          <m:sSupPr/>
          <m:e>
            <m:r>
              <m:t>𝐇</m:t>
            </m:r>
          </m:e>
          <m:sup>
            <m:r>
              <m:t>(</m:t>
            </m:r>
            <m:r>
              <m:t>0</m:t>
            </m:r>
            <m:r>
              <m:t>)</m:t>
            </m:r>
          </m:sup>
        </m:sSup>
        <m:r>
          <m:t>‖</m:t>
        </m:r>
        <m:sSup>
          <m:sSupPr/>
          <m:e>
            <m:r>
              <m:t>𝐇</m:t>
            </m:r>
          </m:e>
          <m:sup>
            <m:r>
              <m:t>(</m:t>
            </m:r>
            <m:r>
              <m:t>1</m:t>
            </m:r>
            <m:r>
              <m:t>)</m:t>
            </m:r>
          </m:sup>
        </m:sSup>
        <m:r>
          <m:t>‖</m:t>
        </m:r>
        <m:sSup>
          <m:sSupPr/>
          <m:e>
            <m:r>
              <m:t>𝐇</m:t>
            </m:r>
          </m:e>
          <m:sup>
            <m:r>
              <m:t>(</m:t>
            </m:r>
            <m:r>
              <m:t>2</m:t>
            </m:r>
            <m:r>
              <m:t>)</m:t>
            </m:r>
          </m:sup>
        </m:sSup>
      </m:oMath>
      <w:r>
        <w:rPr>
          <w:rFonts w:ascii="Times New Roman" w:hAnsi="Times New Roman" w:cs="Times New Roman" w:eastAsia="宋体"/>
          <w:b w:val="0"/>
          <w:sz w:val="24"/>
        </w:rPr>
        <w:t>。保留原始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而不使用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24"/>
        </w:rPr>
        <w:t>，是为了让跨层融合同时包含时间骨干输出、一阶关系传播输出和二阶关系传播输出；如果将精炼状态也加入拼接，表示维度、预测头输入和参数量都会变化，且难以判断增益来自跨层信息还是额外的重复路径。本文将这一选择固定在主模型配置中，并在结构消融中以“去除跨层拼接”作为整体路径检验，而不把精炼层的局部差异单独解释为因果效果。</w:t>
      </w:r>
    </w:p>
    <w:p>
      <w:pPr>
        <w:spacing w:before="60" w:after="60" w:line="240" w:lineRule="auto"/>
        <w:ind w:firstLine="0"/>
        <w:jc w:val="center"/>
      </w:pPr>
      <w:r>
        <w:drawing>
          <wp:inline xmlns:a="http://schemas.openxmlformats.org/drawingml/2006/main" xmlns:pic="http://schemas.openxmlformats.org/drawingml/2006/picture">
            <wp:extent cx="5112000" cy="2877029"/>
            <wp:docPr id="43" name="Picture 43"/>
            <wp:cNvGraphicFramePr>
              <a:graphicFrameLocks noChangeAspect="1"/>
            </wp:cNvGraphicFramePr>
            <a:graphic>
              <a:graphicData uri="http://schemas.openxmlformats.org/drawingml/2006/picture">
                <pic:pic>
                  <pic:nvPicPr>
                    <pic:cNvPr id="0" name="fig3_7_cross_layer_detail.png"/>
                    <pic:cNvPicPr/>
                  </pic:nvPicPr>
                  <pic:blipFill>
                    <a:blip r:embed="rId83"/>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图3-7 跨层表示路径</w:t>
      </w:r>
    </w:p>
    <w:p>
      <w:pPr>
        <w:spacing w:before="0" w:after="0" w:line="300" w:lineRule="auto"/>
        <w:ind w:firstLine="480"/>
        <w:jc w:val="both"/>
      </w:pPr>
      <w:r>
        <w:rPr>
          <w:rFonts w:ascii="Times New Roman" w:hAnsi="Times New Roman" w:cs="Times New Roman" w:eastAsia="宋体"/>
          <w:b w:val="0"/>
          <w:sz w:val="18"/>
        </w:rPr>
        <w:t>注：第一层输出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经残差MLP得到</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后进入第二层传播；跨层拼接仅接收</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18"/>
        </w:rPr>
        <w:t>、原始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18"/>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18"/>
        </w:rPr>
        <w:t>。图中下方重复的状态块表示三层原始状态分别作为拼接输入，不表示新增模型分支，也不将</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r>
          <m:t>ref</m:t>
        </m:r>
        <m:r>
          <m:t>)</m:t>
        </m:r>
      </m:oMath>
      <w:r>
        <w:rPr>
          <w:rFonts w:ascii="Times New Roman" w:hAnsi="Times New Roman" w:cs="Times New Roman" w:eastAsia="宋体"/>
          <w:b w:val="0"/>
          <w:sz w:val="18"/>
        </w:rPr>
        <w:t>接入跨层拼接。</w:t>
      </w:r>
    </w:p>
    <w:p>
      <w:pPr>
        <w:spacing w:before="0" w:after="0" w:line="300" w:lineRule="auto"/>
        <w:ind w:firstLine="480"/>
        <w:jc w:val="both"/>
      </w:pPr>
      <w:r>
        <w:rPr>
          <w:rFonts w:ascii="Times New Roman" w:hAnsi="Times New Roman" w:cs="Times New Roman" w:eastAsia="宋体"/>
          <w:b w:val="0"/>
          <w:sz w:val="24"/>
        </w:rPr>
        <w:t>这一表示约束也决定了模型实现中的张量检查方式。每一层传播前，程序核对输入的节点数和隐藏维度；MLP精炼前后保持批次、节点和特征维度一致；第二层传播的输入指针必须指向精炼张量；预测头的输入维度则由三层原始状态拼接后的维度确定。训练和推理阶段使用同一前向顺序，不能在测试阶段临时将精炼状态替换进拼接，或将原始第一层状态错误地作为第二层输入。对这些条件的检查是结构可复核性的组成部分，而不是仅为绘图服务。</w:t>
      </w:r>
    </w:p>
    <w:p>
      <w:pPr>
        <w:spacing w:before="0" w:after="0" w:line="300" w:lineRule="auto"/>
        <w:ind w:firstLine="480"/>
        <w:jc w:val="both"/>
      </w:pPr>
      <w:r>
        <w:rPr>
          <w:rFonts w:ascii="Times New Roman" w:hAnsi="Times New Roman" w:cs="Times New Roman" w:eastAsia="宋体"/>
          <w:b w:val="0"/>
          <w:sz w:val="24"/>
        </w:rPr>
        <w:t>从信息路径看，</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rFonts w:ascii="Times New Roman" w:hAnsi="Times New Roman" w:cs="Times New Roman" w:eastAsia="宋体"/>
          <w:b w:val="0"/>
          <w:sz w:val="24"/>
        </w:rPr>
        <w:t>代表时间编码后的节点历史，</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代表一次关系传播，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代表在精炼入口上的第二次关系传播。三者进入预测头时保留了不同深度的信息。浅层状态有助于降低过平滑风险，深层状态有助于利用多跳统计联系；这是一种表示融合假设，而不是对二阶邻居一定更有价值的预设。图3-10、图3-12和图3-14的结果只能评价主模型及所检变体，不能据此断言任意层数或任意拼接方式均有效。</w:t>
      </w:r>
    </w:p>
    <w:p>
      <w:pPr>
        <w:spacing w:before="0" w:after="0" w:line="300" w:lineRule="auto"/>
        <w:ind w:firstLine="480"/>
        <w:jc w:val="both"/>
      </w:pPr>
      <w:r>
        <w:rPr>
          <w:rFonts w:ascii="Times New Roman" w:hAnsi="Times New Roman" w:cs="Times New Roman" w:eastAsia="宋体"/>
          <w:b w:val="0"/>
          <w:sz w:val="24"/>
        </w:rPr>
        <w:t>模型结构的可解释性因此来自“可命名的路径约束”而不是装饰性模块数量。关系级权重、节点级门值、残差路径和跨层拼接各自有明确的输入、输出和干预边界；图3-6和图3-7补充的是实现关系，不新增训练目标或实验结论。后续如需单独证明节点门控、精炼或跨层融合的边际贡献，应在相同数据、种子、早停和评价键下分别重训对应变体，而不能使用当前参数替换结果代替结构消融。</w:t>
      </w:r>
    </w:p>
    <w:p>
      <w:pPr>
        <w:spacing w:before="360" w:after="240" w:line="360" w:lineRule="auto"/>
        <w:ind w:firstLine="0"/>
        <w:jc w:val="both"/>
        <w:outlineLvl w:val="1"/>
      </w:pPr>
      <w:r>
        <w:rPr>
          <w:rFonts w:ascii="Times New Roman" w:hAnsi="Times New Roman" w:cs="Times New Roman" w:eastAsia="黑体"/>
          <w:b/>
          <w:sz w:val="30"/>
        </w:rPr>
        <w:t>3.6 对比实验</w:t>
      </w:r>
    </w:p>
    <w:p>
      <w:pPr>
        <w:spacing w:before="240" w:after="180" w:line="300" w:lineRule="auto"/>
        <w:ind w:firstLine="0"/>
        <w:jc w:val="both"/>
        <w:outlineLvl w:val="2"/>
      </w:pPr>
      <w:r>
        <w:rPr>
          <w:rFonts w:ascii="Times New Roman" w:hAnsi="Times New Roman" w:cs="Times New Roman" w:eastAsia="黑体"/>
          <w:b w:val="0"/>
          <w:sz w:val="28"/>
        </w:rPr>
        <w:t>3.6.1 实验协议</w:t>
      </w:r>
    </w:p>
    <w:p>
      <w:pPr>
        <w:spacing w:before="0" w:after="0" w:line="300" w:lineRule="auto"/>
        <w:ind w:firstLine="480"/>
        <w:jc w:val="both"/>
      </w:pPr>
      <w:r>
        <w:rPr>
          <w:rFonts w:ascii="Times New Roman" w:hAnsi="Times New Roman" w:cs="Times New Roman" w:eastAsia="宋体"/>
          <w:b w:val="0"/>
          <w:sz w:val="24"/>
        </w:rPr>
        <w:t>全部模型采用第2章确定的10个节点、96步输入、4步输出和7∶1.5∶1.5时间划分，并在712,360个共同测试预测键上评价。训练集、验证集和测试集分别包含83,103、17,807和17,809个预测起点。随机初始化模型报告2024、2025和2026三种子均值与样本标准差；LightGBM</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、XGBoost</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、Persistence和ARIMA</w:t>
      </w:r>
      <w:r>
        <w:rPr>
          <w:rFonts w:ascii="Times New Roman" w:hAnsi="Times New Roman" w:cs="Times New Roman" w:eastAsia="宋体"/>
          <w:b w:val="0"/>
          <w:sz w:val="24"/>
          <w:vertAlign w:val="superscript"/>
        </w:rPr>
        <w:t>[84]</w:t>
      </w:r>
      <w:r>
        <w:rPr>
          <w:rFonts w:ascii="Times New Roman" w:hAnsi="Times New Roman" w:cs="Times New Roman" w:eastAsia="宋体"/>
          <w:b w:val="0"/>
          <w:sz w:val="24"/>
        </w:rPr>
        <w:t>为确定性基线，不报告种子标准差。预测键是误差计算单元，随机种子是训练重复，日块和周块用于描述固定测试期内的时间波动，三者均不代表相互独立的场站样本。</w:t>
      </w:r>
    </w:p>
    <w:p>
      <w:pPr>
        <w:spacing w:before="0" w:after="0" w:line="300" w:lineRule="auto"/>
        <w:ind w:firstLine="480"/>
        <w:jc w:val="both"/>
      </w:pPr>
      <w:r>
        <w:rPr>
          <w:rFonts w:ascii="Times New Roman" w:hAnsi="Times New Roman" w:cs="Times New Roman" w:eastAsia="宋体"/>
          <w:b w:val="0"/>
          <w:sz w:val="24"/>
        </w:rPr>
        <w:t>为锁定原主实验的配置，本文将正式MRG-GCN定义为SG-EXP-003的StaticGraph运行，而不是后续可见性修订协议的替代结果。第四章四格诊断和本节时间块统计均从三种子逐键预测重新计算，具体配置见下方配置表。</w:t>
      </w:r>
    </w:p>
    <w:p>
      <w:pPr>
        <w:spacing w:before="0" w:after="0" w:line="300" w:lineRule="auto"/>
        <w:ind w:firstLine="480"/>
        <w:jc w:val="both"/>
      </w:pPr>
      <w:r>
        <w:rPr>
          <w:rFonts w:ascii="Times New Roman" w:hAnsi="Times New Roman" w:cs="Times New Roman" w:eastAsia="宋体"/>
          <w:b w:val="0"/>
          <w:sz w:val="24"/>
        </w:rPr>
        <w:t>原主实验配置表</w:t>
      </w:r>
    </w:p>
    <w:tbl>
      <w:tblPr>
        <w:tblW w:type="dxa" w:w="8312"/>
        <w:jc w:val="center"/>
        <w:tblLayout w:type="fixed"/>
        <w:tblLook w:firstColumn="1" w:firstRow="1" w:lastColumn="0" w:lastRow="0" w:noHBand="0" w:noVBand="1" w:val="04A0"/>
      </w:tblPr>
      <w:tblGrid>
        <w:gridCol w:w="4156"/>
        <w:gridCol w:w="4156"/>
      </w:tblGrid>
      <w:tr>
        <w:trPr>
          <w:cantSplit/>
          <w:tblHeader w:val="true"/>
        </w:trPr>
        <w:tc>
          <w:tcPr>
            <w:tcW w:type="dxa" w:w="41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41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冻结内容</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实验与模型</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SG-EXP-003，StaticGraph，三类固定统计关系</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数据与窗口</w:t>
            </w:r>
          </w:p>
        </w:tc>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SG-DATA-005-primary-tensor；10节点；输入96步，输出4步</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关系稀疏度</w:t>
            </w:r>
          </w:p>
        </w:tc>
        <w:tc>
          <w:tcPr>
            <w:tcW w:type="dxa" w:w="4156"/>
            <w:vAlign w:val="center"/>
            <w:tcBorders>
              <w:top w:val="nil"/>
              <w:bottom w:val="nil"/>
              <w:left w:val="nil"/>
              <w:right w:val="nil"/>
            </w:tcBorders>
          </w:tcPr>
          <w:p>
            <w:pPr>
              <w:spacing w:before="0" w:after="0" w:line="240" w:lineRule="auto"/>
              <w:ind w:firstLine="0"/>
              <w:jc w:val="center"/>
            </w:pPr>
            <w:r>
              <w:rPr/>
              <w:t>每行top-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3</m:t>
              </m:r>
            </m:oMath>
            <w:r>
              <w:rPr/>
              <w:t>，无向并集后加自环并对称归一化</w:t>
            </w:r>
          </w:p>
        </w:tc>
      </w:tr>
      <w:tr>
        <w:trPr>
          <w:cantSplit/>
        </w:trPr>
        <w:tc>
          <w:tcPr>
            <w:tcW w:type="dxa" w:w="4156"/>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训练控制</w:t>
            </w:r>
          </w:p>
        </w:tc>
        <w:tc>
          <w:tcPr>
            <w:tcW w:type="dxa" w:w="4156"/>
            <w:vAlign w:val="center"/>
            <w:tcBorders>
              <w:top w:val="nil"/>
              <w:bottom w:val="nil"/>
              <w:left w:val="nil"/>
              <w:right w:val="nil"/>
            </w:tcBorders>
          </w:tcPr>
          <w:p>
            <w:pPr>
              <w:spacing w:before="0" w:after="0" w:line="240" w:lineRule="auto"/>
              <w:ind w:firstLine="0"/>
              <w:jc w:val="center"/>
            </w:pPr>
            <w:r>
              <w:rPr/>
              <w:t>AdamW；学习率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3</m:t>
              </m:r>
            </m:oMath>
            <w:r>
              <w:rPr/>
              <w:t>；权重衰减</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4</m:t>
              </m:r>
            </m:oMath>
            <w:r>
              <w:rPr/>
              <w:t>；批量256；最多60轮；patience=8</w:t>
            </w:r>
          </w:p>
        </w:tc>
      </w:tr>
      <w:tr>
        <w:trPr>
          <w:cantSplit/>
        </w:trPr>
        <w:tc>
          <w:tcPr>
            <w:tcW w:type="dxa" w:w="41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随机种子</w:t>
            </w:r>
          </w:p>
        </w:tc>
        <w:tc>
          <w:tcPr>
            <w:tcW w:type="dxa" w:w="4156"/>
            <w:vAlign w:val="center"/>
            <w:tcBorders>
              <w:top w:val="nil"/>
              <w:bottom w:val="single" w:sz="12" w:color="000000"/>
              <w:left w:val="nil"/>
              <w:right w:val="nil"/>
            </w:tcBorders>
          </w:tcPr>
          <w:p>
            <w:pPr>
              <w:spacing w:before="0" w:after="0" w:line="240" w:lineRule="auto"/>
              <w:ind w:firstLine="0"/>
              <w:jc w:val="center"/>
            </w:pPr>
            <w:r>
              <w:rPr/>
              <w:t>2024、2025、2026；均值与样本标准差分母为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p>
        </w:tc>
      </w:tr>
    </w:tbl>
    <w:p>
      <w:pPr>
        <w:spacing w:before="0" w:after="0" w:line="300" w:lineRule="auto"/>
        <w:ind w:firstLine="480"/>
        <w:jc w:val="both"/>
      </w:pPr>
      <w:r>
        <w:rPr>
          <w:rFonts w:ascii="Times New Roman" w:hAnsi="Times New Roman" w:cs="Times New Roman" w:eastAsia="宋体"/>
          <w:b w:val="0"/>
          <w:sz w:val="24"/>
        </w:rPr>
        <w:t>完整的训练、预测与分层评价流程见图3-8。主指标为MAE，并辅以RMSE和WAPE：</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MAE</m:t>
        </m:r>
        <m:r>
          <m:t>⁡</m:t>
        </m:r>
        <m:r>
          <m:t>=</m:t>
        </m:r>
        <m:f>
          <m:num>
            <m:r>
              <m:t>1</m:t>
            </m:r>
          </m:num>
          <m:den>
            <m:r>
              <m:t>M</m:t>
            </m:r>
          </m:den>
        </m:f>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r>
          <m:t>,</m:t>
        </m:r>
        <m:r>
          <m:t>RMSE</m:t>
        </m:r>
        <m:r>
          <m:t>⁡</m:t>
        </m:r>
        <m:r>
          <m:t>=</m:t>
        </m:r>
        <m:rad>
          <m:radPr>
            <m:degHide m:val="1"/>
          </m:radPr>
          <m:deg/>
          <m:e>
            <m:f>
              <m:num>
                <m:r>
                  <m:t>1</m:t>
                </m:r>
              </m:num>
              <m:den>
                <m:r>
                  <m:t>M</m:t>
                </m:r>
              </m:den>
            </m:f>
            <m:sSubSup>
              <m:sSubSupPr/>
              <m:e>
                <m:r>
                  <m:t>∑</m:t>
                </m:r>
              </m:e>
              <m:sub>
                <m:r>
                  <m:t>m</m:t>
                </m:r>
                <m:r>
                  <m:t>=</m:t>
                </m:r>
                <m:r>
                  <m:t>1</m:t>
                </m:r>
              </m:sub>
              <m:sup>
                <m:r>
                  <m:t>M</m:t>
                </m:r>
              </m:sup>
            </m:sSubSup>
            <m:sSup>
              <m:sSupPr/>
              <m:e>
                <m:r>
                  <m:t>(</m:t>
                </m:r>
                <m:sSub>
                  <m:sSubPr/>
                  <m:e>
                    <m:r>
                      <m:t>y</m:t>
                    </m:r>
                    <m:r>
                      <m:t>ˆ</m:t>
                    </m:r>
                  </m:e>
                  <m:sub>
                    <m:r>
                      <m:t>m</m:t>
                    </m:r>
                  </m:sub>
                </m:sSub>
                <m:r>
                  <m:t>−</m:t>
                </m:r>
                <m:sSub>
                  <m:sSubPr/>
                  <m:e>
                    <m:r>
                      <m:t>y</m:t>
                    </m:r>
                  </m:e>
                  <m:sub>
                    <m:r>
                      <m:t>m</m:t>
                    </m:r>
                  </m:sub>
                </m:sSub>
                <m:r>
                  <m:t>)</m:t>
                </m:r>
              </m:e>
              <m:sup>
                <m:r>
                  <m:t>2</m:t>
                </m:r>
              </m:sup>
            </m:sSup>
          </m:e>
        </m:rad>
        <m:r>
          <m:t>,</m:t>
        </m:r>
      </m:oMath>
      <w:r>
        <w:tab/>
      </w:r>
      <w:r>
        <w:rPr>
          <w:rFonts w:ascii="Times New Roman" w:hAnsi="Times New Roman" w:cs="Times New Roman" w:eastAsia="宋体"/>
          <w:sz w:val="21"/>
        </w:rPr>
        <w:t>（3-14）</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WAPE</m:t>
        </m:r>
        <m:r>
          <m:t>⁡</m:t>
        </m:r>
        <m:r>
          <m:t>=</m:t>
        </m:r>
        <m:f>
          <m:num>
            <m:sSubSup>
              <m:sSubSupPr/>
              <m:e>
                <m:r>
                  <m:t>∑</m:t>
                </m:r>
              </m:e>
              <m:sub>
                <m:r>
                  <m:t>m</m:t>
                </m:r>
                <m:r>
                  <m:t>=</m:t>
                </m:r>
                <m:r>
                  <m:t>1</m:t>
                </m:r>
              </m:sub>
              <m:sup>
                <m:r>
                  <m:t>M</m:t>
                </m:r>
              </m:sup>
            </m:sSubSup>
            <m:r>
              <m:t>|</m:t>
            </m:r>
            <m:sSub>
              <m:sSubPr/>
              <m:e>
                <m:r>
                  <m:t>y</m:t>
                </m:r>
                <m:r>
                  <m:t>ˆ</m:t>
                </m:r>
              </m:e>
              <m:sub>
                <m:r>
                  <m:t>m</m:t>
                </m:r>
              </m:sub>
            </m:sSub>
            <m:r>
              <m:t>−</m:t>
            </m:r>
            <m:sSub>
              <m:sSubPr/>
              <m:e>
                <m:r>
                  <m:t>y</m:t>
                </m:r>
              </m:e>
              <m:sub>
                <m:r>
                  <m:t>m</m:t>
                </m:r>
              </m:sub>
            </m:sSub>
            <m:r>
              <m:t>|</m:t>
            </m:r>
          </m:num>
          <m:den>
            <m:sSubSup>
              <m:sSubSupPr/>
              <m:e>
                <m:r>
                  <m:t>∑</m:t>
                </m:r>
              </m:e>
              <m:sub>
                <m:r>
                  <m:t>m</m:t>
                </m:r>
                <m:r>
                  <m:t>=</m:t>
                </m:r>
                <m:r>
                  <m:t>1</m:t>
                </m:r>
              </m:sub>
              <m:sup>
                <m:r>
                  <m:t>M</m:t>
                </m:r>
              </m:sup>
            </m:sSubSup>
            <m:r>
              <m:t>|</m:t>
            </m:r>
            <m:sSub>
              <m:sSubPr/>
              <m:e>
                <m:r>
                  <m:t>y</m:t>
                </m:r>
              </m:e>
              <m:sub>
                <m:r>
                  <m:t>m</m:t>
                </m:r>
              </m:sub>
            </m:sSub>
            <m:r>
              <m:t>|</m:t>
            </m:r>
          </m:den>
        </m:f>
        <m:r>
          <m:t>.</m:t>
        </m:r>
      </m:oMath>
      <w:r>
        <w:tab/>
      </w:r>
      <w:r>
        <w:rPr>
          <w:rFonts w:ascii="Times New Roman" w:hAnsi="Times New Roman" w:cs="Times New Roman" w:eastAsia="宋体"/>
          <w:sz w:val="21"/>
        </w:rPr>
        <w:t>（3-15）</w:t>
      </w:r>
    </w:p>
    <w:p>
      <w:pPr>
        <w:spacing w:before="0" w:after="0" w:line="300" w:lineRule="auto"/>
        <w:ind w:firstLine="480"/>
        <w:jc w:val="both"/>
      </w:pPr>
      <w:r>
        <w:rPr>
          <w:rFonts w:ascii="Times New Roman" w:hAnsi="Times New Roman" w:cs="Times New Roman" w:eastAsia="宋体"/>
          <w:b w:val="0"/>
          <w:sz w:val="24"/>
        </w:rPr>
        <w:t>MAE和RMSE单位均为kWh/15 min，WAPE无量纲。测试键中零负荷约占87%，MAPE易受零分母影响，故不作为主指标。表3-1汇总11个正式比较模型，并保留EventResidual作为已执行探索路线的结果记录。正式比较模型包括4个传统基线、MLP、GRU</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、TCN、Graph WaveNet简化变体（GWN）、AGCRN简化变体、固定统计图模型和自适应图模型。GWN仅实现一步图聚合，不含多阶扩散；AGCRN共享门参数且不含节点自适应参数池，均不宣称完整复现原模型。</w:t>
      </w:r>
    </w:p>
    <w:p>
      <w:pPr>
        <w:spacing w:before="60" w:after="60" w:line="240" w:lineRule="auto"/>
        <w:ind w:firstLine="0"/>
        <w:jc w:val="center"/>
      </w:pPr>
      <w:r>
        <w:drawing>
          <wp:inline xmlns:a="http://schemas.openxmlformats.org/drawingml/2006/main" xmlns:pic="http://schemas.openxmlformats.org/drawingml/2006/picture">
            <wp:extent cx="5112000" cy="2877029"/>
            <wp:docPr id="44" name="Picture 44"/>
            <wp:cNvGraphicFramePr>
              <a:graphicFrameLocks noChangeAspect="1"/>
            </wp:cNvGraphicFramePr>
            <a:graphic>
              <a:graphicData uri="http://schemas.openxmlformats.org/drawingml/2006/picture">
                <pic:pic>
                  <pic:nvPicPr>
                    <pic:cNvPr id="0" name="fig3_8_train_predict_pipeline.png"/>
                    <pic:cNvPicPr/>
                  </pic:nvPicPr>
                  <pic:blipFill>
                    <a:blip r:embed="rId8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图3-8 训练—预测—评价流程</w:t>
      </w:r>
    </w:p>
    <w:p>
      <w:pPr>
        <w:spacing w:before="0" w:after="0" w:line="300" w:lineRule="auto"/>
        <w:ind w:firstLine="480"/>
        <w:jc w:val="both"/>
      </w:pPr>
      <w:r>
        <w:rPr>
          <w:rFonts w:ascii="Times New Roman" w:hAnsi="Times New Roman" w:cs="Times New Roman" w:eastAsia="宋体"/>
          <w:b w:val="0"/>
          <w:sz w:val="18"/>
        </w:rPr>
        <w:t>注：数据按固定时间边界划分后构造96步输入与4步输出窗口，随机初始化模型采用2024、2025和2026三种子训练并以验证集早停；测试集仅执行冻结模型预测，结果按全局、事件、稳定、节点、步长和四格口径评价。</w:t>
      </w:r>
    </w:p>
    <w:p>
      <w:pPr>
        <w:spacing w:before="240" w:after="180" w:line="300" w:lineRule="auto"/>
        <w:ind w:firstLine="0"/>
        <w:jc w:val="both"/>
        <w:outlineLvl w:val="2"/>
      </w:pPr>
      <w:r>
        <w:rPr>
          <w:rFonts w:ascii="Times New Roman" w:hAnsi="Times New Roman" w:cs="Times New Roman" w:eastAsia="黑体"/>
          <w:b w:val="0"/>
          <w:sz w:val="28"/>
        </w:rPr>
        <w:t>3.6.2 全局指标对比</w:t>
      </w:r>
    </w:p>
    <w:p>
      <w:pPr>
        <w:keepNext/>
        <w:spacing w:before="60" w:after="60" w:line="240" w:lineRule="auto"/>
        <w:ind w:firstLine="0"/>
        <w:jc w:val="center"/>
      </w:pPr>
      <w:r>
        <w:rPr>
          <w:rFonts w:ascii="Times New Roman" w:hAnsi="Times New Roman" w:cs="Times New Roman" w:eastAsia="黑体"/>
          <w:b w:val="0"/>
          <w:sz w:val="21"/>
        </w:rPr>
        <w:t>表3-1 全局预测指标对比</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MAE标准差</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RMSE/(kWh/15 min)</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WAPE</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Persistence</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0.07828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0.23946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1.6270</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LightGBM</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0.03758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0.11998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0.7811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XGBoost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0.03873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0.12063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0.8051</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ARIMA</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0.02260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0.13229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0.02112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0.10112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0.4390</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0.02965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0.00003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0.10838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0.6162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0.02952</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0.10831</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0.6136</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0.01773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0.00054</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0.10023</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0.3685</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0.02057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0.00029</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0.09820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0.4276</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0.01396</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0.09920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0.2902</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EventResidual（探索记录）</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0.01390</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0.00015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0.09925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0.2889</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0.00023</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0.09918</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0.2860</w:t>
            </w:r>
          </w:p>
        </w:tc>
      </w:tr>
    </w:tbl>
    <w:p>
      <w:pPr>
        <w:spacing w:before="0" w:after="0" w:line="300" w:lineRule="auto"/>
        <w:ind w:firstLine="480"/>
        <w:jc w:val="both"/>
      </w:pPr>
      <w:r>
        <w:rPr>
          <w:rFonts w:ascii="Times New Roman" w:hAnsi="Times New Roman" w:cs="Times New Roman" w:eastAsia="宋体"/>
          <w:b w:val="0"/>
          <w:sz w:val="24"/>
        </w:rPr>
        <w:t>注：MAE与RMSE单位为kWh/15 min，WAPE无量纲。随机初始化模型为三种子均值，标准差为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样本标准差，计算时分母为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，对应自由度为2；确定性基线标“—”。ARIMA正式结果未提供WAPE。各列加粗值为该指标的最小值。</w:t>
      </w:r>
    </w:p>
    <w:p>
      <w:pPr>
        <w:spacing w:before="0" w:after="0" w:line="300" w:lineRule="auto"/>
        <w:ind w:firstLine="480"/>
        <w:jc w:val="both"/>
      </w:pPr>
      <w:r>
        <w:rPr>
          <w:rFonts w:ascii="Times New Roman" w:hAnsi="Times New Roman" w:cs="Times New Roman" w:eastAsia="宋体"/>
          <w:b w:val="0"/>
          <w:sz w:val="24"/>
        </w:rPr>
        <w:t>MRG-GCN的全局MAE为0.01376，较TCN、ARIMA、MLP、GWN和AGCRN分别降低53.4%、39.1%、34.8%、22.4%和33.1%。在本实验协议下，MRG-GCN完整配置的全局绝对误差低于无图时序模型及所检图模型。不同指标的最优模型并不完全相同：MRG-GCN的MAE最低，并在已报告WAPE的模型中取得最低WAPE；AGCRN的RMSE最低。因而本章不以单一模型概括全部指标排序。</w:t>
      </w:r>
    </w:p>
    <w:p>
      <w:pPr>
        <w:spacing w:before="0" w:after="0" w:line="300" w:lineRule="auto"/>
        <w:ind w:firstLine="480"/>
        <w:jc w:val="both"/>
      </w:pPr>
      <w:r>
        <w:rPr>
          <w:rFonts w:ascii="Times New Roman" w:hAnsi="Times New Roman" w:cs="Times New Roman" w:eastAsia="宋体"/>
          <w:b w:val="0"/>
          <w:sz w:val="24"/>
        </w:rPr>
        <w:t>MRG-GCN、EventResidual和AdaptiveGraph的MAE差仅为0.00014～0.00020，与三者的跨种子标准差处于同一量级，三次重复不足以建立稳定次序，正文不使用“显著优于”。EventResidual保留在表中，是为了完整记录已执行的探索路线，并不将其列为正式方法贡献。各模型的MAE及其离散度见图3-9。</w:t>
      </w:r>
    </w:p>
    <w:p>
      <w:pPr>
        <w:spacing w:before="60" w:after="60" w:line="240" w:lineRule="auto"/>
        <w:ind w:firstLine="0"/>
        <w:jc w:val="center"/>
      </w:pPr>
      <w:r>
        <w:drawing>
          <wp:inline xmlns:a="http://schemas.openxmlformats.org/drawingml/2006/main" xmlns:pic="http://schemas.openxmlformats.org/drawingml/2006/picture">
            <wp:extent cx="5112000" cy="3624272"/>
            <wp:docPr id="45" name="Picture 45"/>
            <wp:cNvGraphicFramePr>
              <a:graphicFrameLocks noChangeAspect="1"/>
            </wp:cNvGraphicFramePr>
            <a:graphic>
              <a:graphicData uri="http://schemas.openxmlformats.org/drawingml/2006/picture">
                <pic:pic>
                  <pic:nvPicPr>
                    <pic:cNvPr id="0" name="fig3_9_model_mae_comparison.png"/>
                    <pic:cNvPicPr/>
                  </pic:nvPicPr>
                  <pic:blipFill>
                    <a:blip r:embed="rId85"/>
                    <a:stretch>
                      <a:fillRect/>
                    </a:stretch>
                  </pic:blipFill>
                  <pic:spPr>
                    <a:xfrm>
                      <a:off x="0" y="0"/>
                      <a:ext cx="5112000" cy="3624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图3-9 不同模型的全局MAE</w:t>
      </w:r>
    </w:p>
    <w:p>
      <w:pPr>
        <w:spacing w:before="0" w:after="0" w:line="300" w:lineRule="auto"/>
        <w:ind w:firstLine="480"/>
        <w:jc w:val="both"/>
      </w:pPr>
      <w:r>
        <w:rPr>
          <w:rFonts w:ascii="Times New Roman" w:hAnsi="Times New Roman" w:cs="Times New Roman" w:eastAsia="宋体"/>
          <w:b w:val="0"/>
          <w:sz w:val="18"/>
        </w:rPr>
        <w:t>注：随机初始化模型显示三种子均值和标准差；确定性基线无误差棒。所有结果使用相同预测键和kWh/15 min口径。</w:t>
      </w:r>
    </w:p>
    <w:p>
      <w:pPr>
        <w:spacing w:before="0" w:after="0" w:line="300" w:lineRule="auto"/>
        <w:ind w:firstLine="480"/>
        <w:jc w:val="both"/>
      </w:pPr>
      <w:r>
        <w:rPr>
          <w:rFonts w:ascii="Times New Roman" w:hAnsi="Times New Roman" w:cs="Times New Roman" w:eastAsia="宋体"/>
          <w:b w:val="0"/>
          <w:sz w:val="24"/>
        </w:rPr>
        <w:t>由图3-10可见，各模型误差随预测步长增加。MRG-GCN在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24"/>
        </w:rPr>
        <w:t>至</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的MAE分别为0.00432、0.01072、0.01697和0.02302；在</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24"/>
        </w:rPr>
        <w:t>处较LightGBM的0.05139低55.2%。</w:t>
      </w:r>
    </w:p>
    <w:p>
      <w:pPr>
        <w:spacing w:before="60" w:after="60" w:line="240" w:lineRule="auto"/>
        <w:ind w:firstLine="0"/>
        <w:jc w:val="center"/>
      </w:pPr>
      <w:r>
        <w:drawing>
          <wp:inline xmlns:a="http://schemas.openxmlformats.org/drawingml/2006/main" xmlns:pic="http://schemas.openxmlformats.org/drawingml/2006/picture">
            <wp:extent cx="5112000" cy="2834151"/>
            <wp:docPr id="46" name="Picture 46"/>
            <wp:cNvGraphicFramePr>
              <a:graphicFrameLocks noChangeAspect="1"/>
            </wp:cNvGraphicFramePr>
            <a:graphic>
              <a:graphicData uri="http://schemas.openxmlformats.org/drawingml/2006/picture">
                <pic:pic>
                  <pic:nvPicPr>
                    <pic:cNvPr id="0" name="fig3_10_mae_by_horizon.png"/>
                    <pic:cNvPicPr/>
                  </pic:nvPicPr>
                  <pic:blipFill>
                    <a:blip r:embed="rId86"/>
                    <a:stretch>
                      <a:fillRect/>
                    </a:stretch>
                  </pic:blipFill>
                  <pic:spPr>
                    <a:xfrm>
                      <a:off x="0" y="0"/>
                      <a:ext cx="5112000" cy="2834151"/>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图3-10 不同模型的逐步长MAE</w:t>
      </w:r>
    </w:p>
    <w:p>
      <w:pPr>
        <w:spacing w:before="0" w:after="0" w:line="300" w:lineRule="auto"/>
        <w:ind w:firstLine="480"/>
        <w:jc w:val="both"/>
      </w:pPr>
      <w:r>
        <w:rPr>
          <w:rFonts w:ascii="Times New Roman" w:hAnsi="Times New Roman" w:cs="Times New Roman" w:eastAsia="宋体"/>
          <w:b w:val="0"/>
          <w:sz w:val="18"/>
        </w:rPr>
        <w:t>注：曲线为三种子均值，阴影为跨种子标准差；横轴</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rFonts w:ascii="Times New Roman" w:hAnsi="Times New Roman" w:cs="Times New Roman" w:eastAsia="宋体"/>
          <w:b w:val="0"/>
          <w:sz w:val="18"/>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rFonts w:ascii="Times New Roman" w:hAnsi="Times New Roman" w:cs="Times New Roman" w:eastAsia="宋体"/>
          <w:b w:val="0"/>
          <w:sz w:val="18"/>
        </w:rPr>
        <w:t>对应15～60 min预测提前量。</w:t>
      </w:r>
    </w:p>
    <w:p>
      <w:pPr>
        <w:spacing w:before="0" w:after="0" w:line="300" w:lineRule="auto"/>
        <w:ind w:firstLine="480"/>
        <w:jc w:val="both"/>
      </w:pPr>
      <w:r>
        <w:rPr>
          <w:rFonts w:ascii="Times New Roman" w:hAnsi="Times New Roman" w:cs="Times New Roman" w:eastAsia="宋体"/>
          <w:b w:val="0"/>
          <w:sz w:val="24"/>
        </w:rPr>
        <w:t>以预测键为重采样单元的Bootstrap分析见图3-11，该分析对三种子预测结果进行点级合并。结果可描述大量测试键上的误差差异，但预测键存在时间、节点和种子内相关性，因此95%区间和单侧比例不作为跨种子统计显著性证据。</w:t>
      </w:r>
    </w:p>
    <w:p>
      <w:pPr>
        <w:spacing w:before="60" w:after="60" w:line="240" w:lineRule="auto"/>
        <w:ind w:firstLine="0"/>
        <w:jc w:val="center"/>
      </w:pPr>
      <w:r>
        <w:drawing>
          <wp:inline xmlns:a="http://schemas.openxmlformats.org/drawingml/2006/main" xmlns:pic="http://schemas.openxmlformats.org/drawingml/2006/picture">
            <wp:extent cx="5112000" cy="3890929"/>
            <wp:docPr id="47" name="Picture 47"/>
            <wp:cNvGraphicFramePr>
              <a:graphicFrameLocks noChangeAspect="1"/>
            </wp:cNvGraphicFramePr>
            <a:graphic>
              <a:graphicData uri="http://schemas.openxmlformats.org/drawingml/2006/picture">
                <pic:pic>
                  <pic:nvPicPr>
                    <pic:cNvPr id="0" name="fig3_11_bootstrap_difference.png"/>
                    <pic:cNvPicPr/>
                  </pic:nvPicPr>
                  <pic:blipFill>
                    <a:blip r:embed="rId87"/>
                    <a:stretch>
                      <a:fillRect/>
                    </a:stretch>
                  </pic:blipFill>
                  <pic:spPr>
                    <a:xfrm>
                      <a:off x="0" y="0"/>
                      <a:ext cx="5112000" cy="38909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图3-11 模型误差差的点级Bootstrap</w:t>
      </w:r>
    </w:p>
    <w:p>
      <w:pPr>
        <w:spacing w:before="0" w:after="0" w:line="300" w:lineRule="auto"/>
        <w:ind w:firstLine="480"/>
        <w:jc w:val="both"/>
      </w:pPr>
      <w:r>
        <w:rPr>
          <w:rFonts w:ascii="Times New Roman" w:hAnsi="Times New Roman" w:cs="Times New Roman" w:eastAsia="宋体"/>
          <w:b w:val="0"/>
          <w:sz w:val="18"/>
        </w:rPr>
        <w:t>注：每行纵轴按“前者vs后者”列出比较模型，点为MAE(后者)−MAE(前者)，正值表示前者误差更低；并非所有行都以MRG-GCN为比较对象。误差棒为10,000次重采样的95%百分位区间。预测键存在时间、节点及种子内相关性，该区间仅作点级误差差描述，不作跨种子显著性判断。</w:t>
      </w:r>
    </w:p>
    <w:p>
      <w:pPr>
        <w:spacing w:before="0" w:after="0" w:line="300" w:lineRule="auto"/>
        <w:ind w:firstLine="480"/>
        <w:jc w:val="both"/>
      </w:pPr>
      <w:r>
        <w:rPr>
          <w:rFonts w:ascii="Times New Roman" w:hAnsi="Times New Roman" w:cs="Times New Roman" w:eastAsia="宋体"/>
          <w:b w:val="0"/>
          <w:sz w:val="24"/>
        </w:rPr>
        <w:t>为避免将点级重采样误差棒误读为时间序列证据，本文进一步对同一批原始预测执行时间块复核。具体做法是：对每个共同预测键计算“基线绝对误差−MRG-GCN绝对误差”，按预测原点的UTC日聚合，并在相同键上先取三种子的逐键平均；随后分别以1日和7日为重采样单元进行10,000次有放回百分位Bootstrap。这里的种子平均是误差序列的算术平均，不是将三个模型输出组成集成预测。区间仅描述锁定测试期内的时间块稳定性，不替代跨场站或未见时期验证。</w:t>
      </w:r>
    </w:p>
    <w:p>
      <w:pPr>
        <w:keepNext/>
        <w:spacing w:before="60" w:after="60" w:line="240" w:lineRule="auto"/>
        <w:ind w:firstLine="0"/>
        <w:jc w:val="center"/>
      </w:pPr>
      <w:r>
        <w:rPr>
          <w:rFonts w:ascii="Times New Roman" w:hAnsi="Times New Roman" w:cs="Times New Roman" w:eastAsia="黑体"/>
          <w:b w:val="0"/>
          <w:sz w:val="21"/>
        </w:rPr>
        <w:t>原主实验时间块误差差复核表</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对照（基线−MRG-GCN）</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平均误差差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1日块95%区间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正差块</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7日块95%区间</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正差块</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0.01576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[0.01517, 0.01640]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187/187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[0.01495, 0.01662]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27/27</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0.00020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[0.00016, 0.00025]</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166/187</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[0.00015, 0.00026]</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27/27</w:t>
            </w:r>
          </w:p>
        </w:tc>
      </w:tr>
    </w:tbl>
    <w:p>
      <w:pPr>
        <w:spacing w:before="0" w:after="0" w:line="300" w:lineRule="auto"/>
        <w:ind w:firstLine="480"/>
        <w:jc w:val="both"/>
      </w:pPr>
      <w:r>
        <w:rPr>
          <w:rFonts w:ascii="Times New Roman" w:hAnsi="Times New Roman" w:cs="Times New Roman" w:eastAsia="宋体"/>
          <w:b w:val="0"/>
          <w:sz w:val="24"/>
        </w:rPr>
        <w:t>下表中正值表示MRG-GCN误差较低。MRG-GCN相对TCN的优势在全部日块和周块中保持为正；相对AdaptiveGraph的优势幅度很小，1日块中有21个块并不为正，但种子平均的时间块区间仍为正，因而只能表述为“在本测试期内具有小幅、总体稳定的优势”，不使用显著优于或必然优于的措辞。</w:t>
      </w:r>
    </w:p>
    <w:p>
      <w:pPr>
        <w:spacing w:before="240" w:after="180" w:line="300" w:lineRule="auto"/>
        <w:ind w:firstLine="0"/>
        <w:jc w:val="both"/>
        <w:outlineLvl w:val="2"/>
      </w:pPr>
      <w:r>
        <w:rPr>
          <w:rFonts w:ascii="Times New Roman" w:hAnsi="Times New Roman" w:cs="Times New Roman" w:eastAsia="黑体"/>
          <w:b w:val="0"/>
          <w:sz w:val="28"/>
        </w:rPr>
        <w:t>3.6.3 分层指标对比</w:t>
      </w:r>
    </w:p>
    <w:p>
      <w:pPr>
        <w:spacing w:before="0" w:after="0" w:line="300" w:lineRule="auto"/>
        <w:ind w:firstLine="480"/>
        <w:jc w:val="both"/>
      </w:pPr>
      <w:r>
        <w:rPr>
          <w:rFonts w:ascii="Times New Roman" w:hAnsi="Times New Roman" w:cs="Times New Roman" w:eastAsia="宋体"/>
          <w:b w:val="0"/>
          <w:sz w:val="24"/>
        </w:rPr>
        <w:t>分层结果见表3-2：依据目标侧标签事件target_event划分事件与稳定窗口，并另行报告非零负荷子集。事件窗口占测试预测键的1.43%，冻结规则触发率0.43%不用于本表分层。</w:t>
      </w:r>
    </w:p>
    <w:p>
      <w:pPr>
        <w:keepNext/>
        <w:spacing w:before="60" w:after="60" w:line="240" w:lineRule="auto"/>
        <w:ind w:firstLine="0"/>
        <w:jc w:val="center"/>
      </w:pPr>
      <w:r>
        <w:rPr>
          <w:rFonts w:ascii="Times New Roman" w:hAnsi="Times New Roman" w:cs="Times New Roman" w:eastAsia="黑体"/>
          <w:b w:val="0"/>
          <w:sz w:val="21"/>
        </w:rPr>
        <w:t>表3-2 分层MAE对比</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事件窗口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稳定窗口</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非零负荷</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Persistence</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0.4382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0.0731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0.3640</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LightGBM</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0.3074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0.1402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XGBoost</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0.1411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ARIMA</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0.2939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0.0187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0.0909</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0.3114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0.1292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0.3042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0.1274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0.3049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0.1264</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0.2732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0.0693</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0.2924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0.0995</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0.2763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0.0720</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EventResidual</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0.2760</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0.0715</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0.2761</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0.0100</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0.0711</w:t>
            </w:r>
          </w:p>
        </w:tc>
      </w:tr>
    </w:tbl>
    <w:p>
      <w:pPr>
        <w:spacing w:before="0" w:after="0" w:line="300" w:lineRule="auto"/>
        <w:ind w:firstLine="480"/>
        <w:jc w:val="both"/>
      </w:pPr>
      <w:r>
        <w:rPr>
          <w:rFonts w:ascii="Times New Roman" w:hAnsi="Times New Roman" w:cs="Times New Roman" w:eastAsia="宋体"/>
          <w:b w:val="0"/>
          <w:sz w:val="24"/>
        </w:rPr>
        <w:t>注：单位为kWh/15 min；随机初始化模型为三种子均值。事件与稳定窗口分别含10,160和702,200个预测键。</w:t>
      </w:r>
    </w:p>
    <w:p>
      <w:pPr>
        <w:spacing w:before="0" w:after="0" w:line="300" w:lineRule="auto"/>
        <w:ind w:firstLine="480"/>
        <w:jc w:val="both"/>
      </w:pPr>
      <w:r>
        <w:rPr>
          <w:rFonts w:ascii="Times New Roman" w:hAnsi="Times New Roman" w:cs="Times New Roman" w:eastAsia="宋体"/>
          <w:b w:val="0"/>
          <w:sz w:val="24"/>
        </w:rPr>
        <w:t>事件窗口中GWN的MAE最低，非零负荷子集同样如此；MRG-GCN在稳定窗口最低。MRG-GCN的事件窗口MAE约为稳定窗口的28倍，表明全局优势主要来自占比98.57%的稳定窗口，而稀有事件仍是共同难点。该结果也说明，全局最优不能直接等同于事件窗口最优；不同评价窗口的量级对比见图3-12。</w:t>
      </w:r>
    </w:p>
    <w:p>
      <w:pPr>
        <w:spacing w:before="60" w:after="60" w:line="240" w:lineRule="auto"/>
        <w:ind w:firstLine="0"/>
        <w:jc w:val="center"/>
      </w:pPr>
      <w:r>
        <w:drawing>
          <wp:inline xmlns:a="http://schemas.openxmlformats.org/drawingml/2006/main" xmlns:pic="http://schemas.openxmlformats.org/drawingml/2006/picture">
            <wp:extent cx="5112000" cy="2561049"/>
            <wp:docPr id="48" name="Picture 48"/>
            <wp:cNvGraphicFramePr>
              <a:graphicFrameLocks noChangeAspect="1"/>
            </wp:cNvGraphicFramePr>
            <a:graphic>
              <a:graphicData uri="http://schemas.openxmlformats.org/drawingml/2006/picture">
                <pic:pic>
                  <pic:nvPicPr>
                    <pic:cNvPr id="0" name="fig3_12_mae_by_window.png"/>
                    <pic:cNvPicPr/>
                  </pic:nvPicPr>
                  <pic:blipFill>
                    <a:blip r:embed="rId88"/>
                    <a:stretch>
                      <a:fillRect/>
                    </a:stretch>
                  </pic:blipFill>
                  <pic:spPr>
                    <a:xfrm>
                      <a:off x="0" y="0"/>
                      <a:ext cx="5112000" cy="256104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图3-12 不同评价窗口的MAE</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注：柱高为三种子均值，误差棒为跨种子标准差；纵轴采用对数尺度，以同时显示事件和稳定窗口的量级差异。</w:t>
      </w:r>
    </w:p>
    <w:p>
      <w:pPr>
        <w:spacing w:before="240" w:after="180" w:line="300" w:lineRule="auto"/>
        <w:ind w:firstLine="0"/>
        <w:jc w:val="both"/>
        <w:outlineLvl w:val="2"/>
      </w:pPr>
      <w:r>
        <w:rPr>
          <w:rFonts w:ascii="Times New Roman" w:hAnsi="Times New Roman" w:cs="Times New Roman" w:eastAsia="黑体"/>
          <w:b w:val="0"/>
          <w:sz w:val="28"/>
        </w:rPr>
        <w:t>3.6.4 节点与预测步长分析</w:t>
      </w:r>
    </w:p>
    <w:p>
      <w:pPr>
        <w:spacing w:before="0" w:after="0" w:line="300" w:lineRule="auto"/>
        <w:ind w:firstLine="480"/>
        <w:jc w:val="both"/>
      </w:pPr>
      <w:r>
        <w:rPr>
          <w:rFonts w:ascii="Times New Roman" w:hAnsi="Times New Roman" w:cs="Times New Roman" w:eastAsia="宋体"/>
          <w:b w:val="0"/>
          <w:sz w:val="24"/>
        </w:rPr>
        <w:t>MRG-GCN的逐步长和逐节点误差列于表3-3。</w:t>
      </w:r>
    </w:p>
    <w:p>
      <w:pPr>
        <w:keepNext/>
        <w:spacing w:before="60" w:after="60" w:line="240" w:lineRule="auto"/>
        <w:ind w:firstLine="0"/>
        <w:jc w:val="center"/>
      </w:pPr>
      <w:r>
        <w:rPr>
          <w:rFonts w:ascii="Times New Roman" w:hAnsi="Times New Roman" w:cs="Times New Roman" w:eastAsia="黑体"/>
          <w:b w:val="0"/>
          <w:sz w:val="21"/>
        </w:rPr>
        <w:t>表3-3 MRG-GCN逐步长与逐节点MAE</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预测步长</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1</m:t>
              </m:r>
            </m:oMath>
            <w:r>
              <w:rPr/>
              <w:t>（15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0.00432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0.02582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0.00616</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2</m:t>
              </m:r>
            </m:oMath>
            <w:r>
              <w:rPr/>
              <w:t>（30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0.01072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0.01171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CA-317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0.00686</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3</m:t>
              </m:r>
            </m:oMath>
            <w:r>
              <w:rPr/>
              <w:t>（45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0.01697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0.02234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0.00642</w:t>
            </w:r>
          </w:p>
        </w:tc>
      </w:tr>
      <w:tr>
        <w:trPr>
          <w:cantSplit/>
        </w:trPr>
        <w:tc>
          <w:tcPr>
            <w:tcW w:type="dxa" w:w="1385"/>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h</m:t>
              </m:r>
              <m:r>
                <m:t>4</m:t>
              </m:r>
            </m:oMath>
            <w:r>
              <w:rPr/>
              <w:t>（60 min）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0.02302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0.01863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CA-327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0.01318</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CA-311</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0.01810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CA-489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0.00839</w:t>
            </w:r>
          </w:p>
        </w:tc>
      </w:tr>
    </w:tbl>
    <w:p>
      <w:pPr>
        <w:spacing w:before="0" w:after="0" w:line="300" w:lineRule="auto"/>
        <w:ind w:firstLine="480"/>
        <w:jc w:val="both"/>
      </w:pPr>
      <w:r>
        <w:rPr>
          <w:rFonts w:ascii="Times New Roman" w:hAnsi="Times New Roman" w:cs="Times New Roman" w:eastAsia="宋体"/>
          <w:b w:val="0"/>
          <w:sz w:val="24"/>
        </w:rPr>
        <w:t>节点MAE从0.00616至0.02582，相差约4.2倍。CA-303和CA-305误差较高，CA-315、CA-317和CA-321较低，与第2章的节点负荷规模差异相符。由于绝对误差受节点负荷幅值影响，这一结果用于刻画评价难度，不据此判断某节点的相对预测质量。六种模型的逐节点对比见图3-13。</w:t>
      </w:r>
    </w:p>
    <w:p>
      <w:pPr>
        <w:spacing w:before="60" w:after="60" w:line="240" w:lineRule="auto"/>
        <w:ind w:firstLine="0"/>
        <w:jc w:val="center"/>
      </w:pPr>
      <w:r>
        <w:drawing>
          <wp:inline xmlns:a="http://schemas.openxmlformats.org/drawingml/2006/main" xmlns:pic="http://schemas.openxmlformats.org/drawingml/2006/picture">
            <wp:extent cx="5112000" cy="2215918"/>
            <wp:docPr id="49" name="Picture 49"/>
            <wp:cNvGraphicFramePr>
              <a:graphicFrameLocks noChangeAspect="1"/>
            </wp:cNvGraphicFramePr>
            <a:graphic>
              <a:graphicData uri="http://schemas.openxmlformats.org/drawingml/2006/picture">
                <pic:pic>
                  <pic:nvPicPr>
                    <pic:cNvPr id="0" name="fig3_13_mae_by_node.png"/>
                    <pic:cNvPicPr/>
                  </pic:nvPicPr>
                  <pic:blipFill>
                    <a:blip r:embed="rId89"/>
                    <a:stretch>
                      <a:fillRect/>
                    </a:stretch>
                  </pic:blipFill>
                  <pic:spPr>
                    <a:xfrm>
                      <a:off x="0" y="0"/>
                      <a:ext cx="5112000" cy="221591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图3-13 不同模型的逐节点MAE</w:t>
      </w:r>
    </w:p>
    <w:p>
      <w:pPr>
        <w:spacing w:before="0" w:after="0" w:line="300" w:lineRule="auto"/>
        <w:ind w:firstLine="480"/>
        <w:jc w:val="both"/>
      </w:pPr>
      <w:r>
        <w:rPr>
          <w:rFonts w:ascii="Times New Roman" w:hAnsi="Times New Roman" w:cs="Times New Roman" w:eastAsia="宋体"/>
          <w:b w:val="0"/>
          <w:sz w:val="18"/>
        </w:rPr>
        <w:t>注：热力图为10个节点和6个模型的三种子均值；节点按主张量测试预测起点对应时刻的累计代理负荷降序排列。颜色与数值使用同一节点映射，颜色表示误差大小，不表示节点间关系；GWN与AGCRN为原主实验的简化变体。</w:t>
      </w:r>
    </w:p>
    <w:p>
      <w:pPr>
        <w:spacing w:before="240" w:after="180" w:line="300" w:lineRule="auto"/>
        <w:ind w:firstLine="0"/>
        <w:jc w:val="both"/>
        <w:outlineLvl w:val="2"/>
      </w:pPr>
      <w:r>
        <w:rPr>
          <w:rFonts w:ascii="Times New Roman" w:hAnsi="Times New Roman" w:cs="Times New Roman" w:eastAsia="黑体"/>
          <w:b w:val="0"/>
          <w:sz w:val="28"/>
        </w:rPr>
        <w:t>3.6.5 模型效率分析</w:t>
      </w:r>
    </w:p>
    <w:p>
      <w:pPr>
        <w:spacing w:before="0" w:after="0" w:line="300" w:lineRule="auto"/>
        <w:ind w:firstLine="480"/>
        <w:jc w:val="both"/>
      </w:pPr>
      <w:r>
        <w:rPr>
          <w:rFonts w:ascii="Times New Roman" w:hAnsi="Times New Roman" w:cs="Times New Roman" w:eastAsia="宋体"/>
          <w:b w:val="0"/>
          <w:sz w:val="24"/>
        </w:rPr>
        <w:t>模型规模与正式训练耗时列于表3-4。</w:t>
      </w:r>
    </w:p>
    <w:p>
      <w:pPr>
        <w:keepNext/>
        <w:spacing w:before="60" w:after="60" w:line="240" w:lineRule="auto"/>
        <w:ind w:firstLine="0"/>
        <w:jc w:val="center"/>
      </w:pPr>
      <w:r>
        <w:rPr>
          <w:rFonts w:ascii="Times New Roman" w:hAnsi="Times New Roman" w:cs="Times New Roman" w:eastAsia="黑体"/>
          <w:b w:val="0"/>
          <w:sz w:val="21"/>
        </w:rPr>
        <w:t>表3-4 模型规模与正式训练耗时</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模型</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可训练参数量</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单种子训练耗时均值/min</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GRU</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4,068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0.02965</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4,252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51.9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0.02057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16,996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MRG-GCN（StaticGraph）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AdaptiveGraph</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35,005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0.01396</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GWN（简化变体）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40,084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0.01773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MLP</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228,968</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1.3</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0.02112</w:t>
            </w:r>
          </w:p>
        </w:tc>
      </w:tr>
    </w:tbl>
    <w:p>
      <w:pPr>
        <w:spacing w:before="0" w:after="0" w:line="300" w:lineRule="auto"/>
        <w:ind w:firstLine="480"/>
        <w:jc w:val="both"/>
      </w:pPr>
      <w:r>
        <w:rPr>
          <w:rFonts w:ascii="Times New Roman" w:hAnsi="Times New Roman" w:cs="Times New Roman" w:eastAsia="宋体"/>
          <w:b w:val="0"/>
          <w:sz w:val="24"/>
        </w:rPr>
        <w:t>注：耗时取三种子正式运行记录均值，锁定环境记录为Linux与CUDA 12.1，GPU具体型号未写入实验元数据。耗时包含模型训练与验证早停过程，不含数据预处理；其结果仅作本实验计算量级参考，不作为通用速度基准。</w:t>
      </w:r>
    </w:p>
    <w:p>
      <w:pPr>
        <w:spacing w:before="0" w:after="0" w:line="300" w:lineRule="auto"/>
        <w:ind w:firstLine="480"/>
        <w:jc w:val="both"/>
      </w:pPr>
      <w:r>
        <w:rPr>
          <w:rFonts w:ascii="Times New Roman" w:hAnsi="Times New Roman" w:cs="Times New Roman" w:eastAsia="宋体"/>
          <w:b w:val="0"/>
          <w:sz w:val="24"/>
        </w:rPr>
        <w:t>MRG-GCN参数量约为MLP的14.3%，但MAE低34.8%，所检模型的参数规模与误差之间未呈现简单单调关系。另一方面，TCN与MRG-GCN并非只相差一个同构模块，参数量和计算路径均发生变化，因此53.4%的差距应解释为完整图增强结构相对于时间基线的整体效果，而不是单一图算子的净因果贡献。正式产物未统一记录端到端推理时延，本章不报告估算值。</w:t>
      </w:r>
    </w:p>
    <w:p>
      <w:pPr>
        <w:spacing w:before="0" w:after="0" w:line="300" w:lineRule="auto"/>
        <w:ind w:firstLine="480"/>
        <w:jc w:val="both"/>
      </w:pPr>
      <w:r>
        <w:rPr>
          <w:rFonts w:ascii="Times New Roman" w:hAnsi="Times New Roman" w:cs="Times New Roman" w:eastAsia="宋体"/>
          <w:b w:val="0"/>
          <w:sz w:val="24"/>
        </w:rPr>
        <w:t>从结果解读角度，表3-1应先回答“在统一预测键下哪一组完整配置的误差更低”，再回答“哪些机制值得进一步诊断”。MRG-GCN的全局MAE最低，说明在旧主协议、10个节点、96步输入和4步输出的条件下，固定三关系图与双层门控结构组成的整体方案有效；它并不说明三类关系中的每一种都产生了可分离的边际收益。AdaptiveGraph和EventResidual与MRG-GCN的差距很小，且处于三种子波动量级附近，因此应将它们视为接近的头部配置，而不是给出稳定名次。</w:t>
      </w:r>
    </w:p>
    <w:p>
      <w:pPr>
        <w:spacing w:before="0" w:after="0" w:line="300" w:lineRule="auto"/>
        <w:ind w:firstLine="480"/>
        <w:jc w:val="both"/>
      </w:pPr>
      <w:r>
        <w:rPr>
          <w:rFonts w:ascii="Times New Roman" w:hAnsi="Times New Roman" w:cs="Times New Roman" w:eastAsia="宋体"/>
          <w:b w:val="0"/>
          <w:sz w:val="24"/>
        </w:rPr>
        <w:t>分层指标改变了全局排序的解释方式。事件窗口占比很低，但事件段MAE远高于稳定段；全局MAE主要由大量稳定预测键决定。因而，一个模型可以在全局指标上领先，却在事件段不占优；反过来，事件段的局部改善也未必足以改变整体指标。本文同时报告全局、事件、稳定和非零负荷子集，是为了避免用一个平均数覆盖不同难度的样本。图3-12的对数纵轴只用于展示量级，不表示误差具有对数分布，也不改变MAE的原始计算口径。</w:t>
      </w:r>
    </w:p>
    <w:p>
      <w:pPr>
        <w:spacing w:before="0" w:after="0" w:line="300" w:lineRule="auto"/>
        <w:ind w:firstLine="480"/>
        <w:jc w:val="both"/>
      </w:pPr>
      <w:r>
        <w:rPr>
          <w:rFonts w:ascii="Times New Roman" w:hAnsi="Times New Roman" w:cs="Times New Roman" w:eastAsia="宋体"/>
          <w:b w:val="0"/>
          <w:sz w:val="24"/>
        </w:rPr>
        <w:t>预测步长分析进一步说明，历史信息对近端预测更充分，提前量增加后误差逐步累积。由于每个步长共享同一批预测起点但目标时刻不同，四个步长的误差不是四个独立实验；图3-10的阴影只表示三种子离散度，不能当作预测区间。逐节点分析也具有类似限制：高负荷节点往往对应更大的绝对误差，节点间绝对MAE差异不能直接等价为相对性能差异。若需要比较节点相对误差，应另行预先登记归一化指标，而不能从当前绝对MAE图中补推结论。</w:t>
      </w:r>
    </w:p>
    <w:p>
      <w:pPr>
        <w:spacing w:before="0" w:after="0" w:line="300" w:lineRule="auto"/>
        <w:ind w:firstLine="480"/>
        <w:jc w:val="both"/>
      </w:pPr>
      <w:r>
        <w:rPr>
          <w:rFonts w:ascii="Times New Roman" w:hAnsi="Times New Roman" w:cs="Times New Roman" w:eastAsia="宋体"/>
          <w:b w:val="0"/>
          <w:sz w:val="24"/>
        </w:rPr>
        <w:t>时间块复核的意义在于检查优势是否集中在少数日期。以预测原点的日或周为单位聚合后，MRG-GCN相对TCN的误差差在本测试期内保持为正；相对AdaptiveGraph的差异则幅度很小，部分日块不为正。这一结果与三种子全局均值并不矛盾，反而说明“优于TCN”和“稳定领先AdaptiveGraph”具有不同的证据强度。时间块统计仍只来自同一场站、同一测试期，不能替代跨站或跨年份验证。</w:t>
      </w:r>
    </w:p>
    <w:p>
      <w:pPr>
        <w:spacing w:before="0" w:after="0" w:line="300" w:lineRule="auto"/>
        <w:ind w:firstLine="480"/>
        <w:jc w:val="both"/>
      </w:pPr>
      <w:r>
        <w:rPr>
          <w:rFonts w:ascii="Times New Roman" w:hAnsi="Times New Roman" w:cs="Times New Roman" w:eastAsia="宋体"/>
          <w:b w:val="0"/>
          <w:sz w:val="24"/>
        </w:rPr>
        <w:t>模型效率比较也需服从同样的边界。参数量较小不自动意味着训练时间更短，图聚合、数据布局、早停轮次和硬件都会影响运行耗时；单次正式运行记录不能支持通用速度排名。本文只把表3-4作为本实现的量级参考，不用它证明某一模型在所有设备上都更高效。对硕士论文而言，明确哪些数字是性能证据、哪些数字是工程记录，有助于降低审稿人把不同性质指标混在一起的风险。</w:t>
      </w:r>
    </w:p>
    <w:p>
      <w:pPr>
        <w:spacing w:before="240" w:after="180" w:line="300" w:lineRule="auto"/>
        <w:ind w:firstLine="0"/>
        <w:jc w:val="both"/>
        <w:outlineLvl w:val="2"/>
      </w:pPr>
      <w:r>
        <w:rPr>
          <w:rFonts w:ascii="Times New Roman" w:hAnsi="Times New Roman" w:cs="Times New Roman" w:eastAsia="黑体"/>
          <w:b w:val="0"/>
          <w:sz w:val="28"/>
        </w:rPr>
        <w:t>3.6.6 事件机制消融与归因</w:t>
      </w:r>
    </w:p>
    <w:p>
      <w:pPr>
        <w:spacing w:before="0" w:after="0" w:line="300" w:lineRule="auto"/>
        <w:ind w:firstLine="480"/>
        <w:jc w:val="both"/>
      </w:pPr>
      <w:r>
        <w:rPr>
          <w:rFonts w:ascii="Times New Roman" w:hAnsi="Times New Roman" w:cs="Times New Roman" w:eastAsia="宋体"/>
          <w:b w:val="0"/>
          <w:sz w:val="24"/>
        </w:rPr>
        <w:t>在MRG-GCN之外，本文还检验了固定主模型参数、联合更新主模型参数、容量调整和阈值调整等事件残差修正实现。各实现均未获得可复现的事件窗口改进，未达到预设的正式纳入标准。因此，正式方法止于MRG-GCN；表3-1保留EventResidual行用于记录实验事实，完整设置、结果和终止依据保留于实验登记表及归档材料。本结论只是否定所检实现，不推断事件预测问题本身不可改进。</w:t>
      </w:r>
    </w:p>
    <w:p>
      <w:pPr>
        <w:spacing w:before="360" w:after="240" w:line="360" w:lineRule="auto"/>
        <w:ind w:firstLine="0"/>
        <w:jc w:val="both"/>
        <w:outlineLvl w:val="1"/>
      </w:pPr>
      <w:r>
        <w:rPr>
          <w:rFonts w:ascii="Times New Roman" w:hAnsi="Times New Roman" w:cs="Times New Roman" w:eastAsia="黑体"/>
          <w:b/>
          <w:sz w:val="30"/>
        </w:rPr>
        <w:t>3.7 消融实验</w:t>
      </w:r>
    </w:p>
    <w:p>
      <w:pPr>
        <w:spacing w:before="240" w:after="180" w:line="300" w:lineRule="auto"/>
        <w:ind w:firstLine="0"/>
        <w:jc w:val="both"/>
        <w:outlineLvl w:val="2"/>
      </w:pPr>
      <w:r>
        <w:rPr>
          <w:rFonts w:ascii="Times New Roman" w:hAnsi="Times New Roman" w:cs="Times New Roman" w:eastAsia="黑体"/>
          <w:b w:val="0"/>
          <w:sz w:val="28"/>
        </w:rPr>
        <w:t>3.7.1 组合配置下的结构消融证据</w:t>
      </w:r>
    </w:p>
    <w:p>
      <w:pPr>
        <w:spacing w:before="0" w:after="0" w:line="300" w:lineRule="auto"/>
        <w:ind w:firstLine="480"/>
        <w:jc w:val="both"/>
      </w:pPr>
      <w:r>
        <w:rPr>
          <w:rFonts w:ascii="Times New Roman" w:hAnsi="Times New Roman" w:cs="Times New Roman" w:eastAsia="宋体"/>
          <w:b w:val="0"/>
          <w:sz w:val="24"/>
        </w:rPr>
        <w:t>该组结构消融以事件残差修正实验组的完整配置作为内部基线，其MAE为0.01390。该基线包含TCN、图模块和事件门控残差路径，与表3-1的正式MRG-GCN不是同一比较基准。表3-5(a)显示，无图变体MAE升至0.02960，是该组配置中退化最大的变体；这一结果只支持图增强结构在该组合配置中具有较强功能影响。仅固定图和仅自适应图相对内部基线分别上升2.5%和2.3%，差异较小。</w:t>
      </w:r>
    </w:p>
    <w:p>
      <w:pPr>
        <w:spacing w:before="0" w:after="0" w:line="300" w:lineRule="auto"/>
        <w:ind w:firstLine="480"/>
        <w:jc w:val="both"/>
      </w:pPr>
      <w:r>
        <w:rPr>
          <w:rFonts w:ascii="Times New Roman" w:hAnsi="Times New Roman" w:cs="Times New Roman" w:eastAsia="宋体"/>
          <w:b w:val="0"/>
          <w:sz w:val="24"/>
        </w:rPr>
        <w:t>“门控关闭”同时取消选择性触发、联合更新主模型参数并将修正作用于全样本，属于复合重训练变体；其90.5%的退化不能归因于某一个门变量，只能说明该复合配置不适合替代原配置。各结构消融项的三种子汇总见图3-14。</w:t>
      </w:r>
    </w:p>
    <w:p>
      <w:pPr>
        <w:keepNext/>
        <w:spacing w:before="60" w:after="60" w:line="240" w:lineRule="auto"/>
        <w:ind w:firstLine="0"/>
        <w:jc w:val="center"/>
      </w:pPr>
      <w:r>
        <w:rPr>
          <w:rFonts w:ascii="Times New Roman" w:hAnsi="Times New Roman" w:cs="Times New Roman" w:eastAsia="黑体"/>
          <w:b w:val="0"/>
          <w:sz w:val="21"/>
        </w:rPr>
        <w:t>表3-5 消融与参数敏感性结果</w:t>
      </w:r>
    </w:p>
    <w:p>
      <w:pPr>
        <w:spacing w:before="0" w:after="0" w:line="300" w:lineRule="auto"/>
        <w:ind w:firstLine="480"/>
        <w:jc w:val="both"/>
      </w:pPr>
      <w:r>
        <w:rPr>
          <w:rFonts w:ascii="Times New Roman" w:hAnsi="Times New Roman" w:cs="Times New Roman" w:eastAsia="宋体"/>
          <w:b w:val="0"/>
          <w:sz w:val="24"/>
        </w:rPr>
        <w:t>（a）结构消融</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相对内部基线</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完整配置（内部基线）</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仅自适应图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0.01422</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仅固定图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0.01425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+2.5%</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门控关闭（复合变体）</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0.02648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+90.5%</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无图</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0.02960</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+113.0%</w:t>
            </w:r>
          </w:p>
        </w:tc>
      </w:tr>
    </w:tbl>
    <w:p>
      <w:pPr>
        <w:spacing w:before="60" w:after="60" w:line="240" w:lineRule="auto"/>
        <w:ind w:firstLine="0"/>
        <w:jc w:val="center"/>
      </w:pPr>
      <w:r>
        <w:drawing>
          <wp:inline xmlns:a="http://schemas.openxmlformats.org/drawingml/2006/main" xmlns:pic="http://schemas.openxmlformats.org/drawingml/2006/picture">
            <wp:extent cx="5112000" cy="2495772"/>
            <wp:docPr id="50" name="Picture 50"/>
            <wp:cNvGraphicFramePr>
              <a:graphicFrameLocks noChangeAspect="1"/>
            </wp:cNvGraphicFramePr>
            <a:graphic>
              <a:graphicData uri="http://schemas.openxmlformats.org/drawingml/2006/picture">
                <pic:pic>
                  <pic:nvPicPr>
                    <pic:cNvPr id="0" name="fig3_14_mechanism_ablation.png"/>
                    <pic:cNvPicPr/>
                  </pic:nvPicPr>
                  <pic:blipFill>
                    <a:blip r:embed="rId90"/>
                    <a:stretch>
                      <a:fillRect/>
                    </a:stretch>
                  </pic:blipFill>
                  <pic:spPr>
                    <a:xfrm>
                      <a:off x="0" y="0"/>
                      <a:ext cx="5112000" cy="24957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图3-14 结构消融结果</w:t>
      </w:r>
    </w:p>
    <w:p>
      <w:pPr>
        <w:spacing w:before="0" w:after="0" w:line="300" w:lineRule="auto"/>
        <w:ind w:firstLine="480"/>
        <w:jc w:val="both"/>
      </w:pPr>
      <w:r>
        <w:rPr>
          <w:rFonts w:ascii="Times New Roman" w:hAnsi="Times New Roman" w:cs="Times New Roman" w:eastAsia="宋体"/>
          <w:b w:val="0"/>
          <w:sz w:val="18"/>
        </w:rPr>
        <w:t>注：柱高为三种子均值，误差棒为跨种子标准差。百分比均相对于消融套件的0.01390内部基线，不与表3-1主模型直接换算。</w:t>
      </w:r>
    </w:p>
    <w:p>
      <w:pPr>
        <w:spacing w:before="240" w:after="180" w:line="300" w:lineRule="auto"/>
        <w:ind w:firstLine="0"/>
        <w:jc w:val="both"/>
        <w:outlineLvl w:val="2"/>
      </w:pPr>
      <w:r>
        <w:rPr>
          <w:rFonts w:ascii="Times New Roman" w:hAnsi="Times New Roman" w:cs="Times New Roman" w:eastAsia="黑体"/>
          <w:b w:val="0"/>
          <w:sz w:val="28"/>
        </w:rPr>
        <w:t>3.7.2 门控参数干预</w:t>
      </w:r>
    </w:p>
    <w:p>
      <w:pPr>
        <w:spacing w:before="0" w:after="0" w:line="300" w:lineRule="auto"/>
        <w:ind w:firstLine="480"/>
        <w:jc w:val="both"/>
      </w:pPr>
      <w:r>
        <w:rPr>
          <w:rFonts w:ascii="Times New Roman" w:hAnsi="Times New Roman" w:cs="Times New Roman" w:eastAsia="宋体"/>
          <w:b w:val="0"/>
          <w:sz w:val="24"/>
        </w:rPr>
        <w:t>为检验模型是否依赖学习到的逐层关系分配，保持模型其余参数不变，对两层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进行7种仅前向干预。表3-5(b)中，等权、层间交换及固定关系组合均高于学习值基线；最小退化为95.9%，最大为233.6%。这表明模型对所学习的层间关系分配存在功能依赖，但结论仅覆盖所检7种组合，不说明学习值是整个连续权重空间的全局最优，也不构成数据层面的因果识别。这里是旧协议下的训练后参数替换，与3.7.5节在新协议中重新训练的mrg_equal_beta不同。详细权重与跨种子差异在第4章L1层分析。</w:t>
      </w:r>
    </w:p>
    <w:p>
      <w:pPr>
        <w:spacing w:before="0" w:after="0" w:line="300" w:lineRule="auto"/>
        <w:ind w:firstLine="480"/>
        <w:jc w:val="both"/>
      </w:pPr>
      <w:r>
        <w:rPr>
          <w:rFonts w:ascii="Times New Roman" w:hAnsi="Times New Roman" w:cs="Times New Roman" w:eastAsia="宋体"/>
          <w:b w:val="0"/>
          <w:sz w:val="24"/>
        </w:rPr>
        <w:t>（b）关系级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参数干预</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相对学习值</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学习值基线</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0.01376</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第一层学习值、第二层固定为轮廓关系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0.02695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+95.9%</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两层等权</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0.03354</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+143.8%</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层间权重交换</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0.03418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+148.4%</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两层固定为行为关系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0.03430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+149.3%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第一层固定为负荷关系、第二层学习值</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0.04106</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+198.4%</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两层固定为轮廓关系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0.04138</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+200.7%</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两层固定为负荷关系</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0.04591</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+233.6%</w:t>
            </w:r>
          </w:p>
        </w:tc>
      </w:tr>
    </w:tbl>
    <w:p>
      <w:pPr>
        <w:spacing w:before="240" w:after="180" w:line="300" w:lineRule="auto"/>
        <w:ind w:firstLine="0"/>
        <w:jc w:val="both"/>
        <w:outlineLvl w:val="2"/>
      </w:pPr>
      <w:r>
        <w:rPr>
          <w:rFonts w:ascii="Times New Roman" w:hAnsi="Times New Roman" w:cs="Times New Roman" w:eastAsia="黑体"/>
          <w:b w:val="0"/>
          <w:sz w:val="28"/>
        </w:rPr>
        <w:t>3.7.3 四格诊断</w:t>
      </w:r>
    </w:p>
    <w:p>
      <w:pPr>
        <w:spacing w:before="0" w:after="0" w:line="300" w:lineRule="auto"/>
        <w:ind w:firstLine="480"/>
        <w:jc w:val="both"/>
      </w:pPr>
      <w:r>
        <w:rPr>
          <w:rFonts w:ascii="Times New Roman" w:hAnsi="Times New Roman" w:cs="Times New Roman" w:eastAsia="宋体"/>
          <w:b w:val="0"/>
          <w:sz w:val="24"/>
        </w:rPr>
        <w:t>目标侧标签事件target_event与冻结规则rule_trigger含义不同。本文按二者的0/1组合将测试预测键划分为四格，并验证</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（3-16）</w:t>
      </w:r>
    </w:p>
    <w:p>
      <w:pPr>
        <w:spacing w:before="0" w:after="0" w:line="300" w:lineRule="auto"/>
        <w:ind w:firstLine="480"/>
        <w:jc w:val="both"/>
      </w:pPr>
      <w:r>
        <w:rPr>
          <w:rFonts w:ascii="Times New Roman" w:hAnsi="Times New Roman" w:cs="Times New Roman" w:eastAsia="宋体"/>
          <w:b w:val="0"/>
          <w:sz w:val="24"/>
        </w:rPr>
        <w:t>18个正式运行的还原误差均不超过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，说明分层样本与全局预测键一致。四格诊断的目的，是区分“目标侧是否存在标签事件”和“预测时规则是否触发”对应的误差构成；二者不是分类标签与分类器输出，正文不使用误报、漏报等术语。</w:t>
      </w:r>
    </w:p>
    <w:p>
      <w:pPr>
        <w:spacing w:before="240" w:after="180" w:line="300" w:lineRule="auto"/>
        <w:ind w:firstLine="0"/>
        <w:jc w:val="both"/>
        <w:outlineLvl w:val="2"/>
      </w:pPr>
      <w:r>
        <w:rPr>
          <w:rFonts w:ascii="Times New Roman" w:hAnsi="Times New Roman" w:cs="Times New Roman" w:eastAsia="黑体"/>
          <w:b w:val="0"/>
          <w:sz w:val="28"/>
        </w:rPr>
        <w:t>3.7.4 关系子集与敏感性</w:t>
      </w:r>
    </w:p>
    <w:p>
      <w:pPr>
        <w:spacing w:before="0" w:after="0" w:line="300" w:lineRule="auto"/>
        <w:ind w:firstLine="480"/>
        <w:jc w:val="both"/>
      </w:pPr>
      <w:r>
        <w:rPr>
          <w:rFonts w:ascii="Times New Roman" w:hAnsi="Times New Roman" w:cs="Times New Roman" w:eastAsia="宋体"/>
          <w:b w:val="0"/>
          <w:sz w:val="24"/>
        </w:rPr>
        <w:t>关系子集实验采用另一套完整模型协议，基线MAE为0.01412，不与表3-5(a)或表3-1交叉计算百分比。仅负荷、仅行为和仅轮廓关系的MAE分别为0.01415、0.01415和0.01401，均与三关系配置接近；仅轮廓关系数值略低。由此不能宣称三类关系各自带来独立正增量，只能说明在所检设置下，三关系融合未形成可辨识的边际精度优势。</w:t>
      </w:r>
    </w:p>
    <w:p>
      <w:pPr>
        <w:spacing w:before="0" w:after="0" w:line="300" w:lineRule="auto"/>
        <w:ind w:firstLine="480"/>
        <w:jc w:val="both"/>
      </w:pPr>
      <w:r>
        <w:rPr>
          <w:rFonts w:ascii="Times New Roman" w:hAnsi="Times New Roman" w:cs="Times New Roman" w:eastAsia="宋体"/>
          <w:b w:val="0"/>
          <w:sz w:val="24"/>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oMath>
      <w:r>
        <w:rPr>
          <w:rFonts w:ascii="Times New Roman" w:hAnsi="Times New Roman" w:cs="Times New Roman" w:eastAsia="宋体"/>
          <w:b w:val="0"/>
          <w:sz w:val="24"/>
        </w:rPr>
        <w:t>实验中，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的MAE分别为0.01391和0.01448，较密的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r>
        <w:rPr>
          <w:rFonts w:ascii="Times New Roman" w:hAnsi="Times New Roman" w:cs="Times New Roman" w:eastAsia="宋体"/>
          <w:b w:val="0"/>
          <w:sz w:val="24"/>
        </w:rPr>
        <w:t>配置上升4.1%；该结论不外推到未正式比较的其他稀疏度。关系随机失活概率取0、0.2和0.4时，MAE分别为0.01391、0.01391和0.01391，差异不足0.03%，未观察到实质收益。因此，主模型保持</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m:t>
        </m:r>
      </m:oMath>
      <w:r>
        <w:rPr>
          <w:rFonts w:ascii="Times New Roman" w:hAnsi="Times New Roman" w:cs="Times New Roman" w:eastAsia="宋体"/>
          <w:b w:val="0"/>
          <w:sz w:val="24"/>
        </w:rPr>
        <w:t>。</w:t>
      </w:r>
    </w:p>
    <w:p>
      <w:pPr>
        <w:spacing w:before="0" w:after="0" w:line="300" w:lineRule="auto"/>
        <w:ind w:firstLine="480"/>
        <w:jc w:val="both"/>
      </w:pPr>
      <w:r>
        <w:rPr>
          <w:rFonts w:ascii="Times New Roman" w:hAnsi="Times New Roman" w:cs="Times New Roman" w:eastAsia="宋体"/>
          <w:b w:val="0"/>
          <w:sz w:val="24"/>
        </w:rPr>
        <w:t>（c）关系子集与超参数敏感性</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实验组</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组内结论</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三关系</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0.01412</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仅负荷</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仅行为</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0.01415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与基线接近</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关系子集</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仅轮廓</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0.01401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数值略低</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5</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组内基线</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稀疏度</w:t>
            </w:r>
          </w:p>
        </w:tc>
        <w:tc>
          <w:tcPr>
            <w:tcW w:type="dxa" w:w="2078"/>
            <w:vAlign w:val="center"/>
            <w:tcBorders>
              <w:top w:val="nil"/>
              <w:bottom w:val="nil"/>
              <w:left w:val="nil"/>
              <w:right w:val="nil"/>
            </w:tcBorders>
          </w:tcPr>
          <w:p>
            <w:pPr>
              <w:spacing w:before="0" w:after="0" w:line="240" w:lineRule="auto"/>
              <w:ind w:firstLine="0"/>
              <w:jc w:val="center"/>
            </w:pPr>
            <w:r>
              <w:rPr/>
              <w:t>top-</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k</m:t>
              </m:r>
              <m:r>
                <m:t>=</m:t>
              </m:r>
              <m:r>
                <m:t>7</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0.01448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078"/>
            <w:vAlign w:val="center"/>
            <w:tcBorders>
              <w:top w:val="nil"/>
              <w:bottom w:val="nil"/>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oMath>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变化不足0.03%</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078"/>
            <w:vAlign w:val="center"/>
            <w:tcBorders>
              <w:top w:val="nil"/>
              <w:bottom w:val="single" w:sz="12" w:color="000000"/>
              <w:left w:val="nil"/>
              <w:right w:val="nil"/>
            </w:tcBorders>
          </w:tcPr>
          <w:p>
            <w:pPr>
              <w:spacing w:before="0" w:after="0" w:line="240" w:lineRule="auto"/>
              <w:ind w:firstLine="0"/>
              <w:jc w:val="center"/>
            </w:pP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0.4</m:t>
              </m:r>
            </m:oMath>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0.01391</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变化不足0.03%</w:t>
            </w:r>
          </w:p>
        </w:tc>
      </w:tr>
    </w:tbl>
    <w:p>
      <w:pPr>
        <w:spacing w:before="240" w:after="180" w:line="300" w:lineRule="auto"/>
        <w:ind w:firstLine="0"/>
        <w:jc w:val="both"/>
        <w:outlineLvl w:val="2"/>
      </w:pPr>
      <w:r>
        <w:rPr>
          <w:rFonts w:ascii="Times New Roman" w:hAnsi="Times New Roman" w:cs="Times New Roman" w:eastAsia="黑体"/>
          <w:b w:val="0"/>
          <w:sz w:val="28"/>
        </w:rPr>
        <w:t>3.7.5 严格可见输入协议下的压力测试</w:t>
      </w:r>
    </w:p>
    <w:p>
      <w:pPr>
        <w:spacing w:before="0" w:after="0" w:line="300" w:lineRule="auto"/>
        <w:ind w:firstLine="480"/>
        <w:jc w:val="both"/>
      </w:pPr>
      <w:r>
        <w:rPr>
          <w:rFonts w:ascii="Times New Roman" w:hAnsi="Times New Roman" w:cs="Times New Roman" w:eastAsia="宋体"/>
          <w:b w:val="0"/>
          <w:sz w:val="24"/>
        </w:rPr>
        <w:t>旧主实验的代理负荷输入由会话最终电量和最终断开时间重构，不能直接代表预测原点可获得的信息。为检验这一信息权限变化对模型结论的影响，另行冻结SG-DATA-006-eventtime-v1并登记为SG-EXP-019。该协议在预测原点只使用已发生的接入、离站、活跃计数和当地日历七通道，目标仍为事后会话能量代理；数据按训练、调参、校准和测试四段严格切分，输入历史长度为96步，输出为4步。它回答的是“在更严格的行为可见输入下，关系结构和内部组件是否仍保留相对价值”，不是对SG-EXP-003旧主结果的替换，也不是实测功率验证。</w:t>
      </w:r>
    </w:p>
    <w:p>
      <w:pPr>
        <w:spacing w:before="0" w:after="0" w:line="300" w:lineRule="auto"/>
        <w:ind w:firstLine="480"/>
        <w:jc w:val="both"/>
      </w:pPr>
      <w:r>
        <w:rPr>
          <w:rFonts w:ascii="Times New Roman" w:hAnsi="Times New Roman" w:cs="Times New Roman" w:eastAsia="宋体"/>
          <w:b w:val="0"/>
          <w:sz w:val="24"/>
        </w:rPr>
        <w:t>该协议共完成12种配置、每种配置3个随机种子，训练预算和模型选择规则保持一致。结果见表3-7。为避免把完整能力基线和容量公平基线混在一起，表中同时报告可训练参数量和最优轮次/实际停止轮次。tcn_wide与mrg_full分别为32,674和32,714个可训练参数，参数差约0.12%，可作为容量匹配的无图对照；agcrn_full为199,912个参数，约为mrg_full的6.1倍，只能作为完整能力基线。</w:t>
      </w:r>
    </w:p>
    <w:p>
      <w:pPr>
        <w:keepNext/>
        <w:spacing w:before="60" w:after="60" w:line="240" w:lineRule="auto"/>
        <w:ind w:firstLine="0"/>
        <w:jc w:val="center"/>
      </w:pPr>
      <w:r>
        <w:rPr>
          <w:rFonts w:ascii="Times New Roman" w:hAnsi="Times New Roman" w:cs="Times New Roman" w:eastAsia="黑体"/>
          <w:b w:val="0"/>
          <w:sz w:val="21"/>
        </w:rPr>
        <w:t>表3-7 严格可见输入协议下的正式结果与内部消融</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配置</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全局MAE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事件段MAE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平稳段MAE</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参数量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最优轮次/实际停止轮次</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agcrn_full</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0.03743±0.00022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0.3774±0.0008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0.0325±0.0002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199,912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1/1/1；9/9/9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mrg_equal_beta</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0.03862±0.00028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0.3812±0.0014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0.0336±0.0003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17/16/13；25/24/21</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mrg_full</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0.03890±0.00010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0.3810±0.0009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0.0339±0.0001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27/19/19；35/27/27</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mrg_no_skip</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0.03900±0.00051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0.3829±0.0019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0.0340±0.0005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30,666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60/21/39；60/29/47</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mrg_no_refine</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0.03931±0.00031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0.3805±0.0015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0.0343±0.0003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30,602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22/28/60；30/36/60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mrg_pattern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0.03948±0.00031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0.3816±0.0025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0.0345±0.0003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48/54/51；56/60/59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mrg_fixed_gate</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0.04111±0.00147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0.3825±0.0008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0.0361±0.0015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28,554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60/58/60；60/60/60</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mrg_load</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0.04315±0.00073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0.3805±0.0024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0.0382±0.0008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48/21/51；56/29/59</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mrg_event</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0.04559±0.00027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0.3780±0.0004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0.0407±0.0003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28,612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5/21/5；13/29/13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mrg_self_loop</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0.04610±0.00057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0.3739±0.0010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0.0413±0.0006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32,714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2/1/6；10/9/14</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tcn</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0.04629±0.00019</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0.3751±0.0007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0.0415±0.0002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16,996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6/1/8；14/9/16</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tcn_wide</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0.04634±0.00029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0.3746±0.0019</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0.0415±0.0003</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32,674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11/4/3；19/12/11</w:t>
            </w:r>
          </w:p>
        </w:tc>
      </w:tr>
    </w:tbl>
    <w:p>
      <w:pPr>
        <w:spacing w:before="0" w:after="0" w:line="300" w:lineRule="auto"/>
        <w:ind w:firstLine="480"/>
        <w:jc w:val="both"/>
      </w:pPr>
      <w:r>
        <w:rPr>
          <w:rFonts w:ascii="Times New Roman" w:hAnsi="Times New Roman" w:cs="Times New Roman" w:eastAsia="宋体"/>
          <w:b w:val="0"/>
          <w:sz w:val="24"/>
        </w:rPr>
        <w:t>注：数值单位为kWh/15 min；均值和标准差来自2024、2025、2026三种子，标准差为样本标准差。最优轮次为验证集原单位MAE最低的轮次，实际停止轮次为训练日志最后一轮；两者均按seed-2024/2025/2026顺序列出。该表使用新协议测试集708,560个预测键，与旧主实验712,360个预测键不具有直接数值可比性。</w:t>
      </w:r>
    </w:p>
    <w:p>
      <w:pPr>
        <w:spacing w:before="0" w:after="0" w:line="300" w:lineRule="auto"/>
        <w:ind w:firstLine="480"/>
        <w:jc w:val="both"/>
      </w:pPr>
      <w:r>
        <w:rPr>
          <w:rFonts w:ascii="Times New Roman" w:hAnsi="Times New Roman" w:cs="Times New Roman" w:eastAsia="宋体"/>
          <w:b w:val="0"/>
          <w:sz w:val="24"/>
        </w:rPr>
        <w:t>在同一新协议下，mrg_full比参数量近似匹配的tcn_wide低16.1%的全局MAE，说明删除旧代理负荷输入后，站内关系路径仍保留相对纯时序路径的价值。另一方面，agcrn_full比mrg_full低3.9%，但参数量约为其6.1倍，因此该差异只作为完整能力基线结果，不解释为结构公平比较。内部消融显示，固定门值使MAE相对mrg_full上升5.68%，是所检结构消融中最明显的退化；仅去除跨层拼接和精炼分别上升0.26%和1.03%，证据强度较弱。三个单关系变体均劣于三关系融合，其中轮廓关系最好，行为关系最弱，支持关系互补性，但不支持每一类关系均有独立正增量。等权β比学习β低0.71%，且差异处于三种子波动量级，因此只能写为“未观察到可辨识的可学习β增益”。</w:t>
      </w:r>
    </w:p>
    <w:p>
      <w:pPr>
        <w:spacing w:before="0" w:after="0" w:line="300" w:lineRule="auto"/>
        <w:ind w:firstLine="480"/>
        <w:jc w:val="both"/>
      </w:pPr>
      <w:r>
        <w:rPr>
          <w:rFonts w:ascii="Times New Roman" w:hAnsi="Times New Roman" w:cs="Times New Roman" w:eastAsia="宋体"/>
          <w:b w:val="0"/>
          <w:sz w:val="24"/>
        </w:rPr>
        <w:t>本压力测试不改变旧主实验的结论层级，也不补齐新协议下的全部公平基线。严格意义上，行为输入GRU/MLP或线性下界，以及参数量匹配的AGCRN仍未在该协议中执行；旧协议的GRU、MLP和传统基线不能直接搬入表3-7。</w:t>
      </w:r>
    </w:p>
    <w:p>
      <w:pPr>
        <w:spacing w:before="360" w:after="240" w:line="360" w:lineRule="auto"/>
        <w:ind w:firstLine="0"/>
        <w:jc w:val="both"/>
        <w:outlineLvl w:val="1"/>
      </w:pPr>
      <w:r>
        <w:rPr>
          <w:rFonts w:ascii="Times New Roman" w:hAnsi="Times New Roman" w:cs="Times New Roman" w:eastAsia="黑体"/>
          <w:b/>
          <w:sz w:val="30"/>
        </w:rPr>
        <w:t>3.8 方法设计及证据边界</w:t>
      </w:r>
    </w:p>
    <w:p>
      <w:pPr>
        <w:spacing w:before="0" w:after="0" w:line="300" w:lineRule="auto"/>
        <w:ind w:firstLine="480"/>
        <w:jc w:val="both"/>
      </w:pPr>
      <w:r>
        <w:rPr>
          <w:rFonts w:ascii="Times New Roman" w:hAnsi="Times New Roman" w:cs="Times New Roman" w:eastAsia="宋体"/>
          <w:b w:val="0"/>
          <w:sz w:val="24"/>
        </w:rPr>
        <w:t>本章的方法设计主要体现在面向站内充电节点任务的关系构造、门控组合和统一验证协议，而非声称图卷积、TCN或门控机制本身首次出现。各组件对应的实验证据及适用边界见表3-6。</w:t>
      </w:r>
    </w:p>
    <w:p>
      <w:pPr>
        <w:keepNext/>
        <w:spacing w:before="60" w:after="60" w:line="240" w:lineRule="auto"/>
        <w:ind w:firstLine="0"/>
        <w:jc w:val="center"/>
      </w:pPr>
      <w:r>
        <w:rPr>
          <w:rFonts w:ascii="Times New Roman" w:hAnsi="Times New Roman" w:cs="Times New Roman" w:eastAsia="黑体"/>
          <w:b w:val="0"/>
          <w:sz w:val="21"/>
        </w:rPr>
        <w:t>表3-6 方法设计组件与证据对照</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组件</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本文实现</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现有证据与边界</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LRE三关系图</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训练期负荷耦合、行为共现、轮廓相似关系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MRG-GCN较无图基线更低；单关系与三关系接近，未证明三类均有独立增量</w:t>
            </w:r>
          </w:p>
        </w:tc>
      </w:tr>
      <w:tr>
        <w:trPr>
          <w:cantSplit/>
        </w:trPr>
        <w:tc>
          <w:tcPr>
            <w:tcW w:type="dxa" w:w="2770"/>
            <w:vAlign w:val="center"/>
            <w:tcBorders>
              <w:top w:val="nil"/>
              <w:bottom w:val="nil"/>
              <w:left w:val="nil"/>
              <w:right w:val="nil"/>
            </w:tcBorders>
          </w:tcPr>
          <w:p>
            <w:pPr>
              <w:spacing w:before="0" w:after="0" w:line="240" w:lineRule="auto"/>
              <w:ind w:firstLine="0"/>
              <w:jc w:val="center"/>
            </w:pPr>
            <w:r>
              <w:rPr/>
              <w:t>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t>门控</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两层独立Softmax关系权重</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7种干预均退化；只支持对所检配置的功能依赖</w:t>
            </w:r>
          </w:p>
        </w:tc>
      </w:tr>
      <w:tr>
        <w:trPr>
          <w:cantSplit/>
        </w:trPr>
        <w:tc>
          <w:tcPr>
            <w:tcW w:type="dxa" w:w="2770"/>
            <w:vAlign w:val="center"/>
            <w:tcBorders>
              <w:top w:val="nil"/>
              <w:bottom w:val="nil"/>
              <w:left w:val="nil"/>
              <w:right w:val="nil"/>
            </w:tcBorders>
          </w:tcPr>
          <w:p>
            <w:pPr>
              <w:spacing w:before="0" w:after="0" w:line="240" w:lineRule="auto"/>
              <w:ind w:firstLine="0"/>
              <w:jc w:val="center"/>
            </w:pPr>
            <w:r>
              <w:rPr/>
              <w:t>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t>门控</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按样本、节点和特征融合自身与邻域消息</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已纳入完整模型，未作单独消融，不报告独立增益</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双层传播与跨层融合</w:t>
            </w:r>
          </w:p>
        </w:tc>
        <w:tc>
          <w:tcPr>
            <w:tcW w:type="dxa" w:w="2770"/>
            <w:vAlign w:val="center"/>
            <w:tcBorders>
              <w:top w:val="nil"/>
              <w:bottom w:val="nil"/>
              <w:left w:val="nil"/>
              <w:right w:val="nil"/>
            </w:tcBorders>
          </w:tcPr>
          <w:p>
            <w:pPr>
              <w:spacing w:before="0" w:after="0" w:line="240" w:lineRule="auto"/>
              <w:ind w:firstLine="0"/>
              <w:jc w:val="center"/>
            </w:pPr>
            <w:r>
              <w:rPr/>
              <w:t>融合</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0</m:t>
              </m:r>
              <m:r>
                <m:t>)</m:t>
              </m:r>
            </m:oMath>
            <w:r>
              <w:rPr/>
              <w:t>、</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由完整模型结果支持，未穷举层数和融合形式</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关系随机失活</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训练时整类屏蔽并至少保留一种关系</w:t>
            </w:r>
          </w:p>
        </w:tc>
        <w:tc>
          <w:tcPr>
            <w:tcW w:type="dxa" w:w="2770"/>
            <w:vAlign w:val="center"/>
            <w:tcBorders>
              <w:top w:val="nil"/>
              <w:bottom w:val="nil"/>
              <w:left w:val="nil"/>
              <w:right w:val="nil"/>
            </w:tcBorders>
          </w:tcPr>
          <w:p>
            <w:pPr>
              <w:spacing w:before="0" w:after="0" w:line="240" w:lineRule="auto"/>
              <w:ind w:firstLine="0"/>
              <w:jc w:val="center"/>
            </w:pPr>
            <w:r>
              <w:rPr/>
              <w:t>所检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m:t>
              </m:r>
              <m:r>
                <m:t>0.2</m:t>
              </m:r>
              <m:r>
                <m:t>/</m:t>
              </m:r>
              <m:r>
                <m:t>0.4</m:t>
              </m:r>
            </m:oMath>
            <w:r>
              <w:rPr/>
              <w:t>未见实质收益，主模型关闭</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统一诊断接口</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同键评价、四格还原及参数干预</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为第4章三层机制诊断提供可复核接口，不等同于因果识别</w:t>
            </w:r>
          </w:p>
        </w:tc>
      </w:tr>
    </w:tbl>
    <w:p>
      <w:pPr>
        <w:spacing w:before="240" w:after="180" w:line="300" w:lineRule="auto"/>
        <w:ind w:firstLine="0"/>
        <w:jc w:val="both"/>
        <w:outlineLvl w:val="2"/>
      </w:pPr>
      <w:r>
        <w:rPr>
          <w:rFonts w:ascii="Times New Roman" w:hAnsi="Times New Roman" w:cs="Times New Roman" w:eastAsia="黑体"/>
          <w:b w:val="0"/>
          <w:sz w:val="28"/>
        </w:rPr>
        <w:t>3.8.1 新旧输入协议的对应问题</w:t>
      </w:r>
    </w:p>
    <w:p>
      <w:pPr>
        <w:spacing w:before="0" w:after="0" w:line="300" w:lineRule="auto"/>
        <w:ind w:firstLine="480"/>
        <w:jc w:val="both"/>
      </w:pPr>
      <w:r>
        <w:rPr>
          <w:rFonts w:ascii="Times New Roman" w:hAnsi="Times New Roman" w:cs="Times New Roman" w:eastAsia="宋体"/>
          <w:b w:val="0"/>
          <w:sz w:val="24"/>
        </w:rPr>
        <w:t>旧主实验使用会话最终电量和断开时间重构的节点代理负荷，回答“在固定离线重构序列上，多关系模型能否改善节点短期预测”；严格可见输入协议只使用预测原点前已发生的行为信号，回答“输入权限收紧后，关系结构及其组件是否仍有相对价值”。两者虽均采用96步输入和4步输出，但切分方式、可见信息与预测键不同。旧、新协议分别包含712,360和708,560个测试预测键，绝对MAE不能直接相减并解释为性能退化。</w:t>
      </w:r>
    </w:p>
    <w:p>
      <w:pPr>
        <w:spacing w:before="0" w:after="0" w:line="300" w:lineRule="auto"/>
        <w:ind w:firstLine="480"/>
        <w:jc w:val="both"/>
      </w:pPr>
      <w:r>
        <w:rPr>
          <w:rFonts w:ascii="Times New Roman" w:hAnsi="Times New Roman" w:cs="Times New Roman" w:eastAsia="宋体"/>
          <w:b w:val="0"/>
          <w:sz w:val="24"/>
        </w:rPr>
        <w:t>旧协议具有完整基线、三种子结果和配套机制诊断，因而承担主要预测结论；新协议仅作为压力测试，报告同协议内的模型排序与组件边界。其中，mrg_full的MAE为0.03890，较容量近似匹配的tcn_wide（0.04634）低16.1%；agcrn_full为0.03743，但参数量约为前者的6.1倍，只作为完整能力基线。内部消融中，mrg_fixed_gate相对mrg_full上升5.68%，而mrg_no_refine和mrg_no_skip变化较小；mrg_equal_beta略优于学习β且差异处于种子波动量级，故不主张可学习β在新协议中产生可辨识增益。单关系模型均劣于三关系融合，但不能据此断言每类关系都有独立正增量。</w:t>
      </w:r>
    </w:p>
    <w:p>
      <w:pPr>
        <w:spacing w:before="0" w:after="0" w:line="300" w:lineRule="auto"/>
        <w:ind w:firstLine="480"/>
        <w:jc w:val="both"/>
      </w:pPr>
      <w:r>
        <w:rPr>
          <w:rFonts w:ascii="Times New Roman" w:hAnsi="Times New Roman" w:cs="Times New Roman" w:eastAsia="宋体"/>
          <w:b w:val="0"/>
          <w:sz w:val="24"/>
        </w:rPr>
        <w:t>新协议36项运行均按同一验证选择和早停规则完成并通过逐运行校验。部分变体达到最大轮次，只表明其在给定预算内未触发早停；除非日志显示验证损失仍持续下降或不同配置采用了不同选择规则，否则不据此删除运行或事后增加训练预算。若需形成新协议下的完整性能排行榜，还应补齐相同输入、调参预算、参数量控制和三种子重复的传统与深度学习基线；在此之前，不使用旧协议结果填补新协议空缺。</w:t>
      </w:r>
    </w:p>
    <w:p>
      <w:pPr>
        <w:spacing w:before="360" w:after="240" w:line="360" w:lineRule="auto"/>
        <w:ind w:firstLine="0"/>
        <w:jc w:val="both"/>
        <w:outlineLvl w:val="1"/>
      </w:pPr>
      <w:r>
        <w:rPr>
          <w:rFonts w:ascii="Times New Roman" w:hAnsi="Times New Roman" w:cs="Times New Roman" w:eastAsia="黑体"/>
          <w:b/>
          <w:sz w:val="30"/>
        </w:rPr>
        <w:t>3.9 本章小结</w:t>
      </w:r>
    </w:p>
    <w:p>
      <w:pPr>
        <w:spacing w:before="0" w:after="0" w:line="300" w:lineRule="auto"/>
        <w:ind w:firstLine="480"/>
        <w:jc w:val="both"/>
      </w:pPr>
      <w:r>
        <w:rPr>
          <w:rFonts w:ascii="Times New Roman" w:hAnsi="Times New Roman" w:cs="Times New Roman" w:eastAsia="宋体"/>
          <w:b w:val="0"/>
          <w:sz w:val="24"/>
        </w:rPr>
        <w:t>本章面向10个站内充电节点的节点代理负荷短期预测，构建LRE三种训练期统计关系，并提出以TCN为时间骨干、以关系级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β</m:t>
        </m:r>
      </m:oMath>
      <w:r>
        <w:rPr>
          <w:rFonts w:ascii="Times New Roman" w:hAnsi="Times New Roman" w:cs="Times New Roman" w:eastAsia="宋体"/>
          <w:b w:val="0"/>
          <w:sz w:val="24"/>
        </w:rPr>
        <w:t>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为核心的双层MRG-GCN。模型在相同预测键上的全局MAE为0.01376 kWh/15 min，较TCN下降53.4%，较ARIMA下降39.1%；其MAE和WAPE最低，而RMSE最低值由AGCRN简化变体取得。头部三种图模型的MAE差距与种子波动同级，故不建立稳定排序。</w:t>
      </w:r>
    </w:p>
    <w:p>
      <w:pPr>
        <w:spacing w:before="0" w:after="0" w:line="300" w:lineRule="auto"/>
        <w:ind w:firstLine="480"/>
        <w:jc w:val="both"/>
      </w:pPr>
      <w:r>
        <w:rPr>
          <w:rFonts w:ascii="Times New Roman" w:hAnsi="Times New Roman" w:cs="Times New Roman" w:eastAsia="宋体"/>
          <w:b w:val="0"/>
          <w:sz w:val="24"/>
        </w:rPr>
        <w:t>分层结果显示，事件窗口误差约为稳定窗口的28倍，且事件窗口最低MAE来自GWN简化变体，说明全局优势并未解决稀有事件预测。在事件残差修正实验组内，无图变体的退化最大；关系权重干预则支持模型对所学习层间分配的功能依赖。与此同时，单关系与三关系表现接近，关系随机失活未见实质收益，节点级门控也缺少独立消融证据。下一章将把这些证据按干预归因、蒸馏验证和四格溯源组织为机制诊断协议。</w:t>
      </w:r>
    </w:p>
    <w:p>
      <w:pPr>
        <w:spacing w:before="0" w:after="0" w:line="300" w:lineRule="auto"/>
        <w:ind w:firstLine="480"/>
        <w:jc w:val="both"/>
      </w:pPr>
      <w:r>
        <w:rPr>
          <w:rFonts w:ascii="Times New Roman" w:hAnsi="Times New Roman" w:cs="Times New Roman" w:eastAsia="宋体"/>
          <w:b w:val="0"/>
          <w:sz w:val="24"/>
        </w:rPr>
        <w:t>为核查输入信息权限的影响，本文另按SG-DATA-006-eventtime-v1完成36项新协议运行。该组结果不替换旧主实验，也不与旧MAE直接计算增减幅度；它显示在行为可见输入下，MRG相对容量匹配TCN仍有相对优势，但完整AGCRN能力基线更低，且等权β与学习β未见可辨识差异。因此，本文将旧协议用于主要预测结论，将新协议用于可见性边界和内部设计压力测试，不把两组结果合并为一个总体排名。</w:t>
      </w:r>
    </w:p>
    <w:p>
      <w:pPr>
        <w:sectPr>
          <w:headerReference w:type="default" r:id="rId74"/>
          <w:headerReference w:type="even" r:id="rId75"/>
          <w:footerReference w:type="default" r:id="rId76"/>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第4章  三层机制诊断协议（MDP）与模型可解释性分析</w:t>
      </w:r>
    </w:p>
    <w:p>
      <w:pPr>
        <w:spacing w:before="360" w:after="240" w:line="360" w:lineRule="auto"/>
        <w:ind w:firstLine="0"/>
        <w:jc w:val="both"/>
        <w:outlineLvl w:val="1"/>
      </w:pPr>
      <w:r>
        <w:rPr>
          <w:rFonts w:ascii="Times New Roman" w:hAnsi="Times New Roman" w:cs="Times New Roman" w:eastAsia="黑体"/>
          <w:b/>
          <w:sz w:val="30"/>
        </w:rPr>
        <w:t>4.1 引言：MDP协议的定义与设计原则</w:t>
      </w:r>
    </w:p>
    <w:p>
      <w:pPr>
        <w:spacing w:before="0" w:after="0" w:line="300" w:lineRule="auto"/>
        <w:ind w:firstLine="480"/>
        <w:jc w:val="both"/>
      </w:pPr>
      <w:r>
        <w:rPr>
          <w:rFonts w:ascii="Times New Roman" w:hAnsi="Times New Roman" w:cs="Times New Roman" w:eastAsia="宋体"/>
          <w:b w:val="0"/>
          <w:sz w:val="24"/>
        </w:rPr>
        <w:t>第3章给出了MRG-GCN在共同预测键上的误差表现，但预测精度不能说明模型如何使用关系结构，也不能揭示全局误差的样本构成。特征归因或权重可视化能够展示模型读数</w:t>
      </w:r>
      <w:r>
        <w:rPr>
          <w:rFonts w:ascii="Times New Roman" w:hAnsi="Times New Roman" w:cs="Times New Roman" w:eastAsia="宋体"/>
          <w:b w:val="0"/>
          <w:sz w:val="24"/>
          <w:vertAlign w:val="superscript"/>
        </w:rPr>
        <w:t>[79]</w:t>
      </w:r>
      <w:r>
        <w:rPr>
          <w:rFonts w:ascii="Times New Roman" w:hAnsi="Times New Roman" w:cs="Times New Roman" w:eastAsia="宋体"/>
          <w:b w:val="0"/>
          <w:sz w:val="24"/>
        </w:rPr>
        <w:t>，却无法直接回答关系分配改变后的响应、图模型信息能否被纯时序学生吸收，以及事件样本如何贡献总体误差。针对这三个问题，本文构建三层机制诊断协议（mechanism diagnosis protocol，MDP），以明确的操作和判定边界补充观察式解释。</w:t>
      </w:r>
    </w:p>
    <w:p>
      <w:pPr>
        <w:spacing w:before="0" w:after="0" w:line="300" w:lineRule="auto"/>
        <w:ind w:firstLine="480"/>
        <w:jc w:val="both"/>
      </w:pPr>
      <w:r>
        <w:rPr>
          <w:rFonts w:ascii="Times New Roman" w:hAnsi="Times New Roman" w:cs="Times New Roman" w:eastAsia="宋体"/>
          <w:b w:val="0"/>
          <w:sz w:val="24"/>
        </w:rPr>
        <w:t>MDP按由内到外的顺序设置三个层次。L1为干预归因层，提取并替换关系级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考察模型对关系分配的功能敏感度；L2为蒸馏验证层，以固定图模型为教师、纯TCN为学生，检验所选蒸馏设置能否缩小师生差距；L3为四格溯源层，以目标侧标签事件和冻结规则触发交叉分层，定位不同样本组的误差及其对全局MAE的贡献。每层均包括操作定义、诊断实验和判定边界，整体结构见图4-1，层次与证据边界汇总于表4-1。</w:t>
      </w:r>
    </w:p>
    <w:p>
      <w:pPr>
        <w:spacing w:before="0" w:after="0" w:line="300" w:lineRule="auto"/>
        <w:ind w:firstLine="480"/>
        <w:jc w:val="both"/>
      </w:pPr>
      <w:r>
        <w:rPr>
          <w:rFonts w:ascii="Times New Roman" w:hAnsi="Times New Roman" w:cs="Times New Roman" w:eastAsia="宋体"/>
          <w:b w:val="0"/>
          <w:sz w:val="24"/>
        </w:rPr>
        <w:t>MDP并非将权重可视化、蒸馏和分层统计重新命名，而是以统一的操作对象、对照条件和判定强度组织三类证据。相较于只报告“移除组件后的误差变化”，该协议增加了结构可吸收性和误差样本归属检查，但不承担现实数据生成机制的因果识别。</w:t>
      </w:r>
    </w:p>
    <w:p>
      <w:pPr>
        <w:spacing w:before="60" w:after="60" w:line="240" w:lineRule="auto"/>
        <w:ind w:firstLine="0"/>
        <w:jc w:val="center"/>
      </w:pPr>
      <w:r>
        <w:drawing>
          <wp:inline xmlns:a="http://schemas.openxmlformats.org/drawingml/2006/main" xmlns:pic="http://schemas.openxmlformats.org/drawingml/2006/picture">
            <wp:extent cx="5112000" cy="2877029"/>
            <wp:docPr id="51" name="Picture 51"/>
            <wp:cNvGraphicFramePr>
              <a:graphicFrameLocks noChangeAspect="1"/>
            </wp:cNvGraphicFramePr>
            <a:graphic>
              <a:graphicData uri="http://schemas.openxmlformats.org/drawingml/2006/picture">
                <pic:pic>
                  <pic:nvPicPr>
                    <pic:cNvPr id="0" name="fig4_1_three_layer_framework.png"/>
                    <pic:cNvPicPr/>
                  </pic:nvPicPr>
                  <pic:blipFill>
                    <a:blip r:embed="rId94"/>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图4-1 三层机制诊断协议</w:t>
      </w:r>
    </w:p>
    <w:p>
      <w:pPr>
        <w:spacing w:before="0" w:after="0" w:line="300" w:lineRule="auto"/>
        <w:ind w:firstLine="480"/>
        <w:jc w:val="both"/>
      </w:pPr>
      <w:r>
        <w:rPr>
          <w:rFonts w:ascii="Times New Roman" w:hAnsi="Times New Roman" w:cs="Times New Roman" w:eastAsia="宋体"/>
          <w:b w:val="0"/>
          <w:sz w:val="18"/>
        </w:rPr>
        <w:t>注：从L1关系分配、L2结构知识传递到L3误差分层，依次对应参数干预、知识蒸馏和四格还原。图中仅表示三层诊断的操作顺序与证据汇合关系；L2结论限定于所检学生架构、蒸馏目标和权重范围，具体汇总读数见表4-1及相关结果表。</w:t>
      </w:r>
    </w:p>
    <w:p>
      <w:pPr>
        <w:keepNext/>
        <w:spacing w:before="60" w:after="60" w:line="240" w:lineRule="auto"/>
        <w:ind w:firstLine="0"/>
        <w:jc w:val="center"/>
      </w:pPr>
      <w:r>
        <w:rPr>
          <w:rFonts w:ascii="Times New Roman" w:hAnsi="Times New Roman" w:cs="Times New Roman" w:eastAsia="黑体"/>
          <w:b w:val="0"/>
          <w:sz w:val="21"/>
        </w:rPr>
        <w:t>表4-1 MDP三层机制画像</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层次</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研究问题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操作与证据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本文判定及边界</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L1 干预归因</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模型依赖何种关系分配？</w:t>
            </w:r>
          </w:p>
        </w:tc>
        <w:tc>
          <w:tcPr>
            <w:tcW w:type="dxa" w:w="2078"/>
            <w:vAlign w:val="center"/>
            <w:tcBorders>
              <w:top w:val="nil"/>
              <w:bottom w:val="nil"/>
              <w:left w:val="nil"/>
              <w:right w:val="nil"/>
            </w:tcBorders>
          </w:tcPr>
          <w:p>
            <w:pPr>
              <w:spacing w:before="0" w:after="0" w:line="240" w:lineRule="auto"/>
              <w:ind w:firstLine="0"/>
              <w:jc w:val="center"/>
            </w:pPr>
            <w:r>
              <w:rPr/>
              <w:t>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t>观察；7种前向干预×3种子</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所检替换均退化，支持对学习关系分配的功能依赖；不覆盖连续权重空间，不作数据因果解释</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L2 蒸馏验证</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图模型收益能否被所检纯时序学生吸收？</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StaticGraph→TCN；4个蒸馏权重×3种子</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学生未弥合与教师的差距；结论仅适用于所检学生、目标和权重范围</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L3 四格溯源</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全局误差主要来自何类样本？</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目标侧标签事件×冻结规则触发；样本量加权还原</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事件窗口误差远高于稳定窗口；四格在18项正式运行中均可还原全局MAE</w:t>
            </w:r>
          </w:p>
        </w:tc>
      </w:tr>
    </w:tbl>
    <w:p>
      <w:pPr>
        <w:spacing w:before="360" w:after="240" w:line="360" w:lineRule="auto"/>
        <w:ind w:firstLine="0"/>
        <w:jc w:val="both"/>
        <w:outlineLvl w:val="1"/>
      </w:pPr>
      <w:r>
        <w:rPr>
          <w:rFonts w:ascii="Times New Roman" w:hAnsi="Times New Roman" w:cs="Times New Roman" w:eastAsia="黑体"/>
          <w:b/>
          <w:sz w:val="30"/>
        </w:rPr>
        <w:t>4.2 L1干预归因层（IA）：关系分配的功能依赖</w:t>
      </w:r>
    </w:p>
    <w:p>
      <w:pPr>
        <w:spacing w:before="240" w:after="180" w:line="300" w:lineRule="auto"/>
        <w:ind w:firstLine="0"/>
        <w:jc w:val="both"/>
        <w:outlineLvl w:val="2"/>
      </w:pPr>
      <w:r>
        <w:rPr>
          <w:rFonts w:ascii="Times New Roman" w:hAnsi="Times New Roman" w:cs="Times New Roman" w:eastAsia="黑体"/>
          <w:b w:val="0"/>
          <w:sz w:val="28"/>
        </w:rPr>
        <w:t>4.2.1 观察操作</w:t>
      </w:r>
    </w:p>
    <w:p>
      <w:pPr>
        <w:spacing w:before="0" w:after="0" w:line="300" w:lineRule="auto"/>
        <w:ind w:firstLine="480"/>
        <w:jc w:val="both"/>
      </w:pPr>
      <w:r>
        <w:rPr>
          <w:rFonts w:ascii="Times New Roman" w:hAnsi="Times New Roman" w:cs="Times New Roman" w:eastAsia="宋体"/>
          <w:b w:val="0"/>
          <w:sz w:val="24"/>
        </w:rPr>
        <w:t>从第3章主模型三个随机种子的模型权重文件中，提取两层关系级门控的Softmax输出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1</m:t>
        </m:r>
        <m:r>
          <m:t>)</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2</m:t>
        </m:r>
        <m:r>
          <m:t>)</m:t>
        </m:r>
      </m:oMath>
      <w:r>
        <w:rPr>
          <w:rFonts w:ascii="Times New Roman" w:hAnsi="Times New Roman" w:cs="Times New Roman" w:eastAsia="宋体"/>
          <w:b w:val="0"/>
          <w:sz w:val="24"/>
        </w:rPr>
        <w:t>。它们是层内共享的三关系混合权重，分别对应负荷耦合、行为共现和轮廓相似；并非逐节点贡献，也不能解释为物理因果强度。</w:t>
      </w:r>
    </w:p>
    <w:p>
      <w:pPr>
        <w:spacing w:before="240" w:after="180" w:line="300" w:lineRule="auto"/>
        <w:ind w:firstLine="0"/>
        <w:jc w:val="both"/>
        <w:outlineLvl w:val="2"/>
      </w:pPr>
      <w:r>
        <w:rPr>
          <w:rFonts w:ascii="Times New Roman" w:hAnsi="Times New Roman" w:cs="Times New Roman" w:eastAsia="黑体"/>
          <w:b w:val="0"/>
          <w:sz w:val="28"/>
        </w:rPr>
        <w:t>4.2.2 干预操作</w:t>
      </w:r>
    </w:p>
    <w:p>
      <w:pPr>
        <w:spacing w:before="0" w:after="0" w:line="300" w:lineRule="auto"/>
        <w:ind w:firstLine="480"/>
        <w:jc w:val="both"/>
      </w:pPr>
      <w:r>
        <w:rPr>
          <w:rFonts w:ascii="Times New Roman" w:hAnsi="Times New Roman" w:cs="Times New Roman" w:eastAsia="宋体"/>
          <w:b w:val="0"/>
          <w:sz w:val="24"/>
        </w:rPr>
        <w:t>在保持其余模型参数不变的条件下，将两层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强制替换为指定组合，仅在测试集前向推理。设置包括两层固定为单一关系、两层等权、两层学习值交换，以及保留一层学习值而固定另一层，共7种干预组合；学习值作为第8种基线配置。该操作属于模型内部的参数干预敏感度分析，借鉴“改变内部单元并观察输出”的解释思路</w:t>
      </w:r>
      <w:r>
        <w:rPr>
          <w:rFonts w:ascii="Times New Roman" w:hAnsi="Times New Roman" w:cs="Times New Roman" w:eastAsia="宋体"/>
          <w:b w:val="0"/>
          <w:sz w:val="24"/>
          <w:vertAlign w:val="superscript"/>
        </w:rPr>
        <w:t>[80]</w:t>
      </w:r>
      <w:r>
        <w:rPr>
          <w:rFonts w:ascii="Times New Roman" w:hAnsi="Times New Roman" w:cs="Times New Roman" w:eastAsia="宋体"/>
          <w:b w:val="0"/>
          <w:sz w:val="24"/>
        </w:rPr>
        <w:t>，不识别数据生成过程中的因果效应。</w:t>
      </w:r>
    </w:p>
    <w:p>
      <w:pPr>
        <w:spacing w:before="240" w:after="180" w:line="300" w:lineRule="auto"/>
        <w:ind w:firstLine="0"/>
        <w:jc w:val="both"/>
        <w:outlineLvl w:val="2"/>
      </w:pPr>
      <w:r>
        <w:rPr>
          <w:rFonts w:ascii="Times New Roman" w:hAnsi="Times New Roman" w:cs="Times New Roman" w:eastAsia="黑体"/>
          <w:b w:val="0"/>
          <w:sz w:val="28"/>
        </w:rPr>
        <w:t>4.2.3 观察证据</w:t>
      </w:r>
    </w:p>
    <w:p>
      <w:pPr>
        <w:spacing w:before="0" w:after="0" w:line="300" w:lineRule="auto"/>
        <w:ind w:firstLine="480"/>
        <w:jc w:val="both"/>
      </w:pPr>
      <w:r>
        <w:rPr>
          <w:rFonts w:ascii="Times New Roman" w:hAnsi="Times New Roman" w:cs="Times New Roman" w:eastAsia="宋体"/>
          <w:b w:val="0"/>
          <w:sz w:val="24"/>
        </w:rPr>
        <w:t>两层关系级权重的观察结果见表4-2。第一层中，行为共现关系在三个种子下均为最大权重，均值为0.4022；第二层中，负荷耦合均值最高，为0.3525，但seed-2025中行为共现权重略高于负荷耦合。因此，第一层的行为共现主序可复现；第二层“负荷耦合较高”只是一项三种子均值观察，不建立逐种子稳定排序。</w:t>
      </w:r>
    </w:p>
    <w:p>
      <w:pPr>
        <w:keepNext/>
        <w:spacing w:before="60" w:after="60" w:line="240" w:lineRule="auto"/>
        <w:ind w:firstLine="0"/>
        <w:jc w:val="center"/>
      </w:pPr>
      <w:r>
        <w:rPr>
          <w:rFonts w:ascii="Times New Roman" w:hAnsi="Times New Roman" w:cs="Times New Roman" w:eastAsia="黑体"/>
          <w:b w:val="0"/>
          <w:sz w:val="21"/>
        </w:rPr>
        <w:t>表4-2 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黑体"/>
          <w:b w:val="0"/>
          <w:sz w:val="21"/>
        </w:rPr>
        <w:t>门控权重</w:t>
      </w:r>
    </w:p>
    <w:tbl>
      <w:tblPr>
        <w:tblW w:type="dxa" w:w="8312"/>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val="true"/>
        </w:trPr>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层次</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关系</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seed-2024</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seed-2025</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seed-2026</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w:t>
            </w:r>
          </w:p>
        </w:tc>
        <w:tc>
          <w:tcPr>
            <w:tcW w:type="dxa" w:w="1187"/>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样本标准差</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0.3386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0.3481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0.0047</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0.4053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0.4030</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0.3985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0.4022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0.0035</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GCN1</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轮廓相似</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0.2514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0.2584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0.2534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0.2544</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0.0036</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负荷耦合</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0.3537</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0.3465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0.3573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0.3525</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0.0055</w:t>
            </w:r>
          </w:p>
        </w:tc>
      </w:tr>
      <w:tr>
        <w:trPr>
          <w:cantSplit/>
        </w:trPr>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行为共现</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0.3026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0.3506</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0.3133</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0.3222</w:t>
            </w:r>
          </w:p>
        </w:tc>
        <w:tc>
          <w:tcPr>
            <w:tcW w:type="dxa" w:w="1187"/>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0.0252</w:t>
            </w:r>
          </w:p>
        </w:tc>
      </w:tr>
      <w:tr>
        <w:trPr>
          <w:cantSplit/>
        </w:trPr>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GCN2</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轮廓相似</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0.3437</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0.3029</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0.3294</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0.3253</w:t>
            </w:r>
          </w:p>
        </w:tc>
        <w:tc>
          <w:tcPr>
            <w:tcW w:type="dxa" w:w="1187"/>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0.0207</w:t>
            </w:r>
          </w:p>
        </w:tc>
      </w:tr>
    </w:tbl>
    <w:p>
      <w:pPr>
        <w:spacing w:before="0" w:after="0" w:line="300" w:lineRule="auto"/>
        <w:ind w:firstLine="480"/>
        <w:jc w:val="both"/>
      </w:pPr>
      <w:r>
        <w:rPr>
          <w:rFonts w:ascii="Times New Roman" w:hAnsi="Times New Roman" w:cs="Times New Roman" w:eastAsia="宋体"/>
          <w:b w:val="0"/>
          <w:sz w:val="24"/>
        </w:rPr>
        <w:t>注：数值由三个随机种子的正式模型权重文件提取，标准差为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3</m:t>
        </m:r>
      </m:oMath>
      <w:r>
        <w:rPr>
          <w:rFonts w:ascii="Times New Roman" w:hAnsi="Times New Roman" w:cs="Times New Roman" w:eastAsia="宋体"/>
          <w:b w:val="0"/>
          <w:sz w:val="24"/>
        </w:rPr>
        <w:t>样本标准差，分母为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1</m:t>
        </m:r>
      </m:oMath>
      <w:r>
        <w:rPr>
          <w:rFonts w:ascii="Times New Roman" w:hAnsi="Times New Roman" w:cs="Times New Roman" w:eastAsia="宋体"/>
          <w:b w:val="0"/>
          <w:sz w:val="24"/>
        </w:rPr>
        <w:t>，对应自由度为2；不进行统计显著性检验。</w:t>
      </w:r>
    </w:p>
    <w:p>
      <w:pPr>
        <w:spacing w:before="240" w:after="180" w:line="300" w:lineRule="auto"/>
        <w:ind w:firstLine="0"/>
        <w:jc w:val="both"/>
        <w:outlineLvl w:val="2"/>
      </w:pPr>
      <w:r>
        <w:rPr>
          <w:rFonts w:ascii="Times New Roman" w:hAnsi="Times New Roman" w:cs="Times New Roman" w:eastAsia="黑体"/>
          <w:b w:val="0"/>
          <w:sz w:val="28"/>
        </w:rPr>
        <w:t>4.2.4 干预证据</w:t>
      </w:r>
    </w:p>
    <w:p>
      <w:pPr>
        <w:spacing w:before="0" w:after="0" w:line="300" w:lineRule="auto"/>
        <w:ind w:firstLine="480"/>
        <w:jc w:val="both"/>
      </w:pPr>
      <w:r>
        <w:rPr>
          <w:rFonts w:ascii="Times New Roman" w:hAnsi="Times New Roman" w:cs="Times New Roman" w:eastAsia="宋体"/>
          <w:b w:val="0"/>
          <w:sz w:val="24"/>
        </w:rPr>
        <w:t>两层三关系</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的种子离散度与均值见图4-2。第一层以行为共现权重最高（0.402±0.003），第二层三类关系更接近，其中负荷耦合为0.353±0.006；这些观察仅描述当前模型的关系分配。图4-3显示，学习值基线的全局MAE为0.01376 kWh/15 min；7种干预的MAE均升高，范围为0.02695至0.04591。最小退化来自“第一层保持学习值、第二层固定为轮廓相似”，为95.9%；两层等权和交换两层学习值分别退化143.8%和148.4%。这些数值均为三种子均值，误差棒为跨种子标准差。</w:t>
      </w:r>
    </w:p>
    <w:p>
      <w:pPr>
        <w:spacing w:before="60" w:after="60" w:line="240" w:lineRule="auto"/>
        <w:ind w:firstLine="0"/>
        <w:jc w:val="center"/>
      </w:pPr>
      <w:r>
        <w:drawing>
          <wp:inline xmlns:a="http://schemas.openxmlformats.org/drawingml/2006/main" xmlns:pic="http://schemas.openxmlformats.org/drawingml/2006/picture">
            <wp:extent cx="5112000" cy="2645539"/>
            <wp:docPr id="52" name="Picture 52"/>
            <wp:cNvGraphicFramePr>
              <a:graphicFrameLocks noChangeAspect="1"/>
            </wp:cNvGraphicFramePr>
            <a:graphic>
              <a:graphicData uri="http://schemas.openxmlformats.org/drawingml/2006/picture">
                <pic:pic>
                  <pic:nvPicPr>
                    <pic:cNvPr id="0" name="fig4_2_beta_profile.png"/>
                    <pic:cNvPicPr/>
                  </pic:nvPicPr>
                  <pic:blipFill>
                    <a:blip r:embed="rId95"/>
                    <a:stretch>
                      <a:fillRect/>
                    </a:stretch>
                  </pic:blipFill>
                  <pic:spPr>
                    <a:xfrm>
                      <a:off x="0" y="0"/>
                      <a:ext cx="5112000" cy="264553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图4-2 两层关系级β门控权重画像</w:t>
      </w:r>
    </w:p>
    <w:p>
      <w:pPr>
        <w:spacing w:before="0" w:after="0" w:line="300" w:lineRule="auto"/>
        <w:ind w:firstLine="480"/>
        <w:jc w:val="both"/>
      </w:pPr>
      <w:r>
        <w:rPr>
          <w:rFonts w:ascii="Times New Roman" w:hAnsi="Times New Roman" w:cs="Times New Roman" w:eastAsia="宋体"/>
          <w:b w:val="0"/>
          <w:sz w:val="18"/>
        </w:rPr>
        <w:t>注：StaticGraph正式三种子中，空心点表示各随机种子的Softmax权重，实心点与误差棒表示均值±跨种子样本标准差。每层三类固定关系权重之和为1；该图为观察性参数画像，不等同于节点级门控或关系因果效应。</w:t>
      </w:r>
    </w:p>
    <w:p>
      <w:pPr>
        <w:spacing w:before="60" w:after="60" w:line="240" w:lineRule="auto"/>
        <w:ind w:firstLine="0"/>
        <w:jc w:val="center"/>
      </w:pPr>
      <w:r>
        <w:drawing>
          <wp:inline xmlns:a="http://schemas.openxmlformats.org/drawingml/2006/main" xmlns:pic="http://schemas.openxmlformats.org/drawingml/2006/picture">
            <wp:extent cx="5112000" cy="2634632"/>
            <wp:docPr id="53" name="Picture 53"/>
            <wp:cNvGraphicFramePr>
              <a:graphicFrameLocks noChangeAspect="1"/>
            </wp:cNvGraphicFramePr>
            <a:graphic>
              <a:graphicData uri="http://schemas.openxmlformats.org/drawingml/2006/picture">
                <pic:pic>
                  <pic:nvPicPr>
                    <pic:cNvPr id="0" name="fig4_3_intervention.png"/>
                    <pic:cNvPicPr/>
                  </pic:nvPicPr>
                  <pic:blipFill>
                    <a:blip r:embed="rId96"/>
                    <a:stretch>
                      <a:fillRect/>
                    </a:stretch>
                  </pic:blipFill>
                  <pic:spPr>
                    <a:xfrm>
                      <a:off x="0" y="0"/>
                      <a:ext cx="5112000" cy="26346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图4-3 关系级门控参数干预结果</w:t>
      </w:r>
    </w:p>
    <w:p>
      <w:pPr>
        <w:spacing w:before="0" w:after="0" w:line="300" w:lineRule="auto"/>
        <w:ind w:firstLine="480"/>
        <w:jc w:val="both"/>
      </w:pPr>
      <w:r>
        <w:rPr>
          <w:rFonts w:ascii="Times New Roman" w:hAnsi="Times New Roman" w:cs="Times New Roman" w:eastAsia="宋体"/>
          <w:b w:val="0"/>
          <w:sz w:val="18"/>
        </w:rPr>
        <w:t>注：蓝色为学习值基线，其他配置强制替换两层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18"/>
        </w:rPr>
        <w:t>后仅作前向推理。柱高为三种子均值，误差棒为跨种子标准差；百分比相对于学习值基线，正值表示退化。</w:t>
      </w:r>
    </w:p>
    <w:p>
      <w:pPr>
        <w:spacing w:before="240" w:after="180" w:line="300" w:lineRule="auto"/>
        <w:ind w:firstLine="0"/>
        <w:jc w:val="both"/>
        <w:outlineLvl w:val="2"/>
      </w:pPr>
      <w:r>
        <w:rPr>
          <w:rFonts w:ascii="Times New Roman" w:hAnsi="Times New Roman" w:cs="Times New Roman" w:eastAsia="黑体"/>
          <w:b w:val="0"/>
          <w:sz w:val="28"/>
        </w:rPr>
        <w:t>4.2.5 L1判定结论</w:t>
      </w:r>
    </w:p>
    <w:p>
      <w:pPr>
        <w:spacing w:before="0" w:after="0" w:line="300" w:lineRule="auto"/>
        <w:ind w:firstLine="480"/>
        <w:jc w:val="both"/>
      </w:pPr>
      <w:r>
        <w:rPr>
          <w:rFonts w:ascii="Times New Roman" w:hAnsi="Times New Roman" w:cs="Times New Roman" w:eastAsia="宋体"/>
          <w:b w:val="0"/>
          <w:sz w:val="24"/>
        </w:rPr>
        <w:t>L1的观察和干预结果共同表明，在旧协议的训练后前向替换中，先验等权、固定单关系或层间交换均不能替代学习值。该结论限于所检7种内部参数替换，不适用于重新训练后的等权模型；它也不说明统计关系具有现实因果作用或当前权重是全局最优解。</w:t>
      </w:r>
    </w:p>
    <w:p>
      <w:pPr>
        <w:spacing w:before="360" w:after="240" w:line="360" w:lineRule="auto"/>
        <w:ind w:firstLine="0"/>
        <w:jc w:val="both"/>
        <w:outlineLvl w:val="1"/>
      </w:pPr>
      <w:r>
        <w:rPr>
          <w:rFonts w:ascii="Times New Roman" w:hAnsi="Times New Roman" w:cs="Times New Roman" w:eastAsia="黑体"/>
          <w:b/>
          <w:sz w:val="30"/>
        </w:rPr>
        <w:t>4.3 L2蒸馏验证层（DV）：结构信息的可吸收性</w:t>
      </w:r>
    </w:p>
    <w:p>
      <w:pPr>
        <w:spacing w:before="240" w:after="180" w:line="300" w:lineRule="auto"/>
        <w:ind w:firstLine="0"/>
        <w:jc w:val="both"/>
        <w:outlineLvl w:val="2"/>
      </w:pPr>
      <w:r>
        <w:rPr>
          <w:rFonts w:ascii="Times New Roman" w:hAnsi="Times New Roman" w:cs="Times New Roman" w:eastAsia="黑体"/>
          <w:b w:val="0"/>
          <w:sz w:val="28"/>
        </w:rPr>
        <w:t>4.3.1 协议操作</w:t>
      </w:r>
    </w:p>
    <w:p>
      <w:pPr>
        <w:spacing w:before="0" w:after="0" w:line="300" w:lineRule="auto"/>
        <w:ind w:firstLine="480"/>
        <w:jc w:val="both"/>
      </w:pPr>
      <w:r>
        <w:rPr>
          <w:rFonts w:ascii="Times New Roman" w:hAnsi="Times New Roman" w:cs="Times New Roman" w:eastAsia="宋体"/>
          <w:b w:val="0"/>
          <w:sz w:val="24"/>
        </w:rPr>
        <w:t>L2采用知识蒸馏</w:t>
      </w:r>
      <w:r>
        <w:rPr>
          <w:rFonts w:ascii="Times New Roman" w:hAnsi="Times New Roman" w:cs="Times New Roman" w:eastAsia="宋体"/>
          <w:b w:val="0"/>
          <w:sz w:val="24"/>
          <w:vertAlign w:val="superscript"/>
        </w:rPr>
        <w:t>[81]</w:t>
      </w:r>
      <w:r>
        <w:rPr>
          <w:rFonts w:ascii="Times New Roman" w:hAnsi="Times New Roman" w:cs="Times New Roman" w:eastAsia="宋体"/>
          <w:b w:val="0"/>
          <w:sz w:val="24"/>
        </w:rPr>
        <w:t>检验图模型预测信号能否被纯时序学生吸收。教师为冻结的StaticGraph，学生为不含图输入的TCN；教师参数在训练期间始终固定。目标值、教师预测和学生预测均处于训练集目标标准化空间，学生损失为</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ℒ</m:t>
            </m:r>
          </m:e>
          <m:sub>
            <m:r>
              <m:t>KD</m:t>
            </m:r>
          </m:sub>
        </m:sSub>
        <m:r>
          <m:t>=</m:t>
        </m:r>
        <m:sSub>
          <m:sSubPr/>
          <m:e>
            <m:r>
              <m:t>ℒ</m:t>
            </m:r>
          </m:e>
          <m:sub>
            <m:r>
              <m:t>1</m:t>
            </m:r>
          </m:sub>
        </m:sSub>
        <m:r>
          <m:t>(</m:t>
        </m:r>
        <m:sSub>
          <m:sSubPr/>
          <m:e>
            <m:r>
              <m:t>y</m:t>
            </m:r>
            <m:r>
              <m:t>ˆ</m:t>
            </m:r>
          </m:e>
          <m:sub>
            <m:r>
              <m:t>s</m:t>
            </m:r>
          </m:sub>
        </m:sSub>
        <m:r>
          <m:t>,</m:t>
        </m:r>
        <m:r>
          <m:t>y</m:t>
        </m:r>
        <m:r>
          <m:t>)</m:t>
        </m:r>
        <m:r>
          <m:t>+</m:t>
        </m:r>
        <m:r>
          <m:t>α</m:t>
        </m:r>
        <m:r>
          <m:t>MSE</m:t>
        </m:r>
        <m:r>
          <m:t>⁡</m:t>
        </m:r>
        <m:r>
          <m:t>(</m:t>
        </m:r>
        <m:sSub>
          <m:sSubPr/>
          <m:e>
            <m:r>
              <m:t>y</m:t>
            </m:r>
            <m:r>
              <m:t>ˆ</m:t>
            </m:r>
          </m:e>
          <m:sub>
            <m:r>
              <m:t>s</m:t>
            </m:r>
          </m:sub>
        </m:sSub>
        <m:r>
          <m:t>,</m:t>
        </m:r>
        <m:sSub>
          <m:sSubPr/>
          <m:e>
            <m:r>
              <m:t>y</m:t>
            </m:r>
            <m:r>
              <m:t>ˆ</m:t>
            </m:r>
          </m:e>
          <m:sub>
            <m:r>
              <m:t>t</m:t>
            </m:r>
          </m:sub>
        </m:sSub>
        <m:r>
          <m:t>)</m:t>
        </m:r>
      </m:oMath>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s</m:t>
            </m:r>
          </m:sub>
        </m:sSub>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y</m:t>
            </m:r>
            <m:r>
              <m:t>ˆ</m:t>
            </m:r>
          </m:e>
          <m:sub>
            <m:r>
              <m:t>t</m:t>
            </m:r>
          </m:sub>
        </m:sSub>
      </m:oMath>
      <w:r>
        <w:rPr>
          <w:rFonts w:ascii="Times New Roman" w:hAnsi="Times New Roman" w:cs="Times New Roman" w:eastAsia="宋体"/>
          <w:b w:val="0"/>
          <w:sz w:val="24"/>
        </w:rPr>
        <w:t>分别为学生与教师预测。蒸馏权重取</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m:t>
        </m:r>
        <m:r>
          <m:t>0.1,0.5,1.0,2.0</m:t>
        </m:r>
        <m:r>
          <m:t>}</m:t>
        </m:r>
      </m:oMath>
      <w:r>
        <w:rPr>
          <w:rFonts w:ascii="Times New Roman" w:hAnsi="Times New Roman" w:cs="Times New Roman" w:eastAsia="宋体"/>
          <w:b w:val="0"/>
          <w:sz w:val="24"/>
        </w:rPr>
        <w:t>，每一权重重复三种子，共12次训练；模型选择仍依据验证集目标值MAE。该层检验的是“所检学生和目标能否逼近教师”，而不是图结构在任何模型中是否可替代。</w:t>
      </w:r>
    </w:p>
    <w:p>
      <w:pPr>
        <w:spacing w:before="240" w:after="180" w:line="300" w:lineRule="auto"/>
        <w:ind w:firstLine="0"/>
        <w:jc w:val="both"/>
        <w:outlineLvl w:val="2"/>
      </w:pPr>
      <w:r>
        <w:rPr>
          <w:rFonts w:ascii="Times New Roman" w:hAnsi="Times New Roman" w:cs="Times New Roman" w:eastAsia="黑体"/>
          <w:b w:val="0"/>
          <w:sz w:val="28"/>
        </w:rPr>
        <w:t>4.3.2 诊断实验</w:t>
      </w:r>
    </w:p>
    <w:p>
      <w:pPr>
        <w:spacing w:before="0" w:after="0" w:line="300" w:lineRule="auto"/>
        <w:ind w:firstLine="480"/>
        <w:jc w:val="both"/>
      </w:pPr>
      <w:r>
        <w:rPr>
          <w:rFonts w:ascii="Times New Roman" w:hAnsi="Times New Roman" w:cs="Times New Roman" w:eastAsia="宋体"/>
          <w:b w:val="0"/>
          <w:sz w:val="24"/>
        </w:rPr>
        <w:t>四个蒸馏权重下，学生的全局MAE均接近无蒸馏TCN的0.02952，且远高于教师的0.01376；结果见表4-3。数值最低的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2</m:t>
        </m:r>
      </m:oMath>
      <w:r>
        <w:rPr>
          <w:rFonts w:ascii="Times New Roman" w:hAnsi="Times New Roman" w:cs="Times New Roman" w:eastAsia="宋体"/>
          <w:b w:val="0"/>
          <w:sz w:val="24"/>
        </w:rPr>
        <w:t>仍约为教师MAE的2.1倍。</w:t>
      </w:r>
    </w:p>
    <w:p>
      <w:pPr>
        <w:keepNext/>
        <w:spacing w:before="60" w:after="60" w:line="240" w:lineRule="auto"/>
        <w:ind w:firstLine="0"/>
        <w:jc w:val="center"/>
      </w:pPr>
      <w:r>
        <w:rPr>
          <w:rFonts w:ascii="Times New Roman" w:hAnsi="Times New Roman" w:cs="Times New Roman" w:eastAsia="黑体"/>
          <w:b w:val="0"/>
          <w:sz w:val="21"/>
        </w:rPr>
        <w:t>表4-3 GCN→TCN知识蒸馏结果</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Pr/>
              <w:t>蒸馏权重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seed-2024</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seed-2025</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seed-2026</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均值±SD</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相对教师倍数</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0.02946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0.02920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0.02934±0.00013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0.02918</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0.02931±0.00021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0.02957</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0.02934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0.02941±0.00014</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2.14×</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0.02914</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0.02925</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0.02923</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0.02921±0.00006</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2.12×</w:t>
            </w:r>
          </w:p>
        </w:tc>
      </w:tr>
    </w:tbl>
    <w:p>
      <w:pPr>
        <w:spacing w:before="0" w:after="0" w:line="300" w:lineRule="auto"/>
        <w:ind w:firstLine="480"/>
        <w:jc w:val="both"/>
      </w:pPr>
      <w:r>
        <w:rPr>
          <w:rFonts w:ascii="Times New Roman" w:hAnsi="Times New Roman" w:cs="Times New Roman" w:eastAsia="宋体"/>
          <w:b w:val="0"/>
          <w:sz w:val="24"/>
        </w:rPr>
        <w:t>注：教师StaticGraph的三种子全局MAE为0.01376，纯TCN无蒸馏基线为0.02952；均值与标准差按3个种子计算。结论限定于给定学生架构、蒸馏目标与</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范围。</w:t>
      </w:r>
    </w:p>
    <w:p>
      <w:pPr>
        <w:spacing w:before="240" w:after="180" w:line="300" w:lineRule="auto"/>
        <w:ind w:firstLine="0"/>
        <w:jc w:val="both"/>
        <w:outlineLvl w:val="2"/>
      </w:pPr>
      <w:r>
        <w:rPr>
          <w:rFonts w:ascii="Times New Roman" w:hAnsi="Times New Roman" w:cs="Times New Roman" w:eastAsia="黑体"/>
          <w:b w:val="0"/>
          <w:sz w:val="28"/>
        </w:rPr>
        <w:t>4.3.3 L2判定结论</w:t>
      </w:r>
    </w:p>
    <w:p>
      <w:pPr>
        <w:spacing w:before="0" w:after="0" w:line="300" w:lineRule="auto"/>
        <w:ind w:firstLine="480"/>
        <w:jc w:val="both"/>
      </w:pPr>
      <w:r>
        <w:rPr>
          <w:rFonts w:ascii="Times New Roman" w:hAnsi="Times New Roman" w:cs="Times New Roman" w:eastAsia="宋体"/>
          <w:b w:val="0"/>
          <w:sz w:val="24"/>
        </w:rPr>
        <w:t>在本实验的TCN学生、教师预测蒸馏目标和四个</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oMath>
      <w:r>
        <w:rPr>
          <w:rFonts w:ascii="Times New Roman" w:hAnsi="Times New Roman" w:cs="Times New Roman" w:eastAsia="宋体"/>
          <w:b w:val="0"/>
          <w:sz w:val="24"/>
        </w:rPr>
        <w:t>取值下，蒸馏未弥合师生差距。该结果与L1相互补充：前者说明学习关系分配对当前模型有功能影响，后者说明该预测收益未被所检纯时序学生吸收。它不支持“图结构不可替代”的全称判断；更大容量学生、不同蒸馏目标或其他训练策略仍有待检验。</w:t>
      </w:r>
    </w:p>
    <w:p>
      <w:pPr>
        <w:spacing w:before="360" w:after="240" w:line="360" w:lineRule="auto"/>
        <w:ind w:firstLine="0"/>
        <w:jc w:val="both"/>
        <w:outlineLvl w:val="1"/>
      </w:pPr>
      <w:r>
        <w:rPr>
          <w:rFonts w:ascii="Times New Roman" w:hAnsi="Times New Roman" w:cs="Times New Roman" w:eastAsia="黑体"/>
          <w:b/>
          <w:sz w:val="30"/>
        </w:rPr>
        <w:t>4.4 L3四格溯源层（FET）：全局误差构成</w:t>
      </w:r>
    </w:p>
    <w:p>
      <w:pPr>
        <w:spacing w:before="240" w:after="180" w:line="300" w:lineRule="auto"/>
        <w:ind w:firstLine="0"/>
        <w:jc w:val="both"/>
        <w:outlineLvl w:val="2"/>
      </w:pPr>
      <w:r>
        <w:rPr>
          <w:rFonts w:ascii="Times New Roman" w:hAnsi="Times New Roman" w:cs="Times New Roman" w:eastAsia="黑体"/>
          <w:b w:val="0"/>
          <w:sz w:val="28"/>
        </w:rPr>
        <w:t>4.4.1 协议操作</w:t>
      </w:r>
    </w:p>
    <w:p>
      <w:pPr>
        <w:spacing w:before="0" w:after="0" w:line="300" w:lineRule="auto"/>
        <w:ind w:firstLine="480"/>
        <w:jc w:val="both"/>
      </w:pPr>
      <w:r>
        <w:rPr>
          <w:rFonts w:ascii="Times New Roman" w:hAnsi="Times New Roman" w:cs="Times New Roman" w:eastAsia="宋体"/>
          <w:b w:val="0"/>
          <w:sz w:val="24"/>
        </w:rPr>
        <w:t>L3将测试预测键按目标侧标签事件target_event与冻结规则触发rule_trigger交叉为四组：标签事件/规则触发、标签事件/规则未触发、非标签事件/规则触发和非标签事件/规则未触发。前者是事后评价标签，后者是预测时刻可见的规则信号；二者并非分类器的预测与真值，因而不采用混淆矩阵或分类错误术语。</w:t>
      </w:r>
    </w:p>
    <w:p>
      <w:pPr>
        <w:spacing w:before="240" w:after="180" w:line="300" w:lineRule="auto"/>
        <w:ind w:firstLine="0"/>
        <w:jc w:val="both"/>
        <w:outlineLvl w:val="2"/>
      </w:pPr>
      <w:r>
        <w:rPr>
          <w:rFonts w:ascii="Times New Roman" w:hAnsi="Times New Roman" w:cs="Times New Roman" w:eastAsia="黑体"/>
          <w:b w:val="0"/>
          <w:sz w:val="28"/>
        </w:rPr>
        <w:t>4.4.2 诊断实验</w:t>
      </w:r>
    </w:p>
    <w:p>
      <w:pPr>
        <w:spacing w:before="0" w:after="0" w:line="300" w:lineRule="auto"/>
        <w:ind w:firstLine="480"/>
        <w:jc w:val="both"/>
      </w:pPr>
      <w:r>
        <w:rPr>
          <w:rFonts w:ascii="Times New Roman" w:hAnsi="Times New Roman" w:cs="Times New Roman" w:eastAsia="宋体"/>
          <w:b w:val="0"/>
          <w:sz w:val="24"/>
        </w:rPr>
        <w:t>原主实验三种子均使用StaticGraph逐键预测重建四格，而不再使用AdaptiveGraph单种子示例。三种子在四个格中的样本量完全一致：标签事件/规则触发235个，标签事件/规则未触发9,925个，非标签事件/规则触发2,825个，非标签事件/规则未触发699,375个。三种子均值结果见表4-4，格内标准差用于描述种子波动；它们不是独立场站样本，也不用于显著性检验。</w:t>
      </w:r>
    </w:p>
    <w:p>
      <w:pPr>
        <w:keepNext/>
        <w:spacing w:before="60" w:after="60" w:line="240" w:lineRule="auto"/>
        <w:ind w:firstLine="0"/>
        <w:jc w:val="center"/>
      </w:pPr>
      <w:r>
        <w:rPr>
          <w:rFonts w:ascii="Times New Roman" w:hAnsi="Times New Roman" w:cs="Times New Roman" w:eastAsia="黑体"/>
          <w:b w:val="0"/>
          <w:sz w:val="21"/>
        </w:rPr>
        <w:t>表4-4 原正式MRG-GCN三种子四格误差溯源</w:t>
      </w:r>
    </w:p>
    <w:tbl>
      <w:tblPr>
        <w:tblW w:type="dxa" w:w="8312"/>
        <w:jc w:val="center"/>
        <w:tblLayout w:type="fixed"/>
        <w:tblLook w:firstColumn="1" w:firstRow="1" w:lastColumn="0" w:lastRow="0" w:noHBand="0" w:noVBand="1" w:val="04A0"/>
      </w:tblPr>
      <w:tblGrid>
        <w:gridCol w:w="1385"/>
        <w:gridCol w:w="1385"/>
        <w:gridCol w:w="1385"/>
        <w:gridCol w:w="1385"/>
        <w:gridCol w:w="1385"/>
        <w:gridCol w:w="1385"/>
      </w:tblGrid>
      <w:tr>
        <w:trPr>
          <w:cantSplit/>
          <w:tblHeader w:val="true"/>
        </w:trPr>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分组</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target_event</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rule_trigger</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样本量</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占比</w:t>
            </w:r>
          </w:p>
        </w:tc>
        <w:tc>
          <w:tcPr>
            <w:tcW w:type="dxa" w:w="1385"/>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MAE（均值±SD）</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标签事件/规则触发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235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0.0330%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0.21723±0.00598</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标签事件/规则未触发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9,925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1.3933%</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0.27747±0.00098</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非标签事件/规则触发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2,825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0.3966%</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0.07254±0.00591</w:t>
            </w:r>
          </w:p>
        </w:tc>
      </w:tr>
      <w:tr>
        <w:trPr>
          <w:cantSplit/>
        </w:trPr>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非标签事件/规则未触发</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699,375</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98.1772%</w:t>
            </w:r>
          </w:p>
        </w:tc>
        <w:tc>
          <w:tcPr>
            <w:tcW w:type="dxa" w:w="1385"/>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0.00971±0.00019</w:t>
            </w:r>
          </w:p>
        </w:tc>
      </w:tr>
      <w:tr>
        <w:trPr>
          <w:cantSplit/>
        </w:trPr>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合计</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712,360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100.0000%</w:t>
            </w:r>
          </w:p>
        </w:tc>
        <w:tc>
          <w:tcPr>
            <w:tcW w:type="dxa" w:w="1385"/>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0.01376±0.00023</w:t>
            </w:r>
          </w:p>
        </w:tc>
      </w:tr>
    </w:tbl>
    <w:p>
      <w:pPr>
        <w:spacing w:before="0" w:after="0" w:line="300" w:lineRule="auto"/>
        <w:ind w:firstLine="480"/>
        <w:jc w:val="both"/>
      </w:pPr>
      <w:r>
        <w:rPr>
          <w:rFonts w:ascii="Times New Roman" w:hAnsi="Times New Roman" w:cs="Times New Roman" w:eastAsia="宋体"/>
          <w:b w:val="0"/>
          <w:sz w:val="24"/>
        </w:rPr>
        <w:t>注：四格MAE为三种子均值±样本标准差；原四格RMSE和WAPE未在本次三种子锁定汇总中重建，故不填入未经核验的数值。</w:t>
      </w:r>
    </w:p>
    <w:p>
      <w:pPr>
        <w:spacing w:before="0" w:after="0" w:line="300" w:lineRule="auto"/>
        <w:ind w:firstLine="480"/>
        <w:jc w:val="both"/>
      </w:pPr>
      <w:r>
        <w:rPr>
          <w:rFonts w:ascii="Times New Roman" w:hAnsi="Times New Roman" w:cs="Times New Roman" w:eastAsia="宋体"/>
          <w:b w:val="0"/>
          <w:sz w:val="24"/>
        </w:rPr>
        <w:t>同一四格的样本组成、三种子MAE和误差贡献见图4-4。图4-5的三模型残差密度、图4-6的事件分数分箱结果仍为seed-2024的描述性诊断：事件相关样本的残差分布更宽，强事件分数档的平均绝对误差最高。二者补充四格中的样本量—误差关系，但不替代三种子主四格证据。</w:t>
      </w:r>
    </w:p>
    <w:p>
      <w:pPr>
        <w:spacing w:before="60" w:after="60" w:line="240" w:lineRule="auto"/>
        <w:ind w:firstLine="0"/>
        <w:jc w:val="center"/>
      </w:pPr>
      <w:r>
        <w:drawing>
          <wp:inline xmlns:a="http://schemas.openxmlformats.org/drawingml/2006/main" xmlns:pic="http://schemas.openxmlformats.org/drawingml/2006/picture">
            <wp:extent cx="5112000" cy="2125240"/>
            <wp:docPr id="54" name="Picture 54"/>
            <wp:cNvGraphicFramePr>
              <a:graphicFrameLocks noChangeAspect="1"/>
            </wp:cNvGraphicFramePr>
            <a:graphic>
              <a:graphicData uri="http://schemas.openxmlformats.org/drawingml/2006/picture">
                <pic:pic>
                  <pic:nvPicPr>
                    <pic:cNvPr id="0" name="fig4_4_four_cell.png"/>
                    <pic:cNvPicPr/>
                  </pic:nvPicPr>
                  <pic:blipFill>
                    <a:blip r:embed="rId97"/>
                    <a:stretch>
                      <a:fillRect/>
                    </a:stretch>
                  </pic:blipFill>
                  <pic:spPr>
                    <a:xfrm>
                      <a:off x="0" y="0"/>
                      <a:ext cx="5112000" cy="212524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图4-4 事件标签与规则触发的四格诊断</w:t>
      </w:r>
    </w:p>
    <w:p>
      <w:pPr>
        <w:spacing w:before="0" w:after="0" w:line="300" w:lineRule="auto"/>
        <w:ind w:firstLine="480"/>
        <w:jc w:val="both"/>
      </w:pPr>
      <w:r>
        <w:rPr>
          <w:rFonts w:ascii="Times New Roman" w:hAnsi="Times New Roman" w:cs="Times New Roman" w:eastAsia="宋体"/>
          <w:b w:val="0"/>
          <w:sz w:val="18"/>
        </w:rPr>
        <w:t>注：A展示原正式MRG-GCN三种子四格MAE均值、跨种子样本标准差和样本量，B以配对点线对比各格样本占比和按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n</m:t>
        </m:r>
        <m:r>
          <m:t>×</m:t>
        </m:r>
        <m:r>
          <m:t>MAE</m:t>
        </m:r>
      </m:oMath>
      <w:r>
        <w:rPr>
          <w:rFonts w:ascii="Times New Roman" w:hAnsi="Times New Roman" w:cs="Times New Roman" w:eastAsia="宋体"/>
          <w:b w:val="0"/>
          <w:sz w:val="18"/>
        </w:rPr>
        <w:t>计算的绝对误差贡献。四格计数来自共同预测键，三种子均值与离散度可由锁定汇总复算。</w:t>
      </w:r>
    </w:p>
    <w:p>
      <w:pPr>
        <w:spacing w:before="60" w:after="60" w:line="240" w:lineRule="auto"/>
        <w:ind w:firstLine="0"/>
        <w:jc w:val="center"/>
      </w:pPr>
      <w:r>
        <w:drawing>
          <wp:inline xmlns:a="http://schemas.openxmlformats.org/drawingml/2006/main" xmlns:pic="http://schemas.openxmlformats.org/drawingml/2006/picture">
            <wp:extent cx="5112000" cy="2179406"/>
            <wp:docPr id="55" name="Picture 55"/>
            <wp:cNvGraphicFramePr>
              <a:graphicFrameLocks noChangeAspect="1"/>
            </wp:cNvGraphicFramePr>
            <a:graphic>
              <a:graphicData uri="http://schemas.openxmlformats.org/drawingml/2006/picture">
                <pic:pic>
                  <pic:nvPicPr>
                    <pic:cNvPr id="0" name="fig4_5_residual_distribution.png"/>
                    <pic:cNvPicPr/>
                  </pic:nvPicPr>
                  <pic:blipFill>
                    <a:blip r:embed="rId98"/>
                    <a:stretch>
                      <a:fillRect/>
                    </a:stretch>
                  </pic:blipFill>
                  <pic:spPr>
                    <a:xfrm>
                      <a:off x="0" y="0"/>
                      <a:ext cx="5112000" cy="217940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图4-5 不同模型的残差分布</w:t>
      </w:r>
    </w:p>
    <w:p>
      <w:pPr>
        <w:spacing w:before="0" w:after="0" w:line="300" w:lineRule="auto"/>
        <w:ind w:firstLine="480"/>
        <w:jc w:val="both"/>
      </w:pPr>
      <w:r>
        <w:rPr>
          <w:rFonts w:ascii="Times New Roman" w:hAnsi="Times New Roman" w:cs="Times New Roman" w:eastAsia="宋体"/>
          <w:b w:val="0"/>
          <w:sz w:val="18"/>
        </w:rPr>
        <w:t>注：曲线为seed-2024中TCN、StaticGraph和MLP的预测残差密度；左、右面板分别为非事件与事件窗口。该图为描述性比较，不含误差棒。</w:t>
      </w:r>
    </w:p>
    <w:p>
      <w:pPr>
        <w:spacing w:before="60" w:after="60" w:line="240" w:lineRule="auto"/>
        <w:ind w:firstLine="0"/>
        <w:jc w:val="center"/>
      </w:pPr>
      <w:r>
        <w:drawing>
          <wp:inline xmlns:a="http://schemas.openxmlformats.org/drawingml/2006/main" xmlns:pic="http://schemas.openxmlformats.org/drawingml/2006/picture">
            <wp:extent cx="5112000" cy="2894480"/>
            <wp:docPr id="56" name="Picture 56"/>
            <wp:cNvGraphicFramePr>
              <a:graphicFrameLocks noChangeAspect="1"/>
            </wp:cNvGraphicFramePr>
            <a:graphic>
              <a:graphicData uri="http://schemas.openxmlformats.org/drawingml/2006/picture">
                <pic:pic>
                  <pic:nvPicPr>
                    <pic:cNvPr id="0" name="fig4_6_error_vs_event_intensity.png"/>
                    <pic:cNvPicPr/>
                  </pic:nvPicPr>
                  <pic:blipFill>
                    <a:blip r:embed="rId99"/>
                    <a:stretch>
                      <a:fillRect/>
                    </a:stretch>
                  </pic:blipFill>
                  <pic:spPr>
                    <a:xfrm>
                      <a:off x="0" y="0"/>
                      <a:ext cx="5112000" cy="2894480"/>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图4-6 误差与可见事件分数的关系</w:t>
      </w:r>
    </w:p>
    <w:p>
      <w:pPr>
        <w:spacing w:before="0" w:after="0" w:line="300" w:lineRule="auto"/>
        <w:ind w:firstLine="480"/>
        <w:jc w:val="both"/>
      </w:pPr>
      <w:r>
        <w:rPr>
          <w:rFonts w:ascii="Times New Roman" w:hAnsi="Times New Roman" w:cs="Times New Roman" w:eastAsia="宋体"/>
          <w:b w:val="0"/>
          <w:sz w:val="18"/>
        </w:rPr>
        <w:t>注：使用AdaptiveGraph的seed-2024测试预测键，按预测起点的代理事件分数分为零分数和三个非零组；非零组的分界为测试期非零分数的50%和95%分位数，仅用于描述，不用于规则拟合。点为组内MAE，标注为预测键数。零分数不等同于目标侧非事件，最高分数组也不等同于冻结规则触发组；该图不证明因果作用。</w:t>
      </w:r>
    </w:p>
    <w:p>
      <w:pPr>
        <w:spacing w:before="240" w:after="180" w:line="300" w:lineRule="auto"/>
        <w:ind w:firstLine="0"/>
        <w:jc w:val="both"/>
        <w:outlineLvl w:val="2"/>
      </w:pPr>
      <w:r>
        <w:rPr>
          <w:rFonts w:ascii="Times New Roman" w:hAnsi="Times New Roman" w:cs="Times New Roman" w:eastAsia="黑体"/>
          <w:b w:val="0"/>
          <w:sz w:val="28"/>
        </w:rPr>
        <w:t>4.4.3 还原校验</w:t>
      </w:r>
    </w:p>
    <w:p>
      <w:pPr>
        <w:spacing w:before="0" w:after="0" w:line="300" w:lineRule="auto"/>
        <w:ind w:firstLine="480"/>
        <w:jc w:val="both"/>
      </w:pPr>
      <w:r>
        <w:rPr>
          <w:rFonts w:ascii="Times New Roman" w:hAnsi="Times New Roman" w:cs="Times New Roman" w:eastAsia="宋体"/>
          <w:b w:val="0"/>
          <w:sz w:val="24"/>
        </w:rPr>
        <w:t>四格诊断以样本量加权恒等式作为有效性检查：</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MAE</m:t>
            </m:r>
          </m:e>
          <m:sub>
            <m:r>
              <m:t>global</m:t>
            </m:r>
          </m:sub>
        </m:sSub>
        <m:r>
          <m:t>⁡</m:t>
        </m:r>
        <m:r>
          <m:t>=</m:t>
        </m:r>
        <m:f>
          <m:num>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sSub>
              <m:sSubPr/>
              <m:e>
                <m:r>
                  <m:t>MAE</m:t>
                </m:r>
              </m:e>
              <m:sub>
                <m:r>
                  <m:t>a</m:t>
                </m:r>
                <m:r>
                  <m:t>b</m:t>
                </m:r>
              </m:sub>
            </m:sSub>
            <m:r>
              <m:t>⁡</m:t>
            </m:r>
          </m:num>
          <m:den>
            <m:sSubSup>
              <m:sSubSupPr/>
              <m:e>
                <m:r>
                  <m:t>∑</m:t>
                </m:r>
              </m:e>
              <m:sub>
                <m:r>
                  <m:t>a</m:t>
                </m:r>
                <m:r>
                  <m:t>=</m:t>
                </m:r>
                <m:r>
                  <m:t>0</m:t>
                </m:r>
              </m:sub>
              <m:sup>
                <m:r>
                  <m:t>1</m:t>
                </m:r>
              </m:sup>
            </m:sSubSup>
            <m:sSubSup>
              <m:sSubSupPr/>
              <m:e>
                <m:r>
                  <m:t>∑</m:t>
                </m:r>
              </m:e>
              <m:sub>
                <m:r>
                  <m:t>b</m:t>
                </m:r>
                <m:r>
                  <m:t>=</m:t>
                </m:r>
                <m:r>
                  <m:t>0</m:t>
                </m:r>
              </m:sub>
              <m:sup>
                <m:r>
                  <m:t>1</m:t>
                </m:r>
              </m:sup>
            </m:sSubSup>
            <m:sSub>
              <m:sSubPr/>
              <m:e>
                <m:r>
                  <m:t>n</m:t>
                </m:r>
              </m:e>
              <m:sub>
                <m:r>
                  <m:t>a</m:t>
                </m:r>
                <m:r>
                  <m:t>b</m:t>
                </m:r>
              </m:sub>
            </m:sSub>
          </m:den>
        </m:f>
        <m:r>
          <m:t>.</m:t>
        </m:r>
      </m:oMath>
      <w:r>
        <w:tab/>
      </w:r>
      <w:r>
        <w:rPr>
          <w:rFonts w:ascii="Times New Roman" w:hAnsi="Times New Roman" w:cs="Times New Roman" w:eastAsia="宋体"/>
          <w:sz w:val="21"/>
        </w:rPr>
        <w:t>（4-1）</w:t>
      </w:r>
    </w:p>
    <w:p>
      <w:pPr>
        <w:spacing w:before="0" w:after="0" w:line="300" w:lineRule="auto"/>
        <w:ind w:firstLine="480"/>
        <w:jc w:val="both"/>
      </w:pPr>
      <w:r>
        <w:rPr>
          <w:rFonts w:ascii="Times New Roman" w:hAnsi="Times New Roman" w:cs="Times New Roman" w:eastAsia="宋体"/>
          <w:b w:val="0"/>
          <w:sz w:val="24"/>
        </w:rPr>
        <w:t>式中，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oMath>
      <w:r>
        <w:rPr>
          <w:rFonts w:ascii="Times New Roman" w:hAnsi="Times New Roman" w:cs="Times New Roman" w:eastAsia="宋体"/>
          <w:b w:val="0"/>
          <w:sz w:val="24"/>
        </w:rPr>
        <w:t>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b</m:t>
        </m:r>
      </m:oMath>
      <w:r>
        <w:rPr>
          <w:rFonts w:ascii="Times New Roman" w:hAnsi="Times New Roman" w:cs="Times New Roman" w:eastAsia="宋体"/>
          <w:b w:val="0"/>
          <w:sz w:val="24"/>
        </w:rPr>
        <w:t>分别表示target_event和rule_trigger，</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m:t>
        </m:r>
        <m:r>
          <m:t>b</m:t>
        </m:r>
      </m:oMath>
      <w:r>
        <w:rPr>
          <w:rFonts w:ascii="Times New Roman" w:hAnsi="Times New Roman" w:cs="Times New Roman" w:eastAsia="宋体"/>
          <w:b w:val="0"/>
          <w:sz w:val="24"/>
        </w:rPr>
        <w:t>为对应格样本量。原正式MRG-GCN三种子和对照运行的加权还原误差均不超过</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9</m:t>
        </m:r>
      </m:oMath>
      <w:r>
        <w:rPr>
          <w:rFonts w:ascii="Times New Roman" w:hAnsi="Times New Roman" w:cs="Times New Roman" w:eastAsia="宋体"/>
          <w:b w:val="0"/>
          <w:sz w:val="24"/>
        </w:rPr>
        <w:t>；本次锁定汇总还额外检查了三种子四格计数、误差贡献与源文件哈希。</w:t>
      </w:r>
    </w:p>
    <w:p>
      <w:pPr>
        <w:spacing w:before="240" w:after="180" w:line="300" w:lineRule="auto"/>
        <w:ind w:firstLine="0"/>
        <w:jc w:val="both"/>
        <w:outlineLvl w:val="2"/>
      </w:pPr>
      <w:r>
        <w:rPr>
          <w:rFonts w:ascii="Times New Roman" w:hAnsi="Times New Roman" w:cs="Times New Roman" w:eastAsia="黑体"/>
          <w:b w:val="0"/>
          <w:sz w:val="28"/>
        </w:rPr>
        <w:t>4.4.4 L3判定结论</w:t>
      </w:r>
    </w:p>
    <w:p>
      <w:pPr>
        <w:spacing w:before="0" w:after="0" w:line="300" w:lineRule="auto"/>
        <w:ind w:firstLine="480"/>
        <w:jc w:val="both"/>
      </w:pPr>
      <w:r>
        <w:rPr>
          <w:rFonts w:ascii="Times New Roman" w:hAnsi="Times New Roman" w:cs="Times New Roman" w:eastAsia="宋体"/>
          <w:b w:val="0"/>
          <w:sz w:val="24"/>
        </w:rPr>
        <w:t>L3表明，全局MAE主要反映占比98%以上的非标签事件/规则未触发样本，不能代表标签事件窗口的误差。规则触发与标签事件存在明显错位，故它可作为预测时可见的分层信号，却不能视为标签事件的等价替代。该诊断直接支撑第5章对规则路由分层区间的边界讨论。</w:t>
      </w:r>
    </w:p>
    <w:p>
      <w:pPr>
        <w:spacing w:before="360" w:after="240" w:line="360" w:lineRule="auto"/>
        <w:ind w:firstLine="0"/>
        <w:jc w:val="both"/>
        <w:outlineLvl w:val="1"/>
      </w:pPr>
      <w:r>
        <w:rPr>
          <w:rFonts w:ascii="Times New Roman" w:hAnsi="Times New Roman" w:cs="Times New Roman" w:eastAsia="黑体"/>
          <w:b/>
          <w:sz w:val="30"/>
        </w:rPr>
        <w:t>4.5 协议总结：MDP机制画像与可复用性</w:t>
      </w:r>
    </w:p>
    <w:p>
      <w:pPr>
        <w:spacing w:before="0" w:after="0" w:line="300" w:lineRule="auto"/>
        <w:ind w:firstLine="480"/>
        <w:jc w:val="both"/>
      </w:pPr>
      <w:r>
        <w:rPr>
          <w:rFonts w:ascii="Times New Roman" w:hAnsi="Times New Roman" w:cs="Times New Roman" w:eastAsia="宋体"/>
          <w:b w:val="0"/>
          <w:sz w:val="24"/>
        </w:rPr>
        <w:t>三层协议汇总于表4-1：L1刻画模型对关系分配的功能依赖，L2检验所检蒸馏设置能否缩小师生差距，L3说明全局指标的样本构成。三层不是重复验证同一结论，而是依次回答“模型内部依赖什么”“所检简化学生能否吸收何种收益”“总体误差主要由何类样本贡献”。L1和L2使用主模型正式结果，L3现已改用原正式MRG-GCN三种子逐键预测；图4-5和图4-6仍保留为seed-2024的描述性补充。跨模型、跨站点复现仍属后续工作。</w:t>
      </w:r>
    </w:p>
    <w:p>
      <w:pPr>
        <w:spacing w:before="0" w:after="0" w:line="300" w:lineRule="auto"/>
        <w:ind w:firstLine="480"/>
        <w:jc w:val="both"/>
      </w:pPr>
      <w:r>
        <w:rPr>
          <w:rFonts w:ascii="Times New Roman" w:hAnsi="Times New Roman" w:cs="Times New Roman" w:eastAsia="宋体"/>
          <w:b w:val="0"/>
          <w:sz w:val="24"/>
        </w:rPr>
        <w:t>从工程使用角度看，MDP不直接产生调度指令。它提供的是三类可审查的辅助信息：关系替换后的误差响应可用于识别模型对固定统计图的依赖边界，师生差距可用于评估能否以纯时序模型替代当前图模型，四格误差构成则可提示哪些节点—窗口组合不宜仅依据全局MAE判断。由于本研究预测对象为会话记录重构的代理负荷，上述信息只能作为后续容量评估、运维关注排序或模型监测的输入，仍需与真实功率量测、站内约束和业务规则共同验证。第5章据此只开展方向性结构、区间预测与分层参数敏感度探索，不新增点预测性能主张。</w:t>
      </w:r>
    </w:p>
    <w:p>
      <w:pPr>
        <w:spacing w:before="360" w:after="240" w:line="360" w:lineRule="auto"/>
        <w:ind w:firstLine="0"/>
        <w:jc w:val="both"/>
        <w:outlineLvl w:val="1"/>
      </w:pPr>
      <w:r>
        <w:rPr>
          <w:rFonts w:ascii="Times New Roman" w:hAnsi="Times New Roman" w:cs="Times New Roman" w:eastAsia="黑体"/>
          <w:b/>
          <w:sz w:val="30"/>
        </w:rPr>
        <w:t>4.6 适用范围与外部验证要求</w:t>
      </w:r>
    </w:p>
    <w:p>
      <w:pPr>
        <w:spacing w:before="0" w:after="0" w:line="300" w:lineRule="auto"/>
        <w:ind w:firstLine="480"/>
        <w:jc w:val="both"/>
      </w:pPr>
      <w:r>
        <w:rPr>
          <w:rFonts w:ascii="Times New Roman" w:hAnsi="Times New Roman" w:cs="Times New Roman" w:eastAsia="宋体"/>
          <w:b w:val="0"/>
          <w:sz w:val="24"/>
        </w:rPr>
        <w:t>本章结论适用于本文单站10个主分析节点、既定时间切分和会话重构代理负荷的实验范围。节点标识之间的统计关系不能等同于物理充电桩、馈线连接或电气拓扑；固定LRE关系图也未覆盖季节、价格、运营策略和用户结构变化所引起的关系漂移。因而，当前证据能够支持同一数据口径下的模型比较与机制诊断，不能据此推断所有公共充电场站的误差水平或最佳关系配置。</w:t>
      </w:r>
    </w:p>
    <w:p>
      <w:pPr>
        <w:spacing w:before="0" w:after="0" w:line="300" w:lineRule="auto"/>
        <w:ind w:firstLine="480"/>
        <w:jc w:val="both"/>
      </w:pPr>
      <w:r>
        <w:rPr>
          <w:rFonts w:ascii="Times New Roman" w:hAnsi="Times New Roman" w:cs="Times New Roman" w:eastAsia="宋体"/>
          <w:b w:val="0"/>
          <w:sz w:val="24"/>
        </w:rPr>
        <w:t>后续外部验证至少应同时保持三项条件：以独立场站或运营时段作为测试范围，以真实电表功率或经核验的量测数据校准代理负荷含义，并在不使用目标侧标签的前提下重新冻结关系图、规则阈值和区间校准参数。只有在这些条件下仍能复现主要比较与分层结论，工程推广性才可进一步讨论。</w:t>
      </w:r>
    </w:p>
    <w:p>
      <w:pPr>
        <w:sectPr>
          <w:headerReference w:type="default" r:id="rId91"/>
          <w:headerReference w:type="even" r:id="rId92"/>
          <w:footerReference w:type="default" r:id="rId93"/>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第5章  模型结构分析与预测支持探索</w:t>
      </w:r>
    </w:p>
    <w:p>
      <w:pPr>
        <w:spacing w:before="360" w:after="240" w:line="360" w:lineRule="auto"/>
        <w:ind w:firstLine="0"/>
        <w:jc w:val="both"/>
        <w:outlineLvl w:val="1"/>
      </w:pPr>
      <w:r>
        <w:rPr>
          <w:rFonts w:ascii="Times New Roman" w:hAnsi="Times New Roman" w:cs="Times New Roman" w:eastAsia="黑体"/>
          <w:b/>
          <w:sz w:val="30"/>
        </w:rPr>
        <w:t>5.1 引言</w:t>
      </w:r>
    </w:p>
    <w:p>
      <w:pPr>
        <w:spacing w:before="0" w:after="0" w:line="300" w:lineRule="auto"/>
        <w:ind w:firstLine="480"/>
        <w:jc w:val="both"/>
      </w:pPr>
      <w:r>
        <w:rPr>
          <w:rFonts w:ascii="Times New Roman" w:hAnsi="Times New Roman" w:cs="Times New Roman" w:eastAsia="宋体"/>
          <w:b w:val="0"/>
          <w:sz w:val="24"/>
        </w:rPr>
        <w:t>第3章完成站内节点负荷预测，第4章分析关系分配的功能依赖和事件误差构成。本章进一步从输入结构、输出区间和模型参数三个方面检查主模型的适用边界：方向性分析提供条件滞后依赖候选，共形分析比较不同校准与路由方式的经验覆盖，分层参数替换描述模型内部响应。</w:t>
      </w:r>
    </w:p>
    <w:p>
      <w:pPr>
        <w:spacing w:before="0" w:after="0" w:line="300" w:lineRule="auto"/>
        <w:ind w:firstLine="480"/>
        <w:jc w:val="both"/>
      </w:pPr>
      <w:r>
        <w:rPr>
          <w:rFonts w:ascii="Times New Roman" w:hAnsi="Times New Roman" w:cs="Times New Roman" w:eastAsia="宋体"/>
          <w:b w:val="0"/>
          <w:sz w:val="24"/>
        </w:rPr>
        <w:t>事件窗口MAE约为稳定窗口的28倍，而冻结规则与标签事件存在明显错位。因此，本章不另建一套点预测模型，也不把事后标签或oracle结果写成预测时能力；三项分析均不进入主模型训练，目的在于说明现有结果在哪些条件下成立、又在哪些位置失效。</w:t>
      </w:r>
    </w:p>
    <w:p>
      <w:pPr>
        <w:spacing w:before="360" w:after="240" w:line="360" w:lineRule="auto"/>
        <w:ind w:firstLine="0"/>
        <w:jc w:val="both"/>
        <w:outlineLvl w:val="1"/>
      </w:pPr>
      <w:r>
        <w:rPr>
          <w:rFonts w:ascii="Times New Roman" w:hAnsi="Times New Roman" w:cs="Times New Roman" w:eastAsia="黑体"/>
          <w:b/>
          <w:sz w:val="30"/>
        </w:rPr>
        <w:t>5.2 从统计相关到有向信息流：关系图方向性分析</w:t>
      </w:r>
    </w:p>
    <w:p>
      <w:pPr>
        <w:spacing w:before="0" w:after="0" w:line="300" w:lineRule="auto"/>
        <w:ind w:firstLine="480"/>
        <w:jc w:val="both"/>
      </w:pPr>
      <w:r>
        <w:rPr>
          <w:rFonts w:ascii="Times New Roman" w:hAnsi="Times New Roman" w:cs="Times New Roman" w:eastAsia="宋体"/>
          <w:b w:val="0"/>
          <w:sz w:val="24"/>
        </w:rPr>
        <w:t>本节由传递熵生成方向性候选，再用PCMCI+进行条件独立核验，分析衔接关系见图5-1。</w:t>
      </w:r>
    </w:p>
    <w:p>
      <w:pPr>
        <w:spacing w:before="60" w:after="60" w:line="240" w:lineRule="auto"/>
        <w:ind w:firstLine="0"/>
        <w:jc w:val="center"/>
      </w:pPr>
      <w:r>
        <w:drawing>
          <wp:inline xmlns:a="http://schemas.openxmlformats.org/drawingml/2006/main" xmlns:pic="http://schemas.openxmlformats.org/drawingml/2006/picture">
            <wp:extent cx="5112000" cy="2716032"/>
            <wp:docPr id="57" name="Picture 57"/>
            <wp:cNvGraphicFramePr>
              <a:graphicFrameLocks noChangeAspect="1"/>
            </wp:cNvGraphicFramePr>
            <a:graphic>
              <a:graphicData uri="http://schemas.openxmlformats.org/drawingml/2006/picture">
                <pic:pic>
                  <pic:nvPicPr>
                    <pic:cNvPr id="0" name="fig5_1_te_pcmci_flow.png"/>
                    <pic:cNvPicPr/>
                  </pic:nvPicPr>
                  <pic:blipFill>
                    <a:blip r:embed="rId103"/>
                    <a:stretch>
                      <a:fillRect/>
                    </a:stretch>
                  </pic:blipFill>
                  <pic:spPr>
                    <a:xfrm>
                      <a:off x="0" y="0"/>
                      <a:ext cx="5112000" cy="271603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图5-1 TE候选生成与PCMCI+条件独立核验流程</w:t>
      </w:r>
    </w:p>
    <w:p>
      <w:pPr>
        <w:spacing w:before="0" w:after="0" w:line="300" w:lineRule="auto"/>
        <w:ind w:firstLine="480"/>
        <w:jc w:val="both"/>
      </w:pPr>
      <w:r>
        <w:rPr>
          <w:rFonts w:ascii="Times New Roman" w:hAnsi="Times New Roman" w:cs="Times New Roman" w:eastAsia="宋体"/>
          <w:b w:val="0"/>
          <w:sz w:val="18"/>
        </w:rPr>
        <w:t>注：训练期10节点负荷序列先经传递熵检验形成方向性候选，再由PCMCI+进行条件独立核验。流程用于条件滞后依赖结构发现，未进行多重比较校正，不解释为物理因果。</w:t>
      </w:r>
    </w:p>
    <w:p>
      <w:pPr>
        <w:spacing w:before="240" w:after="180" w:line="300" w:lineRule="auto"/>
        <w:ind w:firstLine="0"/>
        <w:jc w:val="both"/>
        <w:outlineLvl w:val="2"/>
      </w:pPr>
      <w:r>
        <w:rPr>
          <w:rFonts w:ascii="Times New Roman" w:hAnsi="Times New Roman" w:cs="Times New Roman" w:eastAsia="黑体"/>
          <w:b w:val="0"/>
          <w:sz w:val="28"/>
        </w:rPr>
        <w:t>5.2.1 问题与动机</w:t>
      </w:r>
    </w:p>
    <w:p>
      <w:pPr>
        <w:spacing w:before="0" w:after="0" w:line="300" w:lineRule="auto"/>
        <w:ind w:firstLine="480"/>
        <w:jc w:val="both"/>
      </w:pPr>
      <w:r>
        <w:rPr>
          <w:rFonts w:ascii="Times New Roman" w:hAnsi="Times New Roman" w:cs="Times New Roman" w:eastAsia="宋体"/>
          <w:b w:val="0"/>
          <w:sz w:val="24"/>
        </w:rPr>
        <w:t>第3章的LRE三关系图均为无向对称统计量，能够描述节点间的耦合强度，却不包含先后方向与候选时滞。若一个节点的历史变化能为另一节点的后续负荷提供附加信息，无向图会压缩这种不对称性。本节据此提出待验证假设：站内节点间可能存在方向性、滞后的统计依赖。该假设不预设其物理机制，也不将统计方向解释为因果方向。</w:t>
      </w:r>
    </w:p>
    <w:p>
      <w:pPr>
        <w:spacing w:before="240" w:after="180" w:line="300" w:lineRule="auto"/>
        <w:ind w:firstLine="0"/>
        <w:jc w:val="both"/>
        <w:outlineLvl w:val="2"/>
      </w:pPr>
      <w:r>
        <w:rPr>
          <w:rFonts w:ascii="Times New Roman" w:hAnsi="Times New Roman" w:cs="Times New Roman" w:eastAsia="黑体"/>
          <w:b w:val="0"/>
          <w:sz w:val="28"/>
        </w:rPr>
        <w:t>5.2.2 传递熵方向性检验</w:t>
      </w:r>
    </w:p>
    <w:p>
      <w:pPr>
        <w:spacing w:before="0" w:after="0" w:line="300" w:lineRule="auto"/>
        <w:ind w:firstLine="480"/>
        <w:jc w:val="both"/>
      </w:pPr>
      <w:r>
        <w:rPr>
          <w:rFonts w:ascii="Times New Roman" w:hAnsi="Times New Roman" w:cs="Times New Roman" w:eastAsia="宋体"/>
          <w:b w:val="0"/>
          <w:sz w:val="24"/>
        </w:rPr>
        <w:t>采用传递熵（transfer entropy，TE）</w:t>
      </w:r>
      <w:r>
        <w:rPr>
          <w:rFonts w:ascii="Times New Roman" w:hAnsi="Times New Roman" w:cs="Times New Roman" w:eastAsia="宋体"/>
          <w:b w:val="0"/>
          <w:sz w:val="24"/>
          <w:vertAlign w:val="superscript"/>
        </w:rPr>
        <w:t>[85]</w:t>
      </w:r>
      <w:r>
        <w:rPr>
          <w:rFonts w:ascii="Times New Roman" w:hAnsi="Times New Roman" w:cs="Times New Roman" w:eastAsia="宋体"/>
          <w:b w:val="0"/>
          <w:sz w:val="24"/>
        </w:rPr>
        <w:t>衡量在给定目标节点历史后，源节点历史对目标下一步取值提供的附加信息：</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TE</m:t>
        </m:r>
        <m:r>
          <m:t>⁡</m:t>
        </m:r>
        <m:r>
          <m:t>(</m:t>
        </m:r>
        <m:r>
          <m:t>X</m:t>
        </m:r>
        <m:r>
          <m:t>→</m:t>
        </m:r>
        <m:r>
          <m:t>Y</m:t>
        </m:r>
        <m:r>
          <m:t>)</m:t>
        </m:r>
        <m:r>
          <m:t>=</m:t>
        </m:r>
        <m:r>
          <m:t>H</m:t>
        </m:r>
        <m:r>
          <m:t>(</m:t>
        </m:r>
        <m:sSub>
          <m:sSubPr/>
          <m:e>
            <m:r>
              <m:t>Y</m:t>
            </m:r>
          </m:e>
          <m:sub>
            <m:r>
              <m:t>t</m:t>
            </m:r>
            <m:r>
              <m:t>+</m:t>
            </m:r>
            <m:r>
              <m:t>1</m:t>
            </m:r>
          </m:sub>
        </m:sSub>
        <m:r>
          <m:t>|</m:t>
        </m:r>
        <m:sSub>
          <m:sSubPr/>
          <m:e>
            <m:r>
              <m:t>Y</m:t>
            </m:r>
          </m:e>
          <m:sub>
            <m:r>
              <m:t>t</m:t>
            </m:r>
          </m:sub>
        </m:sSub>
        <m:r>
          <m:t>)</m:t>
        </m:r>
        <m:r>
          <m:t>−</m:t>
        </m:r>
        <m:r>
          <m:t>H</m:t>
        </m:r>
        <m:r>
          <m:t>(</m:t>
        </m:r>
        <m:sSub>
          <m:sSubPr/>
          <m:e>
            <m:r>
              <m:t>Y</m:t>
            </m:r>
          </m:e>
          <m:sub>
            <m:r>
              <m:t>t</m:t>
            </m:r>
            <m:r>
              <m:t>+</m:t>
            </m:r>
            <m:r>
              <m:t>1</m:t>
            </m:r>
          </m:sub>
        </m:sSub>
        <m:r>
          <m:t>|</m:t>
        </m:r>
        <m:sSub>
          <m:sSubPr/>
          <m:e>
            <m:r>
              <m:t>Y</m:t>
            </m:r>
          </m:e>
          <m:sub>
            <m:r>
              <m:t>t</m:t>
            </m:r>
          </m:sub>
        </m:sSub>
        <m:r>
          <m:t>,</m:t>
        </m:r>
        <m:sSub>
          <m:sSubPr/>
          <m:e>
            <m:r>
              <m:t>X</m:t>
            </m:r>
          </m:e>
          <m:sub>
            <m:r>
              <m:t>t</m:t>
            </m:r>
          </m:sub>
        </m:sSub>
        <m:r>
          <m:t>)</m:t>
        </m:r>
        <m:r>
          <m:t>.</m:t>
        </m:r>
      </m:oMath>
      <w:r>
        <w:tab/>
      </w:r>
      <w:r>
        <w:rPr>
          <w:rFonts w:ascii="Times New Roman" w:hAnsi="Times New Roman" w:cs="Times New Roman" w:eastAsia="宋体"/>
          <w:sz w:val="21"/>
        </w:rPr>
        <w:t>（5-1）</w:t>
      </w:r>
    </w:p>
    <w:p>
      <w:pPr>
        <w:spacing w:before="0" w:after="0" w:line="300" w:lineRule="auto"/>
        <w:ind w:firstLine="480"/>
        <w:jc w:val="both"/>
      </w:pPr>
      <w:r>
        <w:rPr>
          <w:rFonts w:ascii="Times New Roman" w:hAnsi="Times New Roman" w:cs="Times New Roman" w:eastAsia="宋体"/>
          <w:b w:val="0"/>
          <w:sz w:val="24"/>
        </w:rPr>
        <w:t>对10个节点的90条有向对，在滞后1、2和4个时间步下进行8分位分箱估计，并以100次循环平移置换构造零分布。循环平移尽量保留单序列自相关，避免直接随机打乱造成过于理想的零假设。候选边以名义</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p</m:t>
        </m:r>
        <m:r>
          <m:t>&lt;</m:t>
        </m:r>
        <m:r>
          <m:t>0.05</m:t>
        </m:r>
      </m:oMath>
      <w:r>
        <w:rPr>
          <w:rFonts w:ascii="Times New Roman" w:hAnsi="Times New Roman" w:cs="Times New Roman" w:eastAsia="宋体"/>
          <w:b w:val="0"/>
          <w:sz w:val="24"/>
        </w:rPr>
        <w:t>筛选；由于未进行多重比较校正，以下结果仅作为方向性候选。</w:t>
      </w:r>
    </w:p>
    <w:p>
      <w:pPr>
        <w:spacing w:before="240" w:after="180" w:line="300" w:lineRule="auto"/>
        <w:ind w:firstLine="0"/>
        <w:jc w:val="both"/>
        <w:outlineLvl w:val="2"/>
      </w:pPr>
      <w:r>
        <w:rPr>
          <w:rFonts w:ascii="Times New Roman" w:hAnsi="Times New Roman" w:cs="Times New Roman" w:eastAsia="黑体"/>
          <w:b w:val="0"/>
          <w:sz w:val="28"/>
        </w:rPr>
        <w:t>5.2.3 传递熵存在性与方向不对称证据</w:t>
      </w:r>
    </w:p>
    <w:p>
      <w:pPr>
        <w:spacing w:before="0" w:after="0" w:line="300" w:lineRule="auto"/>
        <w:ind w:firstLine="480"/>
        <w:jc w:val="both"/>
      </w:pPr>
      <w:r>
        <w:rPr>
          <w:rFonts w:ascii="Times New Roman" w:hAnsi="Times New Roman" w:cs="Times New Roman" w:eastAsia="宋体"/>
          <w:b w:val="0"/>
          <w:sz w:val="24"/>
        </w:rPr>
        <w:t>76条有向对通过名义阈值，占90条候选的84.4%。按45个无向节点对汇总，其中31对在两个方向均通过，14对仅有一个方向通过。进一步定义</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ASYM</m:t>
            </m:r>
          </m:e>
          <m:sub>
            <m:r>
              <m:t>i</m:t>
            </m:r>
            <m:r>
              <m:t>j</m:t>
            </m:r>
          </m:sub>
        </m:sSub>
        <m:r>
          <m:t>⁡</m:t>
        </m:r>
        <m:r>
          <m:t>=</m:t>
        </m:r>
        <m:f>
          <m:num>
            <m:r>
              <m:t>|</m:t>
            </m:r>
            <m:sSub>
              <m:sSubPr/>
              <m:e>
                <m:r>
                  <m:t>TE</m:t>
                </m:r>
              </m:e>
              <m:sub>
                <m:r>
                  <m:t>i</m:t>
                </m:r>
                <m:r>
                  <m:t>→</m:t>
                </m:r>
                <m:r>
                  <m:t>j</m:t>
                </m:r>
              </m:sub>
            </m:sSub>
            <m:r>
              <m:t>⁡</m:t>
            </m:r>
            <m:r>
              <m:t>−</m:t>
            </m:r>
            <m:sSub>
              <m:sSubPr/>
              <m:e>
                <m:r>
                  <m:t>TE</m:t>
                </m:r>
              </m:e>
              <m:sub>
                <m:r>
                  <m:t>j</m:t>
                </m:r>
                <m:r>
                  <m:t>→</m:t>
                </m:r>
                <m:r>
                  <m:t>i</m:t>
                </m:r>
              </m:sub>
            </m:sSub>
            <m:r>
              <m:t>⁡</m:t>
            </m:r>
            <m:r>
              <m:t>|</m:t>
            </m:r>
          </m:num>
          <m:den>
            <m:r>
              <m:t>max</m:t>
            </m:r>
            <m:r>
              <m:t>⁡</m:t>
            </m:r>
            <m:r>
              <m:t>(</m:t>
            </m:r>
            <m:sSub>
              <m:sSubPr/>
              <m:e>
                <m:r>
                  <m:t>TE</m:t>
                </m:r>
              </m:e>
              <m:sub>
                <m:r>
                  <m:t>i</m:t>
                </m:r>
                <m:r>
                  <m:t>→</m:t>
                </m:r>
                <m:r>
                  <m:t>j</m:t>
                </m:r>
              </m:sub>
            </m:sSub>
            <m:r>
              <m:t>⁡</m:t>
            </m:r>
            <m:r>
              <m:t>,</m:t>
            </m:r>
            <m:sSub>
              <m:sSubPr/>
              <m:e>
                <m:r>
                  <m:t>TE</m:t>
                </m:r>
              </m:e>
              <m:sub>
                <m:r>
                  <m:t>j</m:t>
                </m:r>
                <m:r>
                  <m:t>→</m:t>
                </m:r>
                <m:r>
                  <m:t>i</m:t>
                </m:r>
              </m:sub>
            </m:sSub>
            <m:r>
              <m:t>⁡</m:t>
            </m:r>
            <m:r>
              <m:t>)</m:t>
            </m:r>
          </m:den>
        </m:f>
        <m:r>
          <m:t>,</m:t>
        </m:r>
      </m:oMath>
      <w:r>
        <w:tab/>
      </w:r>
      <w:r>
        <w:rPr>
          <w:rFonts w:ascii="Times New Roman" w:hAnsi="Times New Roman" w:cs="Times New Roman" w:eastAsia="宋体"/>
          <w:sz w:val="21"/>
        </w:rPr>
        <w:t>（5-2）</w:t>
      </w:r>
    </w:p>
    <w:p>
      <w:pPr>
        <w:spacing w:before="0" w:after="0" w:line="300" w:lineRule="auto"/>
        <w:ind w:firstLine="480"/>
        <w:jc w:val="both"/>
      </w:pPr>
      <w:r>
        <w:rPr>
          <w:rFonts w:ascii="Times New Roman" w:hAnsi="Times New Roman" w:cs="Times New Roman" w:eastAsia="宋体"/>
          <w:b w:val="0"/>
          <w:sz w:val="24"/>
        </w:rPr>
        <w:t>并以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ASYM</m:t>
        </m:r>
        <m:r>
          <m:t>⁡</m:t>
        </m:r>
        <m:r>
          <m:t>&gt;</m:t>
        </m:r>
        <m:r>
          <m:t>0.3</m:t>
        </m:r>
      </m:oMath>
      <w:r>
        <w:rPr>
          <w:rFonts w:ascii="Times New Roman" w:hAnsi="Times New Roman" w:cs="Times New Roman" w:eastAsia="宋体"/>
          <w:b w:val="0"/>
          <w:sz w:val="24"/>
        </w:rPr>
        <w:t>标记方向不对称对，共得到20对（44.4%）。图5-2展示TE值较高的候选边，图5-3展示双向TE及不对称度。在未校正的名义阈值下，部分节点对呈现双向TE差异；该现象仍可能受共同驱动、间接依赖和多重比较影响。</w:t>
      </w:r>
    </w:p>
    <w:p>
      <w:pPr>
        <w:spacing w:before="60" w:after="60" w:line="240" w:lineRule="auto"/>
        <w:ind w:firstLine="0"/>
        <w:jc w:val="center"/>
      </w:pPr>
      <w:r>
        <w:drawing>
          <wp:inline xmlns:a="http://schemas.openxmlformats.org/drawingml/2006/main" xmlns:pic="http://schemas.openxmlformats.org/drawingml/2006/picture">
            <wp:extent cx="5112000" cy="2740966"/>
            <wp:docPr id="58" name="Picture 58"/>
            <wp:cNvGraphicFramePr>
              <a:graphicFrameLocks noChangeAspect="1"/>
            </wp:cNvGraphicFramePr>
            <a:graphic>
              <a:graphicData uri="http://schemas.openxmlformats.org/drawingml/2006/picture">
                <pic:pic>
                  <pic:nvPicPr>
                    <pic:cNvPr id="0" name="fig5_2_transfer_entropy.png"/>
                    <pic:cNvPicPr/>
                  </pic:nvPicPr>
                  <pic:blipFill>
                    <a:blip r:embed="rId104"/>
                    <a:stretch>
                      <a:fillRect/>
                    </a:stretch>
                  </pic:blipFill>
                  <pic:spPr>
                    <a:xfrm>
                      <a:off x="0" y="0"/>
                      <a:ext cx="5112000" cy="274096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图5-2 传递熵方向性候选结构</w:t>
      </w:r>
    </w:p>
    <w:p>
      <w:pPr>
        <w:spacing w:before="0" w:after="0" w:line="300" w:lineRule="auto"/>
        <w:ind w:firstLine="480"/>
        <w:jc w:val="both"/>
      </w:pPr>
      <w:r>
        <w:rPr>
          <w:rFonts w:ascii="Times New Roman" w:hAnsi="Times New Roman" w:cs="Times New Roman" w:eastAsia="宋体"/>
          <w:b w:val="0"/>
          <w:sz w:val="18"/>
        </w:rPr>
        <w:t>注：基于seed-2024训练期数据，左图展示TE值较高的15条候选边，右图汇总候选边被三类统计关系覆盖的情况。箭头表示方向性候选，线宽表示TE强度；100次循环平移置换未做多重比较校正，无误差棒。</w:t>
      </w:r>
    </w:p>
    <w:p>
      <w:pPr>
        <w:spacing w:before="60" w:after="60" w:line="240" w:lineRule="auto"/>
        <w:ind w:firstLine="0"/>
        <w:jc w:val="center"/>
      </w:pPr>
      <w:r>
        <w:drawing>
          <wp:inline xmlns:a="http://schemas.openxmlformats.org/drawingml/2006/main" xmlns:pic="http://schemas.openxmlformats.org/drawingml/2006/picture">
            <wp:extent cx="5112000" cy="4918105"/>
            <wp:docPr id="59" name="Picture 59"/>
            <wp:cNvGraphicFramePr>
              <a:graphicFrameLocks noChangeAspect="1"/>
            </wp:cNvGraphicFramePr>
            <a:graphic>
              <a:graphicData uri="http://schemas.openxmlformats.org/drawingml/2006/picture">
                <pic:pic>
                  <pic:nvPicPr>
                    <pic:cNvPr id="0" name="fig5_3_asymmetry.png"/>
                    <pic:cNvPicPr/>
                  </pic:nvPicPr>
                  <pic:blipFill>
                    <a:blip r:embed="rId105"/>
                    <a:stretch>
                      <a:fillRect/>
                    </a:stretch>
                  </pic:blipFill>
                  <pic:spPr>
                    <a:xfrm>
                      <a:off x="0" y="0"/>
                      <a:ext cx="5112000" cy="4918105"/>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图5-3 双向传递熵与方向不对称性</w:t>
      </w:r>
    </w:p>
    <w:p>
      <w:pPr>
        <w:spacing w:before="0" w:after="0" w:line="300" w:lineRule="auto"/>
        <w:ind w:firstLine="480"/>
        <w:jc w:val="both"/>
      </w:pPr>
      <w:r>
        <w:rPr>
          <w:rFonts w:ascii="Times New Roman" w:hAnsi="Times New Roman" w:cs="Times New Roman" w:eastAsia="宋体"/>
          <w:b w:val="0"/>
          <w:sz w:val="18"/>
        </w:rPr>
        <w:t>注：45个点分别对应10节点的无向节点对，横纵轴为该对两个方向的TE读数，等比例坐标中的45°虚线表示双向相等。颜色和符号区分至少一方向达到名义阈值与两方向均未达到阈值，标注给出不对称度最高的三个节点对。该图为训练期探索性统计，未作多重比较校正，不构成因果证明。</w:t>
      </w:r>
    </w:p>
    <w:p>
      <w:pPr>
        <w:spacing w:before="240" w:after="180" w:line="300" w:lineRule="auto"/>
        <w:ind w:firstLine="0"/>
        <w:jc w:val="both"/>
        <w:outlineLvl w:val="2"/>
      </w:pPr>
      <w:r>
        <w:rPr>
          <w:rFonts w:ascii="Times New Roman" w:hAnsi="Times New Roman" w:cs="Times New Roman" w:eastAsia="黑体"/>
          <w:b w:val="0"/>
          <w:sz w:val="28"/>
        </w:rPr>
        <w:t>5.2.4 有向候选边与统计关系图的互补性</w:t>
      </w:r>
    </w:p>
    <w:p>
      <w:pPr>
        <w:spacing w:before="0" w:after="0" w:line="300" w:lineRule="auto"/>
        <w:ind w:firstLine="480"/>
        <w:jc w:val="both"/>
      </w:pPr>
      <w:r>
        <w:rPr>
          <w:rFonts w:ascii="Times New Roman" w:hAnsi="Times New Roman" w:cs="Times New Roman" w:eastAsia="宋体"/>
          <w:b w:val="0"/>
          <w:sz w:val="24"/>
        </w:rPr>
        <w:t>将76条TE候选按无向节点对汇总后，33对可被至少一类LRE统计图覆盖，12对未被三类统计图覆盖。为使三类图在这一探索性比较中具有相同边数，覆盖统计采用top-k=3的稀疏化口径；这与旧正式MRG-GCN主预测模型的top-k=3一致，但新事件时刻可见协议另行冻结为top-k=5，三者的结果仍按协议分开管理。与负荷耦合、行为共现和轮廓相似图的Jaccard重叠分别为0.444、0.489和0.378。TE强度与三类关系权重的Spearman系数分别为0.27、−0.15和0.26。结果说明方向性候选与既有统计图部分重叠，也包含当前统计图未覆盖的候选；两者是互补的统计描述，而非“额外因果信息”。覆盖统计汇总于表5-1，逐边对应关系见图5-4。</w:t>
      </w:r>
    </w:p>
    <w:p>
      <w:pPr>
        <w:keepNext/>
        <w:spacing w:before="60" w:after="60" w:line="240" w:lineRule="auto"/>
        <w:ind w:firstLine="0"/>
        <w:jc w:val="center"/>
      </w:pPr>
      <w:r>
        <w:rPr>
          <w:rFonts w:ascii="Times New Roman" w:hAnsi="Times New Roman" w:cs="Times New Roman" w:eastAsia="黑体"/>
          <w:b w:val="0"/>
          <w:sz w:val="21"/>
        </w:rPr>
        <w:t>表5-1 TE候选与LRE统计关系的覆盖情况</w:t>
      </w:r>
    </w:p>
    <w:tbl>
      <w:tblPr>
        <w:tblW w:type="dxa" w:w="8312"/>
        <w:jc w:val="center"/>
        <w:tblLayout w:type="fixed"/>
        <w:tblLook w:firstColumn="1" w:firstRow="1" w:lastColumn="0" w:lastRow="0" w:noHBand="0" w:noVBand="1" w:val="04A0"/>
      </w:tblPr>
      <w:tblGrid>
        <w:gridCol w:w="2770"/>
        <w:gridCol w:w="2770"/>
        <w:gridCol w:w="2770"/>
      </w:tblGrid>
      <w:tr>
        <w:trPr>
          <w:cantSplit/>
          <w:tblHeader w:val="true"/>
        </w:trPr>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项目</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数值</w:t>
            </w:r>
          </w:p>
        </w:tc>
        <w:tc>
          <w:tcPr>
            <w:tcW w:type="dxa" w:w="2770"/>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说明</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通过名义阈值的有向TE候选</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76/90</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未做多重比较校正</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对应无向节点对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31对双向候选，14对单向候选</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至少被一类统计图覆盖的节点对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33/45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探索性比较统一采用top-k=3</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未被统计图覆盖的节点对</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12/45</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仅指当前统计图未覆盖</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与负荷耦合图的Jaccard系数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0.444</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r>
        <w:trPr>
          <w:cantSplit/>
        </w:trPr>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与行为共现图的Jaccard系数</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0.489</w:t>
            </w:r>
          </w:p>
        </w:tc>
        <w:tc>
          <w:tcPr>
            <w:tcW w:type="dxa" w:w="2770"/>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r>
        <w:trPr>
          <w:cantSplit/>
        </w:trPr>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与轮廓相似图的Jaccard系数</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0.378</w:t>
            </w:r>
          </w:p>
        </w:tc>
        <w:tc>
          <w:tcPr>
            <w:tcW w:type="dxa" w:w="2770"/>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探索性比较</w:t>
            </w:r>
          </w:p>
        </w:tc>
      </w:tr>
    </w:tbl>
    <w:p>
      <w:pPr>
        <w:spacing w:before="60" w:after="60" w:line="240" w:lineRule="auto"/>
        <w:ind w:firstLine="0"/>
        <w:jc w:val="center"/>
      </w:pPr>
      <w:r>
        <w:drawing>
          <wp:inline xmlns:a="http://schemas.openxmlformats.org/drawingml/2006/main" xmlns:pic="http://schemas.openxmlformats.org/drawingml/2006/picture">
            <wp:extent cx="5112000" cy="1815936"/>
            <wp:docPr id="60" name="Picture 60"/>
            <wp:cNvGraphicFramePr>
              <a:graphicFrameLocks noChangeAspect="1"/>
            </wp:cNvGraphicFramePr>
            <a:graphic>
              <a:graphicData uri="http://schemas.openxmlformats.org/drawingml/2006/picture">
                <pic:pic>
                  <pic:nvPicPr>
                    <pic:cNvPr id="0" name="fig5_4_te_vs_relations.png"/>
                    <pic:cNvPicPr/>
                  </pic:nvPicPr>
                  <pic:blipFill>
                    <a:blip r:embed="rId106"/>
                    <a:stretch>
                      <a:fillRect/>
                    </a:stretch>
                  </pic:blipFill>
                  <pic:spPr>
                    <a:xfrm>
                      <a:off x="0" y="0"/>
                      <a:ext cx="5112000" cy="1815936"/>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图5-4 TE与统计关系权重的对应</w:t>
      </w:r>
    </w:p>
    <w:p>
      <w:pPr>
        <w:spacing w:before="0" w:after="0" w:line="300" w:lineRule="auto"/>
        <w:ind w:firstLine="480"/>
        <w:jc w:val="both"/>
      </w:pPr>
      <w:r>
        <w:rPr>
          <w:rFonts w:ascii="Times New Roman" w:hAnsi="Times New Roman" w:cs="Times New Roman" w:eastAsia="宋体"/>
          <w:b w:val="0"/>
          <w:sz w:val="18"/>
        </w:rPr>
        <w:t>注：90条有向节点对分别与三类固定统计关系权重比较，Spearman系数标注于图内。灰色叉号表示TE为零的边；该单种子、未校正的探索性比较不表达方向性因果关系。</w:t>
      </w:r>
    </w:p>
    <w:p>
      <w:pPr>
        <w:spacing w:before="240" w:after="180" w:line="300" w:lineRule="auto"/>
        <w:ind w:firstLine="0"/>
        <w:jc w:val="both"/>
        <w:outlineLvl w:val="2"/>
      </w:pPr>
      <w:r>
        <w:rPr>
          <w:rFonts w:ascii="Times New Roman" w:hAnsi="Times New Roman" w:cs="Times New Roman" w:eastAsia="黑体"/>
          <w:b w:val="0"/>
          <w:sz w:val="28"/>
        </w:rPr>
        <w:t>5.2.5 PCMCI+条件独立核验与结构发现定位</w:t>
      </w:r>
    </w:p>
    <w:p>
      <w:pPr>
        <w:spacing w:before="0" w:after="0" w:line="300" w:lineRule="auto"/>
        <w:ind w:firstLine="480"/>
        <w:jc w:val="both"/>
      </w:pPr>
      <w:r>
        <w:rPr>
          <w:rFonts w:ascii="Times New Roman" w:hAnsi="Times New Roman" w:cs="Times New Roman" w:eastAsia="宋体"/>
          <w:b w:val="0"/>
          <w:sz w:val="24"/>
        </w:rPr>
        <w:t>为降低TE候选仅由双变量统计获得的局限，进一步采用PCMCI+</w:t>
      </w:r>
      <w:r>
        <w:rPr>
          <w:rFonts w:ascii="Times New Roman" w:hAnsi="Times New Roman" w:cs="Times New Roman" w:eastAsia="宋体"/>
          <w:b w:val="0"/>
          <w:sz w:val="24"/>
          <w:vertAlign w:val="superscript"/>
        </w:rPr>
        <w:t>[86,87]</w:t>
      </w:r>
      <w:r>
        <w:rPr>
          <w:rFonts w:ascii="Times New Roman" w:hAnsi="Times New Roman" w:cs="Times New Roman" w:eastAsia="宋体"/>
          <w:b w:val="0"/>
          <w:sz w:val="24"/>
        </w:rPr>
        <w:t>进行条件独立检验。输入为训练段10个节点的83,198个原始时间观测，而非监督学习窗口化后的83,103个预测起点；检验采用ParCorr、最大滞后4步和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24"/>
        </w:rPr>
        <w:t>。PCMCI+检出80条达到名义阈值的滞后依赖；按有向节点对去重后，76条TE候选中有44条在该检验下仍达到名义阈值，比例为57.9%，另有32条未达到。PCMCI+还给出16个TE未出现的有向对，其中包括6个节点间候选对和10个节点自回归对；同一节点对可对应多个滞后，故该对数不等于80条滞后依赖的总数，节点间结果见图5-5。</w:t>
      </w:r>
    </w:p>
    <w:p>
      <w:pPr>
        <w:spacing w:before="60" w:after="60" w:line="240" w:lineRule="auto"/>
        <w:ind w:firstLine="0"/>
        <w:jc w:val="center"/>
      </w:pPr>
      <w:r>
        <w:drawing>
          <wp:inline xmlns:a="http://schemas.openxmlformats.org/drawingml/2006/main" xmlns:pic="http://schemas.openxmlformats.org/drawingml/2006/picture">
            <wp:extent cx="5112000" cy="3281272"/>
            <wp:docPr id="61" name="Picture 61"/>
            <wp:cNvGraphicFramePr>
              <a:graphicFrameLocks noChangeAspect="1"/>
            </wp:cNvGraphicFramePr>
            <a:graphic>
              <a:graphicData uri="http://schemas.openxmlformats.org/drawingml/2006/picture">
                <pic:pic>
                  <pic:nvPicPr>
                    <pic:cNvPr id="0" name="fig5_5_pcmci_validation_network.png"/>
                    <pic:cNvPicPr/>
                  </pic:nvPicPr>
                  <pic:blipFill>
                    <a:blip r:embed="rId107"/>
                    <a:stretch>
                      <a:fillRect/>
                    </a:stretch>
                  </pic:blipFill>
                  <pic:spPr>
                    <a:xfrm>
                      <a:off x="0" y="0"/>
                      <a:ext cx="5112000" cy="3281272"/>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图5-5 PCMCI+条件独立核验结果</w:t>
      </w:r>
    </w:p>
    <w:p>
      <w:pPr>
        <w:spacing w:before="0" w:after="0" w:line="300" w:lineRule="auto"/>
        <w:ind w:firstLine="480"/>
        <w:jc w:val="both"/>
      </w:pPr>
      <w:r>
        <w:rPr>
          <w:rFonts w:ascii="Times New Roman" w:hAnsi="Times New Roman" w:cs="Times New Roman" w:eastAsia="宋体"/>
          <w:b w:val="0"/>
          <w:sz w:val="18"/>
        </w:rPr>
        <w:t>注：左侧有向邻接状态图以行为源节点、列为目标节点，颜色与符号区分双检验达到名义阈值的44对、仅TE达到阈值的32对和仅PCMCI+达到阈值的6对；右侧按相同节点顺序汇总82个节点间有向对的出边数。10个自回归对在两侧均排除，对角线灰色不表示待检验边。输入为训练段83,198个原始时间观测，采用ParCorr、最大滞后4步和</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0.05</m:t>
        </m:r>
      </m:oMath>
      <w:r>
        <w:rPr>
          <w:rFonts w:ascii="Times New Roman" w:hAnsi="Times New Roman" w:cs="Times New Roman" w:eastAsia="宋体"/>
          <w:b w:val="0"/>
          <w:sz w:val="18"/>
        </w:rPr>
        <w:t>，未进行多重比较校正。</w:t>
      </w:r>
    </w:p>
    <w:p>
      <w:pPr>
        <w:spacing w:before="0" w:after="0" w:line="300" w:lineRule="auto"/>
        <w:ind w:firstLine="480"/>
        <w:jc w:val="both"/>
      </w:pPr>
      <w:r>
        <w:rPr>
          <w:rFonts w:ascii="Times New Roman" w:hAnsi="Times New Roman" w:cs="Times New Roman" w:eastAsia="宋体"/>
          <w:b w:val="0"/>
          <w:sz w:val="24"/>
        </w:rPr>
        <w:t>本节因此定位为条件滞后依赖结构发现：TE提供候选，PCMCI+提供条件独立意义下的交叉核验。两者均不等同于物理因果边，也尚未被融入MRG-GCN参与预测。将获确认的方向性候选作为新关系输入并重新评估预测增益，属于后续工作。</w:t>
      </w:r>
    </w:p>
    <w:p>
      <w:pPr>
        <w:spacing w:before="240" w:after="180" w:line="300" w:lineRule="auto"/>
        <w:ind w:firstLine="0"/>
        <w:jc w:val="both"/>
        <w:outlineLvl w:val="2"/>
      </w:pPr>
      <w:r>
        <w:rPr>
          <w:rFonts w:ascii="Times New Roman" w:hAnsi="Times New Roman" w:cs="Times New Roman" w:eastAsia="黑体"/>
          <w:b w:val="0"/>
          <w:sz w:val="28"/>
        </w:rPr>
        <w:t>5.2.6 方向性证据的解释边界与复核路径</w:t>
      </w:r>
    </w:p>
    <w:p>
      <w:pPr>
        <w:spacing w:before="0" w:after="0" w:line="300" w:lineRule="auto"/>
        <w:ind w:firstLine="480"/>
        <w:jc w:val="both"/>
      </w:pPr>
      <w:r>
        <w:rPr>
          <w:rFonts w:ascii="Times New Roman" w:hAnsi="Times New Roman" w:cs="Times New Roman" w:eastAsia="宋体"/>
          <w:b w:val="0"/>
          <w:sz w:val="24"/>
        </w:rPr>
        <w:t>本节用于发现训练期节点序列中值得复核的条件滞后依赖，不直接为MRG-GCN新增邻接矩阵。TE与PCMCI+均使用训练期原始时间观测，但前者按有向节点对估计，后者还在多个滞后和条件变量组合下检验。因此，83,198个原始观测、83,103个监督学习预测起点和76/90条候选分别属于时间点、预测键和边三种计数口径，不能混算。</w:t>
      </w:r>
    </w:p>
    <w:p>
      <w:pPr>
        <w:spacing w:before="0" w:after="0" w:line="300" w:lineRule="auto"/>
        <w:ind w:firstLine="480"/>
        <w:jc w:val="both"/>
      </w:pPr>
      <w:r>
        <w:rPr>
          <w:rFonts w:ascii="Times New Roman" w:hAnsi="Times New Roman" w:cs="Times New Roman" w:eastAsia="宋体"/>
          <w:b w:val="0"/>
          <w:sz w:val="24"/>
        </w:rPr>
        <w:t>76/90表示通过本轮名义阈值的TE候选，不是真实方向边占比；44/76表示其中44个有向对在PCMCI+条件检验下仍达到名义阈值，32/76未获确认也不等于TE结果错误。由于两种检验均未作多重比较校正，正文统一将其称为候选。LRE覆盖比较同样只判断固定关系图是否包含相应节点对，不把未覆盖、重复覆盖或相关系数解释为物理拓扑和证据强度。</w:t>
      </w:r>
    </w:p>
    <w:p>
      <w:pPr>
        <w:spacing w:before="0" w:after="0" w:line="300" w:lineRule="auto"/>
        <w:ind w:firstLine="480"/>
        <w:jc w:val="both"/>
      </w:pPr>
      <w:r>
        <w:rPr>
          <w:rFonts w:ascii="Times New Roman" w:hAnsi="Times New Roman" w:cs="Times New Roman" w:eastAsia="宋体"/>
          <w:b w:val="0"/>
          <w:sz w:val="24"/>
        </w:rPr>
        <w:t>本研究未用方向性候选修改主模型，也未据此重新选择节点、阈值或测试窗口。后续若开展增量实验，应在训练期固定候选生成规则、在验证期选择稀疏度，并以相同容量、随机种子和预测键比较原三关系图与方向性扩展图。复核材料需保留节点顺序、训练序列哈希、分箱边界、滞后集合、置换次数、名义阈值和逐边状态；图5-2至图5-5只承担可视化，不替代逐边记录。</w:t>
      </w:r>
    </w:p>
    <w:p>
      <w:pPr>
        <w:spacing w:before="360" w:after="240" w:line="360" w:lineRule="auto"/>
        <w:ind w:firstLine="0"/>
        <w:jc w:val="both"/>
        <w:outlineLvl w:val="1"/>
      </w:pPr>
      <w:r>
        <w:rPr>
          <w:rFonts w:ascii="Times New Roman" w:hAnsi="Times New Roman" w:cs="Times New Roman" w:eastAsia="黑体"/>
          <w:b/>
          <w:sz w:val="30"/>
        </w:rPr>
        <w:t>5.3 事件感知的区间预测：分层共形预测</w:t>
      </w:r>
    </w:p>
    <w:p>
      <w:pPr>
        <w:spacing w:before="240" w:after="180" w:line="300" w:lineRule="auto"/>
        <w:ind w:firstLine="0"/>
        <w:jc w:val="both"/>
        <w:outlineLvl w:val="2"/>
      </w:pPr>
      <w:r>
        <w:rPr>
          <w:rFonts w:ascii="Times New Roman" w:hAnsi="Times New Roman" w:cs="Times New Roman" w:eastAsia="黑体"/>
          <w:b w:val="0"/>
          <w:sz w:val="28"/>
        </w:rPr>
        <w:t>5.3.1 问题与动机</w:t>
      </w:r>
    </w:p>
    <w:p>
      <w:pPr>
        <w:spacing w:before="0" w:after="0" w:line="300" w:lineRule="auto"/>
        <w:ind w:firstLine="480"/>
        <w:jc w:val="both"/>
      </w:pPr>
      <w:r>
        <w:rPr>
          <w:rFonts w:ascii="Times New Roman" w:hAnsi="Times New Roman" w:cs="Times New Roman" w:eastAsia="宋体"/>
          <w:b w:val="0"/>
          <w:sz w:val="24"/>
        </w:rPr>
        <w:t>点预测不提供预测误差可能范围。第3章显示，事件窗口MAE约为稳定窗口的28倍；若以单一全局残差分位数构造区间，稳定样本会主导校准宽度，事件样本容易落在区间外。本节采用分层共形预测</w:t>
      </w:r>
      <w:r>
        <w:rPr>
          <w:rFonts w:ascii="Times New Roman" w:hAnsi="Times New Roman" w:cs="Times New Roman" w:eastAsia="宋体"/>
          <w:b w:val="0"/>
          <w:sz w:val="24"/>
          <w:vertAlign w:val="superscript"/>
        </w:rPr>
        <w:t>[88,89]</w:t>
      </w:r>
      <w:r>
        <w:rPr>
          <w:rFonts w:ascii="Times New Roman" w:hAnsi="Times New Roman" w:cs="Times New Roman" w:eastAsia="宋体"/>
          <w:b w:val="0"/>
          <w:sz w:val="24"/>
        </w:rPr>
        <w:t>，比较全局校准、冻结规则路由分层校准和标签事件事后参照（oracle）。</w:t>
      </w:r>
    </w:p>
    <w:p>
      <w:pPr>
        <w:spacing w:before="240" w:after="180" w:line="300" w:lineRule="auto"/>
        <w:ind w:firstLine="0"/>
        <w:jc w:val="both"/>
        <w:outlineLvl w:val="2"/>
      </w:pPr>
      <w:r>
        <w:rPr>
          <w:rFonts w:ascii="Times New Roman" w:hAnsi="Times New Roman" w:cs="Times New Roman" w:eastAsia="黑体"/>
          <w:b w:val="0"/>
          <w:sz w:val="28"/>
        </w:rPr>
        <w:t>5.3.2 分层共形方法</w:t>
      </w:r>
    </w:p>
    <w:p>
      <w:pPr>
        <w:spacing w:before="0" w:after="0" w:line="300" w:lineRule="auto"/>
        <w:ind w:firstLine="480"/>
        <w:jc w:val="both"/>
      </w:pPr>
      <w:r>
        <w:rPr>
          <w:rFonts w:ascii="Times New Roman" w:hAnsi="Times New Roman" w:cs="Times New Roman" w:eastAsia="宋体"/>
          <w:b w:val="0"/>
          <w:sz w:val="24"/>
        </w:rPr>
        <w:t>对冻结模型在验证集上的绝对残差</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r</m:t>
        </m:r>
        <m:r>
          <m:t>=</m:t>
        </m:r>
        <m:r>
          <m:t>|</m:t>
        </m:r>
        <m:r>
          <m:t>y</m:t>
        </m:r>
        <m:r>
          <m:t>−</m:t>
        </m:r>
        <m:r>
          <m:t>y</m:t>
        </m:r>
        <m:r>
          <m:t>ˆ</m:t>
        </m:r>
        <m:r>
          <m:t>|</m:t>
        </m:r>
      </m:oMath>
      <w:r>
        <w:rPr>
          <w:rFonts w:ascii="Times New Roman" w:hAnsi="Times New Roman" w:cs="Times New Roman" w:eastAsia="宋体"/>
          <w:b w:val="0"/>
          <w:sz w:val="24"/>
        </w:rPr>
        <w:t>，以</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α</m:t>
        </m:r>
        <m:r>
          <m:t>=</m:t>
        </m:r>
        <m:r>
          <m:t>0.1</m:t>
        </m:r>
      </m:oMath>
      <w:r>
        <w:rPr>
          <w:rFonts w:ascii="Times New Roman" w:hAnsi="Times New Roman" w:cs="Times New Roman" w:eastAsia="宋体"/>
          <w:b w:val="0"/>
          <w:sz w:val="24"/>
        </w:rPr>
        <w:t>构造目标覆盖率90%的经验分位数。标准共形对每个节点估计全局半宽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n</m:t>
            </m:r>
          </m:sub>
        </m:sSub>
      </m:oMath>
      <w:r>
        <w:rPr>
          <w:rFonts w:ascii="Times New Roman" w:hAnsi="Times New Roman" w:cs="Times New Roman" w:eastAsia="宋体"/>
          <w:b w:val="0"/>
          <w:sz w:val="24"/>
        </w:rPr>
        <w:t>；规则路由分层共形则将预测键按冻结规则分为触发层和未触发层：触发层样本稀少，使用跨节点统一半宽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sSub>
          <m:sSubPr/>
          <m:e>
            <m:r>
              <m:t>q</m:t>
            </m:r>
          </m:e>
          <m:sub>
            <m:r>
              <m:t>trig</m:t>
            </m:r>
          </m:sub>
        </m:sSub>
      </m:oMath>
      <w:r>
        <w:rPr>
          <w:rFonts w:ascii="Times New Roman" w:hAnsi="Times New Roman" w:cs="Times New Roman" w:eastAsia="宋体"/>
          <w:b w:val="0"/>
          <w:sz w:val="24"/>
        </w:rPr>
        <w:t>；未触发层样本较多，使用逐节点半宽</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stable</m:t>
        </m:r>
        <m:r>
          <m:t>,</m:t>
        </m:r>
        <m:r>
          <m:t>n</m:t>
        </m:r>
      </m:oMath>
      <w:r>
        <w:rPr>
          <w:rFonts w:ascii="Times New Roman" w:hAnsi="Times New Roman" w:cs="Times New Roman" w:eastAsia="宋体"/>
          <w:b w:val="0"/>
          <w:sz w:val="24"/>
        </w:rPr>
        <w:t>。测试区间为</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m:t>
        </m:r>
        <m:r>
          <m:t>y</m:t>
        </m:r>
        <m:r>
          <m:t>ˆ</m:t>
        </m:r>
        <m:r>
          <m:t>−</m:t>
        </m:r>
        <m:r>
          <m:t>q</m:t>
        </m:r>
        <m:r>
          <m:t>,</m:t>
        </m:r>
        <m:r>
          <m:t>y</m:t>
        </m:r>
        <m:r>
          <m:t>ˆ</m:t>
        </m:r>
        <m:r>
          <m:t>+</m:t>
        </m:r>
        <m:r>
          <m:t>q</m:t>
        </m:r>
        <m:r>
          <m:t>]</m:t>
        </m:r>
        <m:r>
          <m:t>,</m:t>
        </m:r>
        <m:r>
          <m:t>q</m:t>
        </m:r>
        <m:r>
          <m:t>=</m:t>
        </m:r>
        <m:r>
          <m:t>{</m:t>
        </m:r>
        <m:m>
          <m:mr>
            <m:e>
              <m:sSub>
                <m:sSubPr/>
                <m:e>
                  <m:r>
                    <m:t>q</m:t>
                  </m:r>
                </m:e>
                <m:sub>
                  <m:r>
                    <m:t>trig</m:t>
                  </m:r>
                </m:sub>
              </m:sSub>
              <m:r>
                <m:t>,</m:t>
              </m:r>
            </m:e>
            <m:e>
              <m:r>
                <m:t>rule_trigger</m:t>
              </m:r>
              <m:r>
                <m:t>=</m:t>
              </m:r>
              <m:r>
                <m:t>1</m:t>
              </m:r>
              <m:r>
                <m:t>,</m:t>
              </m:r>
            </m:e>
          </m:mr>
          <m:mr>
            <m:e>
              <m:sSub>
                <m:sSubPr/>
                <m:e>
                  <m:r>
                    <m:t>q</m:t>
                  </m:r>
                </m:e>
                <m:sub>
                  <m:r>
                    <m:t>stable</m:t>
                  </m:r>
                  <m:r>
                    <m:t>,</m:t>
                  </m:r>
                  <m:r>
                    <m:t>n</m:t>
                  </m:r>
                </m:sub>
              </m:sSub>
              <m:r>
                <m:t>,</m:t>
              </m:r>
            </m:e>
            <m:e>
              <m:r>
                <m:t>rule_trigger</m:t>
              </m:r>
              <m:r>
                <m:t>=</m:t>
              </m:r>
              <m:r>
                <m:t>0</m:t>
              </m:r>
            </m:e>
          </m:mr>
        </m:m>
      </m:oMath>
      <w:r>
        <w:tab/>
      </w:r>
      <w:r>
        <w:rPr>
          <w:rFonts w:ascii="Times New Roman" w:hAnsi="Times New Roman" w:cs="Times New Roman" w:eastAsia="宋体"/>
          <w:sz w:val="21"/>
        </w:rPr>
        <w:t>（5-3）</w:t>
      </w:r>
    </w:p>
    <w:p>
      <w:pPr>
        <w:spacing w:before="0" w:after="0" w:line="300" w:lineRule="auto"/>
        <w:ind w:firstLine="480"/>
        <w:jc w:val="both"/>
      </w:pPr>
      <w:r>
        <w:rPr>
          <w:rFonts w:ascii="Times New Roman" w:hAnsi="Times New Roman" w:cs="Times New Roman" w:eastAsia="宋体"/>
          <w:b w:val="0"/>
          <w:sz w:val="24"/>
        </w:rPr>
        <w:t>标准校准和冻结规则路由均不依赖未来标签，可以在预测时执行；以目标侧标签事件进行分层和路由的结果仅为事后参照（oracle），因为该标签在预测时刻不可获得。可执行路径的可靠性仍须由覆盖率检验。本实现报告经验覆盖率，未实施有限样本秩修正；在校准集和测试集不满足交换性时，不声称90%的覆盖保证。分层校准和测试路由过程见图5-6。</w:t>
      </w:r>
    </w:p>
    <w:p>
      <w:pPr>
        <w:spacing w:before="60" w:after="60" w:line="240" w:lineRule="auto"/>
        <w:ind w:firstLine="0"/>
        <w:jc w:val="center"/>
      </w:pPr>
      <w:r>
        <w:drawing>
          <wp:inline xmlns:a="http://schemas.openxmlformats.org/drawingml/2006/main" xmlns:pic="http://schemas.openxmlformats.org/drawingml/2006/picture">
            <wp:extent cx="5112000" cy="2877029"/>
            <wp:docPr id="62" name="Picture 62"/>
            <wp:cNvGraphicFramePr>
              <a:graphicFrameLocks noChangeAspect="1"/>
            </wp:cNvGraphicFramePr>
            <a:graphic>
              <a:graphicData uri="http://schemas.openxmlformats.org/drawingml/2006/picture">
                <pic:pic>
                  <pic:nvPicPr>
                    <pic:cNvPr id="0" name="fig5_6_conformal_method.png"/>
                    <pic:cNvPicPr/>
                  </pic:nvPicPr>
                  <pic:blipFill>
                    <a:blip r:embed="rId108"/>
                    <a:stretch>
                      <a:fillRect/>
                    </a:stretch>
                  </pic:blipFill>
                  <pic:spPr>
                    <a:xfrm>
                      <a:off x="0" y="0"/>
                      <a:ext cx="5112000" cy="2877029"/>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图5-6 冻结规则路由的分层共形方法</w:t>
      </w:r>
    </w:p>
    <w:p>
      <w:pPr>
        <w:spacing w:before="0" w:after="0" w:line="300" w:lineRule="auto"/>
        <w:ind w:firstLine="480"/>
        <w:jc w:val="both"/>
      </w:pPr>
      <w:r>
        <w:rPr>
          <w:rFonts w:ascii="Times New Roman" w:hAnsi="Times New Roman" w:cs="Times New Roman" w:eastAsia="宋体"/>
          <w:b w:val="0"/>
          <w:sz w:val="18"/>
        </w:rPr>
        <w:t>注：冻结主模型在验证集上生成绝对残差，规则触发层和未触发层分别校准区间半宽；测试阶段仅依据预测时刻可见的冻结规则选择半宽并形成预测区间。目标侧标签事件不参与预测时路由。</w:t>
      </w:r>
    </w:p>
    <w:p>
      <w:pPr>
        <w:spacing w:before="240" w:after="180" w:line="300" w:lineRule="auto"/>
        <w:ind w:firstLine="0"/>
        <w:jc w:val="both"/>
        <w:outlineLvl w:val="2"/>
      </w:pPr>
      <w:r>
        <w:rPr>
          <w:rFonts w:ascii="Times New Roman" w:hAnsi="Times New Roman" w:cs="Times New Roman" w:eastAsia="黑体"/>
          <w:b w:val="0"/>
          <w:sz w:val="28"/>
        </w:rPr>
        <w:t>5.3.3 覆盖率与区间宽度结果</w:t>
      </w:r>
    </w:p>
    <w:p>
      <w:pPr>
        <w:spacing w:before="0" w:after="0" w:line="300" w:lineRule="auto"/>
        <w:ind w:firstLine="480"/>
        <w:jc w:val="both"/>
      </w:pPr>
      <w:r>
        <w:rPr>
          <w:rFonts w:ascii="Times New Roman" w:hAnsi="Times New Roman" w:cs="Times New Roman" w:eastAsia="宋体"/>
          <w:b w:val="0"/>
          <w:sz w:val="24"/>
        </w:rPr>
        <w:t>由表5-2可见，标准共形的事件窗口经验覆盖率为1.9%±0.5%，规则路由分层共形为3.9%±0.5%，均远低于90%目标。规则路由的整体和稳定窗口覆盖率分别为69.8%±1.8%和70.7%±1.8%，与标准共形接近。若事后以标签事件路由，事件窗口覆盖率为86.1%±0.0%；这说明在标签可知的条件下，增宽事件层区间能够覆盖大部分事件样本，但该结果不能作为部署性能。</w:t>
      </w:r>
    </w:p>
    <w:p>
      <w:pPr>
        <w:keepNext/>
        <w:spacing w:before="60" w:after="60" w:line="240" w:lineRule="auto"/>
        <w:ind w:firstLine="0"/>
        <w:jc w:val="center"/>
      </w:pPr>
      <w:r>
        <w:rPr>
          <w:rFonts w:ascii="Times New Roman" w:hAnsi="Times New Roman" w:cs="Times New Roman" w:eastAsia="黑体"/>
          <w:b w:val="0"/>
          <w:sz w:val="21"/>
        </w:rPr>
        <w:t>表5-2 不同共形口径的经验覆盖率</w:t>
      </w:r>
    </w:p>
    <w:tbl>
      <w:tblPr>
        <w:tblW w:type="dxa" w:w="8312"/>
        <w:jc w:val="center"/>
        <w:tblLayout w:type="fixed"/>
        <w:tblLook w:firstColumn="1" w:firstRow="1" w:lastColumn="0" w:lastRow="0" w:noHBand="0" w:noVBand="1" w:val="04A0"/>
      </w:tblPr>
      <w:tblGrid>
        <w:gridCol w:w="1662"/>
        <w:gridCol w:w="1662"/>
        <w:gridCol w:w="1662"/>
        <w:gridCol w:w="1662"/>
        <w:gridCol w:w="1662"/>
      </w:tblGrid>
      <w:tr>
        <w:trPr>
          <w:cantSplit/>
          <w:tblHeader w:val="true"/>
        </w:trPr>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校准与路由方式</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整体覆盖率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标签事件窗口覆盖率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稳定窗口覆盖率</w:t>
            </w:r>
          </w:p>
        </w:tc>
        <w:tc>
          <w:tcPr>
            <w:tcW w:type="dxa" w:w="1662"/>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解释</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标准共形</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69.6%±1.7%</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70.5%±1.8%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全局逐节点校准</w:t>
            </w:r>
          </w:p>
        </w:tc>
      </w:tr>
      <w:tr>
        <w:trPr>
          <w:cantSplit/>
        </w:trPr>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规则路由分层共形</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69.8%±1.8%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3.9%±0.5%</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70.7%±1.8%</w:t>
            </w:r>
          </w:p>
        </w:tc>
        <w:tc>
          <w:tcPr>
            <w:tcW w:type="dxa" w:w="1662"/>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预测时可执行，覆盖未达标</w:t>
            </w:r>
          </w:p>
        </w:tc>
      </w:tr>
      <w:tr>
        <w:trPr>
          <w:cantSplit/>
        </w:trPr>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标签事件事后参照（oracle）</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70.1%±1.8%</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86.1%±0.0%</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69.9%±1.9%</w:t>
            </w:r>
          </w:p>
        </w:tc>
        <w:tc>
          <w:tcPr>
            <w:tcW w:type="dxa" w:w="1662"/>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标签路由，预测时不可用</w:t>
            </w:r>
          </w:p>
        </w:tc>
      </w:tr>
    </w:tbl>
    <w:p>
      <w:pPr>
        <w:spacing w:before="0" w:after="0" w:line="300" w:lineRule="auto"/>
        <w:ind w:firstLine="480"/>
        <w:jc w:val="both"/>
      </w:pPr>
      <w:r>
        <w:rPr>
          <w:rFonts w:ascii="Times New Roman" w:hAnsi="Times New Roman" w:cs="Times New Roman" w:eastAsia="宋体"/>
          <w:b w:val="0"/>
          <w:sz w:val="24"/>
        </w:rPr>
        <w:t>注：均值和标准差来自2024、2025、2026三种子；覆盖率为测试集经验值，未作有限样本秩修正。</w:t>
      </w:r>
    </w:p>
    <w:p>
      <w:pPr>
        <w:spacing w:before="0" w:after="0" w:line="300" w:lineRule="auto"/>
        <w:ind w:firstLine="480"/>
        <w:jc w:val="both"/>
      </w:pPr>
      <w:r>
        <w:rPr>
          <w:rFonts w:ascii="Times New Roman" w:hAnsi="Times New Roman" w:cs="Times New Roman" w:eastAsia="宋体"/>
          <w:b w:val="0"/>
          <w:sz w:val="24"/>
        </w:rPr>
        <w:t>覆盖不足与可见信号和标签事件的错位相一致。测试预测键中，规则触发仅占0.43%，而标签事件占1.43%；在seed-2024四格示例中，3,060个规则触发键中只有235个为标签事件。多数标签事件仍进入未触发层，接受由稳定残差确定的窄区间。该统计关系不能排除残差分布变化和有限样本实现的共同影响。</w:t>
      </w:r>
    </w:p>
    <w:p>
      <w:pPr>
        <w:spacing w:before="0" w:after="0" w:line="300" w:lineRule="auto"/>
        <w:ind w:firstLine="480"/>
        <w:jc w:val="both"/>
      </w:pPr>
      <w:r>
        <w:rPr>
          <w:rFonts w:ascii="Times New Roman" w:hAnsi="Times New Roman" w:cs="Times New Roman" w:eastAsia="宋体"/>
          <w:b w:val="0"/>
          <w:sz w:val="24"/>
        </w:rPr>
        <w:t>三类覆盖口径见图5-7，触发层半宽相对全局半宽的膨胀见图5-8。规则触发层的统一半宽为0.651±0.005 kWh/15 min，远大于逐节点全局残差半宽，反映触发层残差分布更宽。</w:t>
      </w:r>
    </w:p>
    <w:p>
      <w:pPr>
        <w:spacing w:before="60" w:after="60" w:line="240" w:lineRule="auto"/>
        <w:ind w:firstLine="0"/>
        <w:jc w:val="center"/>
      </w:pPr>
      <w:r>
        <w:drawing>
          <wp:inline xmlns:a="http://schemas.openxmlformats.org/drawingml/2006/main" xmlns:pic="http://schemas.openxmlformats.org/drawingml/2006/picture">
            <wp:extent cx="5112000" cy="5022378"/>
            <wp:docPr id="63" name="Picture 63"/>
            <wp:cNvGraphicFramePr>
              <a:graphicFrameLocks noChangeAspect="1"/>
            </wp:cNvGraphicFramePr>
            <a:graphic>
              <a:graphicData uri="http://schemas.openxmlformats.org/drawingml/2006/picture">
                <pic:pic>
                  <pic:nvPicPr>
                    <pic:cNvPr id="0" name="fig5_7_coverage.png"/>
                    <pic:cNvPicPr/>
                  </pic:nvPicPr>
                  <pic:blipFill>
                    <a:blip r:embed="rId109"/>
                    <a:stretch>
                      <a:fillRect/>
                    </a:stretch>
                  </pic:blipFill>
                  <pic:spPr>
                    <a:xfrm>
                      <a:off x="0" y="0"/>
                      <a:ext cx="5112000" cy="502237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图5-7 共形覆盖率比较</w:t>
      </w:r>
    </w:p>
    <w:p>
      <w:pPr>
        <w:spacing w:before="0" w:after="0" w:line="300" w:lineRule="auto"/>
        <w:ind w:firstLine="480"/>
        <w:jc w:val="both"/>
      </w:pPr>
      <w:r>
        <w:rPr>
          <w:rFonts w:ascii="Times New Roman" w:hAnsi="Times New Roman" w:cs="Times New Roman" w:eastAsia="宋体"/>
          <w:b w:val="0"/>
          <w:sz w:val="18"/>
        </w:rPr>
        <w:t>注：A比较标签事件窗口中的标准、规则路由和oracle结果；B比较整体与稳定窗口；C为规则路由下各预测步长的整体覆盖率。散点为单种子读数，误差棒为跨种子标准差，阴影为min–max范围；oracle仅作不可部署参照。</w:t>
      </w:r>
    </w:p>
    <w:p>
      <w:pPr>
        <w:spacing w:before="60" w:after="60" w:line="240" w:lineRule="auto"/>
        <w:ind w:firstLine="0"/>
        <w:jc w:val="center"/>
      </w:pPr>
      <w:r>
        <w:drawing>
          <wp:inline xmlns:a="http://schemas.openxmlformats.org/drawingml/2006/main" xmlns:pic="http://schemas.openxmlformats.org/drawingml/2006/picture">
            <wp:extent cx="5112000" cy="2319343"/>
            <wp:docPr id="64" name="Picture 64"/>
            <wp:cNvGraphicFramePr>
              <a:graphicFrameLocks noChangeAspect="1"/>
            </wp:cNvGraphicFramePr>
            <a:graphic>
              <a:graphicData uri="http://schemas.openxmlformats.org/drawingml/2006/picture">
                <pic:pic>
                  <pic:nvPicPr>
                    <pic:cNvPr id="0" name="fig5_8_quantile_per_node.png"/>
                    <pic:cNvPicPr/>
                  </pic:nvPicPr>
                  <pic:blipFill>
                    <a:blip r:embed="rId110"/>
                    <a:stretch>
                      <a:fillRect/>
                    </a:stretch>
                  </pic:blipFill>
                  <pic:spPr>
                    <a:xfrm>
                      <a:off x="0" y="0"/>
                      <a:ext cx="5112000" cy="2319343"/>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图5-8 分层残差分位数与区间膨胀</w:t>
      </w:r>
    </w:p>
    <w:p>
      <w:pPr>
        <w:spacing w:before="0" w:after="0" w:line="300" w:lineRule="auto"/>
        <w:ind w:firstLine="480"/>
        <w:jc w:val="both"/>
      </w:pPr>
      <w:r>
        <w:rPr>
          <w:rFonts w:ascii="Times New Roman" w:hAnsi="Times New Roman" w:cs="Times New Roman" w:eastAsia="宋体"/>
          <w:b w:val="0"/>
          <w:sz w:val="18"/>
        </w:rPr>
        <w:t>注：A比较全局、规则未触发层和规则触发层的90%残差分位数；B给出触发层相对全局分位数的倍数。点和误差棒为三种子均值±标准差；规则触发层使用统一分位数。</w:t>
      </w:r>
    </w:p>
    <w:p>
      <w:pPr>
        <w:spacing w:before="0" w:after="0" w:line="300" w:lineRule="auto"/>
        <w:ind w:firstLine="480"/>
        <w:jc w:val="both"/>
      </w:pPr>
      <w:r>
        <w:rPr>
          <w:rFonts w:ascii="Times New Roman" w:hAnsi="Times New Roman" w:cs="Times New Roman" w:eastAsia="宋体"/>
          <w:b w:val="0"/>
          <w:sz w:val="24"/>
        </w:rPr>
        <w:t>规则路由下各节点的平均区间宽度列于表5-3。</w:t>
      </w:r>
    </w:p>
    <w:p>
      <w:pPr>
        <w:keepNext/>
        <w:spacing w:before="60" w:after="60" w:line="240" w:lineRule="auto"/>
        <w:ind w:firstLine="0"/>
        <w:jc w:val="center"/>
      </w:pPr>
      <w:r>
        <w:rPr>
          <w:rFonts w:ascii="Times New Roman" w:hAnsi="Times New Roman" w:cs="Times New Roman" w:eastAsia="黑体"/>
          <w:b w:val="0"/>
          <w:sz w:val="21"/>
        </w:rPr>
        <w:t>表5-3 规则路由分层共形的节点级区间宽度</w:t>
      </w:r>
    </w:p>
    <w:tbl>
      <w:tblPr>
        <w:tblW w:type="dxa" w:w="8312"/>
        <w:jc w:val="center"/>
        <w:tblLayout w:type="fixed"/>
        <w:tblLook w:firstColumn="1" w:firstRow="1" w:lastColumn="0" w:lastRow="0" w:noHBand="0" w:noVBand="1" w:val="04A0"/>
      </w:tblPr>
      <w:tblGrid>
        <w:gridCol w:w="756"/>
        <w:gridCol w:w="756"/>
        <w:gridCol w:w="756"/>
        <w:gridCol w:w="756"/>
        <w:gridCol w:w="756"/>
        <w:gridCol w:w="756"/>
        <w:gridCol w:w="756"/>
        <w:gridCol w:w="756"/>
        <w:gridCol w:w="756"/>
        <w:gridCol w:w="756"/>
        <w:gridCol w:w="756"/>
      </w:tblGrid>
      <w:tr>
        <w:trPr>
          <w:cantSplit/>
          <w:tblHeader w:val="true"/>
        </w:trPr>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节点</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CA-303</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CA-311</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CA-327</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CA-489</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CA-321</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CA-305</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CA-315</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CA-304</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CA-307</w:t>
            </w:r>
          </w:p>
        </w:tc>
        <w:tc>
          <w:tcPr>
            <w:tcW w:type="dxa" w:w="756"/>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CA-317</w:t>
            </w:r>
          </w:p>
        </w:tc>
      </w:tr>
      <w:tr>
        <w:trPr>
          <w:cantSplit/>
        </w:trPr>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区间宽度/(kWh/15 min)</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0.0105±0.0005</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0.0091±0.0001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0.0091±0.0001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0.0071±0.0001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0.0069±0.0002</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0.0064±0.0006</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0.0051±0.0001</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0.0040±0.0002</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0.0028±0.0006</w:t>
            </w:r>
          </w:p>
        </w:tc>
        <w:tc>
          <w:tcPr>
            <w:tcW w:type="dxa" w:w="756"/>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0.0025±0.0002</w:t>
            </w:r>
          </w:p>
        </w:tc>
      </w:tr>
    </w:tbl>
    <w:p>
      <w:pPr>
        <w:spacing w:before="0" w:after="0" w:line="300" w:lineRule="auto"/>
        <w:ind w:firstLine="480"/>
        <w:jc w:val="both"/>
      </w:pPr>
      <w:r>
        <w:rPr>
          <w:rFonts w:ascii="Times New Roman" w:hAnsi="Times New Roman" w:cs="Times New Roman" w:eastAsia="宋体"/>
          <w:b w:val="0"/>
          <w:sz w:val="24"/>
        </w:rPr>
        <w:t>注：数值为三种子均值±样本标准差。区间宽度受节点残差与规则触发层分位数共同影响，不将其解释为节点风险的唯一度量。</w:t>
      </w:r>
    </w:p>
    <w:p>
      <w:pPr>
        <w:spacing w:before="240" w:after="180" w:line="300" w:lineRule="auto"/>
        <w:ind w:firstLine="0"/>
        <w:jc w:val="both"/>
        <w:outlineLvl w:val="2"/>
      </w:pPr>
      <w:r>
        <w:rPr>
          <w:rFonts w:ascii="Times New Roman" w:hAnsi="Times New Roman" w:cs="Times New Roman" w:eastAsia="黑体"/>
          <w:b w:val="0"/>
          <w:sz w:val="28"/>
        </w:rPr>
        <w:t>5.3.4 分布漂移与覆盖保证边界</w:t>
      </w:r>
    </w:p>
    <w:p>
      <w:pPr>
        <w:spacing w:before="0" w:after="0" w:line="300" w:lineRule="auto"/>
        <w:ind w:firstLine="480"/>
        <w:jc w:val="both"/>
      </w:pPr>
      <w:r>
        <w:rPr>
          <w:rFonts w:ascii="Times New Roman" w:hAnsi="Times New Roman" w:cs="Times New Roman" w:eastAsia="宋体"/>
          <w:b w:val="0"/>
          <w:sz w:val="24"/>
        </w:rPr>
        <w:t>本节将覆盖不足拆成两个相互关联、但不能混为一谈的环节。第一是路由信号错位：测试预测键中，标签事件占1.43%，冻结规则触发占0.43%；在seed-2024四格示例中，标签事件且规则未触发的预测键有9,925个，而两者同时出现的预测键只有235个。换言之，许多困难窗口在预测时并未进入事件层，因而仍使用稳定层的半宽。这里的9,925个样本描述的是两种口径的交叉关系，不能直接解释为规则漏报率，也不能据此断言所有事件都能由更丰富的可见输入识别。</w:t>
      </w:r>
    </w:p>
    <w:p>
      <w:pPr>
        <w:spacing w:before="0" w:after="0" w:line="300" w:lineRule="auto"/>
        <w:ind w:firstLine="480"/>
        <w:jc w:val="both"/>
      </w:pPr>
      <w:r>
        <w:rPr>
          <w:rFonts w:ascii="Times New Roman" w:hAnsi="Times New Roman" w:cs="Times New Roman" w:eastAsia="宋体"/>
          <w:b w:val="0"/>
          <w:sz w:val="24"/>
        </w:rPr>
        <w:t>第二是校准分布本身的失配：即使使用事后标签进行oracle分层，事件窗口覆盖率也只有86.1%，仍低于90%的目标；因此，事件路由不能单独解释全部覆盖缺口。验证集与测试集残差分布的变化、事件层样本稀疏、按节点与步长汇聚校准以及有限样本分位数实现，都可能共同影响结果。本实验没有通过独立校准集、滚动时间检验或预先登记的漂移统计进一步区分这些因素，故不把覆盖不足归因于某一个单一原因。</w:t>
      </w:r>
    </w:p>
    <w:p>
      <w:pPr>
        <w:spacing w:before="0" w:after="0" w:line="300" w:lineRule="auto"/>
        <w:ind w:firstLine="480"/>
        <w:jc w:val="both"/>
      </w:pPr>
      <w:r>
        <w:rPr>
          <w:rFonts w:ascii="Times New Roman" w:hAnsi="Times New Roman" w:cs="Times New Roman" w:eastAsia="宋体"/>
          <w:b w:val="0"/>
          <w:sz w:val="24"/>
        </w:rPr>
        <w:t>据此，规则路由将标签事件窗口覆盖率从1.9%提高到3.9%，应解释为“可见信号带来的有限改善”，而不是达到目标覆盖的证明；整体覆盖率约70%则说明当前区间方法未满足90%的经验目标。该结果的价值在于暴露路由与校准的失效边界，并不能称为分层共形方法本身被证伪。后续可在独立时间段上分别检验滚动自适应共形推断（ACI）</w:t>
      </w:r>
      <w:r>
        <w:rPr>
          <w:rFonts w:ascii="Times New Roman" w:hAnsi="Times New Roman" w:cs="Times New Roman" w:eastAsia="宋体"/>
          <w:b w:val="0"/>
          <w:sz w:val="24"/>
          <w:vertAlign w:val="superscript"/>
        </w:rPr>
        <w:t>[90]</w:t>
      </w:r>
      <w:r>
        <w:rPr>
          <w:rFonts w:ascii="Times New Roman" w:hAnsi="Times New Roman" w:cs="Times New Roman" w:eastAsia="宋体"/>
          <w:b w:val="0"/>
          <w:sz w:val="24"/>
        </w:rPr>
        <w:t>、新的实时可见特征和更稳定的事件分层；任何改进都必须重新冻结规则、校准数据和路由口径，再进行测试期验证。</w:t>
      </w:r>
    </w:p>
    <w:p>
      <w:pPr>
        <w:spacing w:before="240" w:after="180" w:line="300" w:lineRule="auto"/>
        <w:ind w:firstLine="0"/>
        <w:jc w:val="both"/>
        <w:outlineLvl w:val="2"/>
      </w:pPr>
      <w:r>
        <w:rPr>
          <w:rFonts w:ascii="Times New Roman" w:hAnsi="Times New Roman" w:cs="Times New Roman" w:eastAsia="黑体"/>
          <w:b w:val="0"/>
          <w:sz w:val="28"/>
        </w:rPr>
        <w:t>5.3.5 覆盖失败的可复核诊断框架</w:t>
      </w:r>
    </w:p>
    <w:p>
      <w:pPr>
        <w:spacing w:before="0" w:after="0" w:line="300" w:lineRule="auto"/>
        <w:ind w:firstLine="480"/>
        <w:jc w:val="both"/>
      </w:pPr>
      <w:r>
        <w:rPr>
          <w:rFonts w:ascii="Times New Roman" w:hAnsi="Times New Roman" w:cs="Times New Roman" w:eastAsia="宋体"/>
          <w:b w:val="0"/>
          <w:sz w:val="24"/>
        </w:rPr>
        <w:t>覆盖不足可分为路由、校准和分布三个环节。路由层中，标签事件占1.43%，冻结规则触发占0.43%，且有9,925个标签事件预测键未触发规则，说明多数困难样本没有获得事件层半宽；该交叉关系不是分类器意义上的召回率或漏报率。校准层中，规则路由将事件覆盖率从1.9%提高到3.9%，仍远低于90%；oracle也仅为86.1%，说明路由错位不能解释全部缺口。分布层中，验证时间段同时承担早停、阈值冻结和残差校准，触发样本又较少，当前实验无法进一步区分样本不足与验证—测试分布变化的影响。</w:t>
      </w:r>
    </w:p>
    <w:p>
      <w:pPr>
        <w:spacing w:before="0" w:after="0" w:line="300" w:lineRule="auto"/>
        <w:ind w:firstLine="480"/>
        <w:jc w:val="both"/>
      </w:pPr>
      <w:r>
        <w:rPr>
          <w:rFonts w:ascii="Times New Roman" w:hAnsi="Times New Roman" w:cs="Times New Roman" w:eastAsia="宋体"/>
          <w:b w:val="0"/>
          <w:sz w:val="24"/>
        </w:rPr>
        <w:t>触发层采用跨节点统一半宽以缓解样本稀疏，未触发层采用逐节点半宽以保留节点差异，这是一种覆盖与宽度之间的折中。增宽区间虽可能提高覆盖，却会降低输出精度；本文未设置业务可接受宽度，也不声称当前区间可直接支持容量决策。因此，本节结论限定为：冻结规则带来有限改善，但当前数据和校准协议未达到目标覆盖。</w:t>
      </w:r>
    </w:p>
    <w:p>
      <w:pPr>
        <w:spacing w:before="0" w:after="0" w:line="300" w:lineRule="auto"/>
        <w:ind w:firstLine="480"/>
        <w:jc w:val="both"/>
      </w:pPr>
      <w:r>
        <w:rPr>
          <w:rFonts w:ascii="Times New Roman" w:hAnsi="Times New Roman" w:cs="Times New Roman" w:eastAsia="宋体"/>
          <w:b w:val="0"/>
          <w:sz w:val="24"/>
        </w:rPr>
        <w:t>后续复核应使用独立校准时段，在不查看target_event的条件下保存逐键路由及区间端点，并按整体、事件、稳定、节点、步长和时间块同时报告覆盖率与宽度。规则路由与oracle应继续并列保留，以区分可执行结果和事后参照。</w:t>
      </w:r>
    </w:p>
    <w:p>
      <w:pPr>
        <w:spacing w:before="0" w:after="0" w:line="300" w:lineRule="auto"/>
        <w:ind w:firstLine="480"/>
        <w:jc w:val="both"/>
      </w:pPr>
      <w:r>
        <w:rPr>
          <w:rFonts w:ascii="Times New Roman" w:hAnsi="Times New Roman" w:cs="Times New Roman" w:eastAsia="宋体"/>
          <w:b w:val="0"/>
          <w:sz w:val="24"/>
        </w:rPr>
        <w:t>具体复核时，可先比较校准期与测试期在各节点、各预测步长上的绝对残差分位数，再按月或周统计规则触发率、事件占比和覆盖率。若残差分位数整体上移而路由交集基本稳定，问题更可能来自分布漂移；若残差分布接近但大量标签事件仍未触发规则，则应优先改进可见信号和路由定义；若两者同时变化，则需在独立时间段重新冻结规则与分位数。该顺序能够把“路由错位”和“校准失配”转化为可分别核验的统计对象。</w:t>
      </w:r>
    </w:p>
    <w:p>
      <w:pPr>
        <w:spacing w:before="360" w:after="240" w:line="360" w:lineRule="auto"/>
        <w:ind w:firstLine="0"/>
        <w:jc w:val="both"/>
        <w:outlineLvl w:val="1"/>
      </w:pPr>
      <w:r>
        <w:rPr>
          <w:rFonts w:ascii="Times New Roman" w:hAnsi="Times New Roman" w:cs="Times New Roman" w:eastAsia="黑体"/>
          <w:b/>
          <w:sz w:val="30"/>
        </w:rPr>
        <w:t>5.4 门控分配的分层参数干预敏感度</w:t>
      </w:r>
    </w:p>
    <w:p>
      <w:pPr>
        <w:spacing w:before="240" w:after="180" w:line="300" w:lineRule="auto"/>
        <w:ind w:firstLine="0"/>
        <w:jc w:val="both"/>
        <w:outlineLvl w:val="2"/>
      </w:pPr>
      <w:r>
        <w:rPr>
          <w:rFonts w:ascii="Times New Roman" w:hAnsi="Times New Roman" w:cs="Times New Roman" w:eastAsia="黑体"/>
          <w:b w:val="0"/>
          <w:sz w:val="28"/>
        </w:rPr>
        <w:t>5.4.1 问题与动机</w:t>
      </w:r>
    </w:p>
    <w:p>
      <w:pPr>
        <w:spacing w:before="0" w:after="0" w:line="300" w:lineRule="auto"/>
        <w:ind w:firstLine="480"/>
        <w:jc w:val="both"/>
      </w:pPr>
      <w:r>
        <w:rPr>
          <w:rFonts w:ascii="Times New Roman" w:hAnsi="Times New Roman" w:cs="Times New Roman" w:eastAsia="宋体"/>
          <w:b w:val="0"/>
          <w:sz w:val="24"/>
        </w:rPr>
        <w:t>第4章L1只报告参数替换对全局MAE的影响。由于事件、稳定和节点样本的误差尺度不同，全局结果不能描述各层面的响应。本节保持干预配置和预测键不变，将比较扩展至标签事件窗口、稳定窗口和逐节点MAE。</w:t>
      </w:r>
    </w:p>
    <w:p>
      <w:pPr>
        <w:spacing w:before="240" w:after="180" w:line="300" w:lineRule="auto"/>
        <w:ind w:firstLine="0"/>
        <w:jc w:val="both"/>
        <w:outlineLvl w:val="2"/>
      </w:pPr>
      <w:r>
        <w:rPr>
          <w:rFonts w:ascii="Times New Roman" w:hAnsi="Times New Roman" w:cs="Times New Roman" w:eastAsia="黑体"/>
          <w:b w:val="0"/>
          <w:sz w:val="28"/>
        </w:rPr>
        <w:t>5.4.2 分层参数干预方法</w:t>
      </w:r>
    </w:p>
    <w:p>
      <w:pPr>
        <w:spacing w:before="0" w:after="0" w:line="300" w:lineRule="auto"/>
        <w:ind w:firstLine="480"/>
        <w:jc w:val="both"/>
      </w:pPr>
      <w:r>
        <w:rPr>
          <w:rFonts w:ascii="Times New Roman" w:hAnsi="Times New Roman" w:cs="Times New Roman" w:eastAsia="宋体"/>
          <w:b w:val="0"/>
          <w:sz w:val="24"/>
        </w:rPr>
        <w:t>对每个已训练主模型，在学习值基线和7种</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替换配置下仅进行测试前向。对评价层</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计算相对变化：</w:t>
      </w:r>
    </w:p>
    <w:p>
      <w:pPr>
        <w:spacing w:before="0" w:after="0" w:line="360" w:lineRule="atLeast"/>
        <w:ind w:firstLine="0" w:left="0" w:right="0"/>
        <w:jc w:val="left"/>
        <w:tabs>
          <w:tab w:val="center" w:pos="4156"/>
          <w:tab w:val="right" w:pos="8312"/>
        </w:tabs>
      </w:pPr>
      <w:r>
        <w:tab/>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sSup>
          <m:sSupPr/>
          <m:e>
            <m:r>
              <m:t>MAE</m:t>
            </m:r>
          </m:e>
          <m:sup>
            <m:r>
              <m:t>(</m:t>
            </m:r>
            <m:r>
              <m:t>c</m:t>
            </m:r>
            <m:r>
              <m:t>)</m:t>
            </m:r>
          </m:sup>
        </m:sSup>
        <m:r>
          <m:t>⁡</m:t>
        </m:r>
        <m:r>
          <m:t>=</m:t>
        </m:r>
        <m:f>
          <m:num>
            <m:sSubSup>
              <m:sSubSupPr/>
              <m:e>
                <m:r>
                  <m:t>MAE</m:t>
                </m:r>
              </m:e>
              <m:sub>
                <m:r>
                  <m:t>intervention</m:t>
                </m:r>
              </m:sub>
              <m:sup>
                <m:r>
                  <m:t>(</m:t>
                </m:r>
                <m:r>
                  <m:t>c</m:t>
                </m:r>
                <m:r>
                  <m:t>)</m:t>
                </m:r>
              </m:sup>
            </m:sSubSup>
            <m:r>
              <m:t>⁡</m:t>
            </m:r>
            <m:r>
              <m:t>−</m:t>
            </m:r>
            <m:sSubSup>
              <m:sSubSupPr/>
              <m:e>
                <m:r>
                  <m:t>MAE</m:t>
                </m:r>
              </m:e>
              <m:sub>
                <m:r>
                  <m:t>learned</m:t>
                </m:r>
              </m:sub>
              <m:sup>
                <m:r>
                  <m:t>(</m:t>
                </m:r>
                <m:r>
                  <m:t>c</m:t>
                </m:r>
                <m:r>
                  <m:t>)</m:t>
                </m:r>
              </m:sup>
            </m:sSubSup>
            <m:r>
              <m:t>⁡</m:t>
            </m:r>
          </m:num>
          <m:den>
            <m:sSubSup>
              <m:sSubSupPr/>
              <m:e>
                <m:r>
                  <m:t>MAE</m:t>
                </m:r>
              </m:e>
              <m:sub>
                <m:r>
                  <m:t>learned</m:t>
                </m:r>
              </m:sub>
              <m:sup>
                <m:r>
                  <m:t>(</m:t>
                </m:r>
                <m:r>
                  <m:t>c</m:t>
                </m:r>
                <m:r>
                  <m:t>)</m:t>
                </m:r>
              </m:sup>
            </m:sSubSup>
            <m:r>
              <m:t>⁡</m:t>
            </m:r>
          </m:den>
        </m:f>
        <m:r>
          <m:t>.</m:t>
        </m:r>
      </m:oMath>
      <w:r>
        <w:tab/>
      </w:r>
      <w:r>
        <w:rPr>
          <w:rFonts w:ascii="Times New Roman" w:hAnsi="Times New Roman" w:cs="Times New Roman" w:eastAsia="宋体"/>
          <w:sz w:val="21"/>
        </w:rPr>
        <w:t>（5-4）</w:t>
      </w:r>
    </w:p>
    <w:p>
      <w:pPr>
        <w:spacing w:before="0" w:after="0" w:line="300" w:lineRule="auto"/>
        <w:ind w:firstLine="480"/>
        <w:jc w:val="both"/>
      </w:pPr>
      <w:r>
        <w:rPr>
          <w:rFonts w:ascii="Times New Roman" w:hAnsi="Times New Roman" w:cs="Times New Roman" w:eastAsia="宋体"/>
          <w:b w:val="0"/>
          <w:sz w:val="24"/>
        </w:rPr>
        <w:t>其中</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c</m:t>
        </m:r>
      </m:oMath>
      <w:r>
        <w:rPr>
          <w:rFonts w:ascii="Times New Roman" w:hAnsi="Times New Roman" w:cs="Times New Roman" w:eastAsia="宋体"/>
          <w:b w:val="0"/>
          <w:sz w:val="24"/>
        </w:rPr>
        <w:t>可取全局、标签事件窗口、稳定窗口或节点。该量描述参数替换的功能敏感度，不是观察数据中的处理效应，也不使用CATE或严格因果效应语义。</w:t>
      </w:r>
    </w:p>
    <w:p>
      <w:pPr>
        <w:spacing w:before="240" w:after="180" w:line="300" w:lineRule="auto"/>
        <w:ind w:firstLine="0"/>
        <w:jc w:val="both"/>
        <w:outlineLvl w:val="2"/>
      </w:pPr>
      <w:r>
        <w:rPr>
          <w:rFonts w:ascii="Times New Roman" w:hAnsi="Times New Roman" w:cs="Times New Roman" w:eastAsia="黑体"/>
          <w:b w:val="0"/>
          <w:sz w:val="28"/>
        </w:rPr>
        <w:t>5.4.3 分层敏感度结果</w:t>
      </w:r>
    </w:p>
    <w:p>
      <w:pPr>
        <w:spacing w:before="0" w:after="0" w:line="300" w:lineRule="auto"/>
        <w:ind w:firstLine="480"/>
        <w:jc w:val="both"/>
      </w:pPr>
      <w:r>
        <w:rPr>
          <w:rFonts w:ascii="Times New Roman" w:hAnsi="Times New Roman" w:cs="Times New Roman" w:eastAsia="宋体"/>
          <w:b w:val="0"/>
          <w:sz w:val="24"/>
        </w:rPr>
        <w:t>三种子汇总结果见表5-4。所有干预在全局、事件和稳定窗口的MAE均高于学习值基线。全局退化范围为95.9%至233.6%；稳定窗口的相对变化为132.1%至316.6%，高于标签事件窗口的5.5%至35.6%。这一差异说明不同样本层面对同一参数替换的相对响应不同；仅凭该相对变化不能识别其由何种数据机制导致。</w:t>
      </w:r>
    </w:p>
    <w:p>
      <w:pPr>
        <w:keepNext/>
        <w:spacing w:before="60" w:after="60" w:line="240" w:lineRule="auto"/>
        <w:ind w:firstLine="0"/>
        <w:jc w:val="center"/>
      </w:pPr>
      <w:r>
        <w:rPr>
          <w:rFonts w:ascii="Times New Roman" w:hAnsi="Times New Roman" w:cs="Times New Roman" w:eastAsia="黑体"/>
          <w:b w:val="0"/>
          <w:sz w:val="21"/>
        </w:rPr>
        <w:t>表5-4 分层参数干预敏感度</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干预配置</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全局</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标签事件窗口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Pr/>
              <w:t>稳定窗口</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Δ</m:t>
              </m:r>
            </m:oMath>
            <w:r>
              <w:rPr/>
              <w:t>MAE</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第一层学习值、第二层固定为轮廓相似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+95.9%</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+5.5%</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+132.1%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两层固定为行为共现</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+149.3%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+202.1%</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两层学习值交换</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+199.2%</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两层等权</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+143.8%</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+21.3%</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+192.9%</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第一层固定为负荷耦合、第二层学习值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+198.4%</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+35.6%</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+263.7%</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两层固定为轮廓相似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+200.7%</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+17.1%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+274.4%</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两层固定为负荷耦合</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+233.6%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+26.6%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+316.6%</w:t>
            </w:r>
          </w:p>
        </w:tc>
      </w:tr>
    </w:tbl>
    <w:p>
      <w:pPr>
        <w:spacing w:before="0" w:after="0" w:line="300" w:lineRule="auto"/>
        <w:ind w:firstLine="480"/>
        <w:jc w:val="both"/>
      </w:pPr>
      <w:r>
        <w:rPr>
          <w:rFonts w:ascii="Times New Roman" w:hAnsi="Times New Roman" w:cs="Times New Roman" w:eastAsia="宋体"/>
          <w:b w:val="0"/>
          <w:sz w:val="24"/>
        </w:rPr>
        <w:t>注：基线为学习值；数值为三种子汇总。当前分层汇总结果未保留逐种子离散度，故本表与图5-9不报告误差棒。</w:t>
      </w:r>
    </w:p>
    <w:p>
      <w:pPr>
        <w:spacing w:before="0" w:after="0" w:line="300" w:lineRule="auto"/>
        <w:ind w:firstLine="480"/>
        <w:jc w:val="both"/>
      </w:pPr>
      <w:r>
        <w:rPr>
          <w:rFonts w:ascii="Times New Roman" w:hAnsi="Times New Roman" w:cs="Times New Roman" w:eastAsia="宋体"/>
          <w:b w:val="0"/>
          <w:sz w:val="24"/>
        </w:rPr>
        <w:t>逐节点最大相对退化从CA-327的171.3%至CA-303的409.2%。CA-317、CA-315和CA-304的最大退化也分别为361.2%、351.6%和349.8%。这些数值说明节点对所检关系替换的敏感程度不同；因未对节点差异进行独立统计检验，正文不据此划分固定的“高敏感”或“低敏感”节点类别。</w:t>
      </w:r>
    </w:p>
    <w:p>
      <w:pPr>
        <w:spacing w:before="60" w:after="60" w:line="240" w:lineRule="auto"/>
        <w:ind w:firstLine="0"/>
        <w:jc w:val="center"/>
      </w:pPr>
      <w:r>
        <w:drawing>
          <wp:inline xmlns:a="http://schemas.openxmlformats.org/drawingml/2006/main" xmlns:pic="http://schemas.openxmlformats.org/drawingml/2006/picture">
            <wp:extent cx="5112000" cy="2805168"/>
            <wp:docPr id="65" name="Picture 65"/>
            <wp:cNvGraphicFramePr>
              <a:graphicFrameLocks noChangeAspect="1"/>
            </wp:cNvGraphicFramePr>
            <a:graphic>
              <a:graphicData uri="http://schemas.openxmlformats.org/drawingml/2006/picture">
                <pic:pic>
                  <pic:nvPicPr>
                    <pic:cNvPr id="0" name="fig5_9_parameter_intervention.png"/>
                    <pic:cNvPicPr/>
                  </pic:nvPicPr>
                  <pic:blipFill>
                    <a:blip r:embed="rId111"/>
                    <a:stretch>
                      <a:fillRect/>
                    </a:stretch>
                  </pic:blipFill>
                  <pic:spPr>
                    <a:xfrm>
                      <a:off x="0" y="0"/>
                      <a:ext cx="5112000" cy="2805168"/>
                    </a:xfrm>
                    <a:prstGeom prst="rect"/>
                  </pic:spPr>
                </pic:pic>
              </a:graphicData>
            </a:graphic>
          </wp:inline>
        </w:drawing>
      </w:r>
    </w:p>
    <w:p>
      <w:pPr>
        <w:spacing w:before="60" w:after="60" w:line="240" w:lineRule="auto"/>
        <w:ind w:firstLine="0"/>
        <w:jc w:val="center"/>
      </w:pPr>
      <w:r>
        <w:rPr>
          <w:rFonts w:ascii="Times New Roman" w:hAnsi="Times New Roman" w:cs="Times New Roman" w:eastAsia="黑体"/>
          <w:b w:val="0"/>
          <w:sz w:val="21"/>
        </w:rPr>
        <w:t>图5-9 分层参数干预敏感度</w:t>
      </w:r>
    </w:p>
    <w:p>
      <w:pPr>
        <w:spacing w:before="0" w:after="0" w:line="300" w:lineRule="auto"/>
        <w:ind w:firstLine="480"/>
        <w:jc w:val="both"/>
      </w:pPr>
      <w:r>
        <w:rPr>
          <w:rFonts w:ascii="Times New Roman" w:hAnsi="Times New Roman" w:cs="Times New Roman" w:eastAsia="宋体"/>
          <w:b w:val="0"/>
          <w:sz w:val="18"/>
        </w:rPr>
        <w:t>注：左图比较全局、标签事件窗口和稳定窗口的相对MAE变化，右图展示7种干预在10个节点上的相对变化。正值表示相对学习值基线退化；三种子分层汇总结果未提供离散度，因此无误差棒。</w:t>
      </w:r>
    </w:p>
    <w:p>
      <w:pPr>
        <w:spacing w:before="240" w:after="180" w:line="300" w:lineRule="auto"/>
        <w:ind w:firstLine="0"/>
        <w:jc w:val="both"/>
        <w:outlineLvl w:val="2"/>
      </w:pPr>
      <w:r>
        <w:rPr>
          <w:rFonts w:ascii="Times New Roman" w:hAnsi="Times New Roman" w:cs="Times New Roman" w:eastAsia="黑体"/>
          <w:b w:val="0"/>
          <w:sz w:val="28"/>
        </w:rPr>
        <w:t>5.4.4 分层参数干预结论</w:t>
      </w:r>
    </w:p>
    <w:p>
      <w:pPr>
        <w:spacing w:before="0" w:after="0" w:line="300" w:lineRule="auto"/>
        <w:ind w:firstLine="480"/>
        <w:jc w:val="both"/>
      </w:pPr>
      <w:r>
        <w:rPr>
          <w:rFonts w:ascii="Times New Roman" w:hAnsi="Times New Roman" w:cs="Times New Roman" w:eastAsia="宋体"/>
          <w:b w:val="0"/>
          <w:sz w:val="24"/>
        </w:rPr>
        <w:t>在所检7种组合中，学习到的</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分配均优于替换配置。该结论与第4章L1的全局结果一致，并新增两点分层信息：稳定窗口的相对敏感度更高，节点间最大退化幅度不同。两点均属于模型内部参数替换下的功能响应，不能外推为现实运行中的因果效应或直接调度规则。</w:t>
      </w:r>
    </w:p>
    <w:p>
      <w:pPr>
        <w:spacing w:before="240" w:after="180" w:line="300" w:lineRule="auto"/>
        <w:ind w:firstLine="0"/>
        <w:jc w:val="both"/>
        <w:outlineLvl w:val="2"/>
      </w:pPr>
      <w:r>
        <w:rPr>
          <w:rFonts w:ascii="Times New Roman" w:hAnsi="Times New Roman" w:cs="Times New Roman" w:eastAsia="黑体"/>
          <w:b w:val="0"/>
          <w:sz w:val="28"/>
        </w:rPr>
        <w:t>5.4.5 参数敏感度到工程含义的谨慎映射</w:t>
      </w:r>
    </w:p>
    <w:p>
      <w:pPr>
        <w:spacing w:before="0" w:after="0" w:line="300" w:lineRule="auto"/>
        <w:ind w:firstLine="480"/>
        <w:jc w:val="both"/>
      </w:pPr>
      <w:r>
        <w:rPr>
          <w:rFonts w:ascii="Times New Roman" w:hAnsi="Times New Roman" w:cs="Times New Roman" w:eastAsia="宋体"/>
          <w:b w:val="0"/>
          <w:sz w:val="24"/>
        </w:rPr>
        <w:t>参数干预固定模型、输入和预测键，仅替换两层关系级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因而排除了重新训练路径差异；误差上升表示当前模型表示与替换后的关系分配不匹配，不表示现实负荷会对同类“干预”产生相同变化。分层百分比还受基线大小影响：稳定窗口基线MAE较小，可能放大相对退化；事件窗口则需结合绝对MAE和样本数判断，不能据表5-4断言稳定样本更重要。</w:t>
      </w:r>
    </w:p>
    <w:p>
      <w:pPr>
        <w:spacing w:before="0" w:after="0" w:line="300" w:lineRule="auto"/>
        <w:ind w:firstLine="480"/>
        <w:jc w:val="both"/>
      </w:pPr>
      <w:r>
        <w:rPr>
          <w:rFonts w:ascii="Times New Roman" w:hAnsi="Times New Roman" w:cs="Times New Roman" w:eastAsia="宋体"/>
          <w:b w:val="0"/>
          <w:sz w:val="24"/>
        </w:rPr>
        <w:t>逐节点最大退化也不能直接形成“关键节点”清单，因为节点负荷尺度、事件比例和连接结构不同。本节沿用第4章L1的三种子预测与干预结果，不重新训练或改变正式排名；若更换输入协议或关系图，应作为独立实验系列报告。该分析更适合作为模型压力测试：局部误差异常时，应回查构图、节点门控和数据分布，而不是直接删除某类关系。</w:t>
      </w:r>
    </w:p>
    <w:p>
      <w:pPr>
        <w:spacing w:before="0" w:after="0" w:line="300" w:lineRule="auto"/>
        <w:ind w:firstLine="480"/>
        <w:jc w:val="both"/>
      </w:pPr>
      <w:r>
        <w:rPr>
          <w:rFonts w:ascii="Times New Roman" w:hAnsi="Times New Roman" w:cs="Times New Roman" w:eastAsia="宋体"/>
          <w:b w:val="0"/>
          <w:sz w:val="24"/>
        </w:rPr>
        <w:t>后续需补充节点门控独立消融，保存逐种子、逐节点和时间块干预结果，并在外部时段或站点重复协议。当前参数替换只承担功能敏感度分析，与方向性检验和共形覆盖分别对应模型内部、输入结构和输出不确定性三个层面，三者不能合并为现实因果链条。</w:t>
      </w:r>
    </w:p>
    <w:p>
      <w:pPr>
        <w:spacing w:before="240" w:after="180" w:line="300" w:lineRule="auto"/>
        <w:ind w:firstLine="0"/>
        <w:jc w:val="both"/>
        <w:outlineLvl w:val="2"/>
      </w:pPr>
      <w:r>
        <w:rPr>
          <w:rFonts w:ascii="Times New Roman" w:hAnsi="Times New Roman" w:cs="Times New Roman" w:eastAsia="黑体"/>
          <w:b w:val="0"/>
          <w:sz w:val="28"/>
        </w:rPr>
        <w:t>5.4.6 证据层级与复现优先级</w:t>
      </w:r>
    </w:p>
    <w:p>
      <w:pPr>
        <w:spacing w:before="0" w:after="0" w:line="300" w:lineRule="auto"/>
        <w:ind w:firstLine="480"/>
        <w:jc w:val="both"/>
      </w:pPr>
      <w:r>
        <w:rPr>
          <w:rFonts w:ascii="Times New Roman" w:hAnsi="Times New Roman" w:cs="Times New Roman" w:eastAsia="宋体"/>
          <w:b w:val="0"/>
          <w:sz w:val="24"/>
        </w:rPr>
        <w:t>三项探索的证据对象不同：TE—PCMCI+针对训练期序列的条件滞后候选，分层共形针对冻结预测的经验覆盖，参数干预针对模型内部关系分配。复现时应先核对支撑主结论的逐键预测、事件掩码和四格汇总，再核对验证残差、规则输入和区间端点，最后检查逐边方向性结果和逐配置干预输出。只有时间戳、节点顺序、预测步长、掩码和模型状态等中间对象一致，最终指标才可比较。</w:t>
      </w:r>
    </w:p>
    <w:p>
      <w:pPr>
        <w:spacing w:before="0" w:after="0" w:line="300" w:lineRule="auto"/>
        <w:ind w:firstLine="480"/>
        <w:jc w:val="both"/>
      </w:pPr>
      <w:r>
        <w:rPr>
          <w:rFonts w:ascii="Times New Roman" w:hAnsi="Times New Roman" w:cs="Times New Roman" w:eastAsia="宋体"/>
          <w:b w:val="0"/>
          <w:sz w:val="24"/>
        </w:rPr>
        <w:t>后续实验宜一次只增加一个预先定义的变量或对照：方向性关系先做外部时段验证，再考虑回灌模型；区间预测先设置独立校准段，再比较路由；门控机制先完成节点门控独立消融。该顺序既保留现有主线，也避免继续堆叠无法区分来源的结果。</w:t>
      </w:r>
    </w:p>
    <w:p>
      <w:pPr>
        <w:spacing w:before="0" w:after="0" w:line="300" w:lineRule="auto"/>
        <w:ind w:firstLine="480"/>
        <w:jc w:val="both"/>
      </w:pPr>
      <w:r>
        <w:rPr>
          <w:rFonts w:ascii="Times New Roman" w:hAnsi="Times New Roman" w:cs="Times New Roman" w:eastAsia="宋体"/>
          <w:b w:val="0"/>
          <w:sz w:val="24"/>
        </w:rPr>
        <w:t>复核记录还应保存指标对应的最小中间对象。方向性分析需保留逐边统计量、滞后和名义阈值状态；共形分析需保留校准残差、逐键路由、上下界和覆盖标记；参数干预需保留原模型哈希、替换后的关系权重和逐键绝对误差。复核者据此可从中间量重算边数、覆盖率和相对MAE，而不必依赖图表中的四舍五入读数，也能判断差异来自数据、协议还是模型状态。</w:t>
      </w:r>
    </w:p>
    <w:p>
      <w:pPr>
        <w:spacing w:before="360" w:after="240" w:line="360" w:lineRule="auto"/>
        <w:ind w:firstLine="0"/>
        <w:jc w:val="both"/>
        <w:outlineLvl w:val="1"/>
      </w:pPr>
      <w:r>
        <w:rPr>
          <w:rFonts w:ascii="Times New Roman" w:hAnsi="Times New Roman" w:cs="Times New Roman" w:eastAsia="黑体"/>
          <w:b/>
          <w:sz w:val="30"/>
        </w:rPr>
        <w:t>5.5 本章小结</w:t>
      </w:r>
    </w:p>
    <w:p>
      <w:pPr>
        <w:spacing w:before="0" w:after="0" w:line="300" w:lineRule="auto"/>
        <w:ind w:firstLine="480"/>
        <w:jc w:val="both"/>
      </w:pPr>
      <w:r>
        <w:rPr>
          <w:rFonts w:ascii="Times New Roman" w:hAnsi="Times New Roman" w:cs="Times New Roman" w:eastAsia="宋体"/>
          <w:b w:val="0"/>
          <w:sz w:val="24"/>
        </w:rPr>
        <w:t>本章围绕关系方向、区间可靠性和分层参数敏感度开展了三项探索，结果汇总见表5-5。</w:t>
      </w:r>
    </w:p>
    <w:p>
      <w:pPr>
        <w:spacing w:before="0" w:after="0" w:line="300" w:lineRule="auto"/>
        <w:ind w:firstLine="480"/>
        <w:jc w:val="both"/>
      </w:pPr>
      <w:r>
        <w:rPr>
          <w:rFonts w:ascii="Times New Roman" w:hAnsi="Times New Roman" w:cs="Times New Roman" w:eastAsia="宋体"/>
          <w:b w:val="0"/>
          <w:sz w:val="24"/>
        </w:rPr>
        <w:t>本章按“输入结构—输出区间—模型参数”形成检查链：TE与PCMCI+发现方向性候选，共形分析检验可见规则下的区间覆盖，参数干预比较不同样本层面对关系替换的响应。三项分析均使用冻结数据或模型，不构成新的点预测训练，也不改变第3章排名。表5-5汇总其对象、主要观察和结论边界。</w:t>
      </w:r>
    </w:p>
    <w:p>
      <w:pPr>
        <w:keepNext/>
        <w:spacing w:before="60" w:after="60" w:line="240" w:lineRule="auto"/>
        <w:ind w:firstLine="0"/>
        <w:jc w:val="center"/>
      </w:pPr>
      <w:r>
        <w:rPr>
          <w:rFonts w:ascii="Times New Roman" w:hAnsi="Times New Roman" w:cs="Times New Roman" w:eastAsia="黑体"/>
          <w:b w:val="0"/>
          <w:sz w:val="21"/>
        </w:rPr>
        <w:t>表5-5 第5章探索结果汇总</w:t>
      </w:r>
    </w:p>
    <w:tbl>
      <w:tblPr>
        <w:tblW w:type="dxa" w:w="8312"/>
        <w:jc w:val="center"/>
        <w:tblLayout w:type="fixed"/>
        <w:tblLook w:firstColumn="1" w:firstRow="1" w:lastColumn="0" w:lastRow="0" w:noHBand="0" w:noVBand="1" w:val="04A0"/>
      </w:tblPr>
      <w:tblGrid>
        <w:gridCol w:w="2078"/>
        <w:gridCol w:w="2078"/>
        <w:gridCol w:w="2078"/>
        <w:gridCol w:w="2078"/>
      </w:tblGrid>
      <w:tr>
        <w:trPr>
          <w:cantSplit/>
          <w:tblHeader w:val="true"/>
        </w:trPr>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问题</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操作</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主要观察</w:t>
            </w:r>
          </w:p>
        </w:tc>
        <w:tc>
          <w:tcPr>
            <w:tcW w:type="dxa" w:w="2078"/>
            <w:vAlign w:val="center"/>
            <w:tcBorders>
              <w:top w:val="single" w:sz="12" w:color="000000"/>
              <w:bottom w:val="single" w:sz="6" w:color="000000"/>
              <w:left w:val="nil"/>
              <w:right w:val="nil"/>
            </w:tcBorders>
          </w:tcPr>
          <w:p>
            <w:pPr>
              <w:spacing w:before="0" w:after="0" w:line="240" w:lineRule="auto"/>
              <w:ind w:firstLine="0"/>
              <w:jc w:val="center"/>
            </w:pPr>
            <w:r/>
            <w:r>
              <w:rPr>
                <w:rFonts w:ascii="Times New Roman" w:hAnsi="Times New Roman" w:cs="Times New Roman" w:eastAsia="宋体"/>
                <w:b/>
                <w:sz w:val="21"/>
              </w:rPr>
              <w:t>结论边界</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统计关系能否呈现方向信息？</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TE候选与PCMCI+条件独立核验</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76/90条TE候选；44/76在PCMCI+下仍达到名义阈值</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单数据集、未多重比较校正；为条件滞后依赖候选，不是物理因果边</w:t>
            </w:r>
          </w:p>
        </w:tc>
      </w:tr>
      <w:tr>
        <w:trPr>
          <w:cantSplit/>
        </w:trPr>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点预测能否给出可靠区间？</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标准共形、规则路由分层共形与oracle对比</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标签事件覆盖率1.9%→3.9%；oracle为86.1%</w:t>
            </w:r>
          </w:p>
        </w:tc>
        <w:tc>
          <w:tcPr>
            <w:tcW w:type="dxa" w:w="2078"/>
            <w:vAlign w:val="center"/>
            <w:tcBorders>
              <w:top w:val="nil"/>
              <w:bottom w:val="nil"/>
              <w:left w:val="nil"/>
              <w:right w:val="nil"/>
            </w:tcBorders>
          </w:tcPr>
          <w:p>
            <w:pPr>
              <w:spacing w:before="0" w:after="0" w:line="240" w:lineRule="auto"/>
              <w:ind w:firstLine="0"/>
              <w:jc w:val="center"/>
            </w:pPr>
            <w:r/>
            <w:r>
              <w:rPr>
                <w:rFonts w:ascii="Times New Roman" w:hAnsi="Times New Roman" w:cs="Times New Roman" w:eastAsia="宋体"/>
                <w:b w:val="0"/>
                <w:sz w:val="21"/>
              </w:rPr>
              <w:t>规则路由可在预测时执行但覆盖未达标；oracle仅为事后参照</w:t>
            </w:r>
          </w:p>
        </w:tc>
      </w:tr>
      <w:tr>
        <w:trPr>
          <w:cantSplit/>
        </w:trPr>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关系分配的影响是否分层不同？</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7种参数替换的窗口和节点汇总</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稳定窗口相对退化132.1%～316.6%，事件窗口为5.5%～35.6%</w:t>
            </w:r>
          </w:p>
        </w:tc>
        <w:tc>
          <w:tcPr>
            <w:tcW w:type="dxa" w:w="2078"/>
            <w:vAlign w:val="center"/>
            <w:tcBorders>
              <w:top w:val="nil"/>
              <w:bottom w:val="single" w:sz="12" w:color="000000"/>
              <w:left w:val="nil"/>
              <w:right w:val="nil"/>
            </w:tcBorders>
          </w:tcPr>
          <w:p>
            <w:pPr>
              <w:spacing w:before="0" w:after="0" w:line="240" w:lineRule="auto"/>
              <w:ind w:firstLine="0"/>
              <w:jc w:val="center"/>
            </w:pPr>
            <w:r/>
            <w:r>
              <w:rPr>
                <w:rFonts w:ascii="Times New Roman" w:hAnsi="Times New Roman" w:cs="Times New Roman" w:eastAsia="宋体"/>
                <w:b w:val="0"/>
                <w:sz w:val="21"/>
              </w:rPr>
              <w:t>参数干预敏感度，不构成因果效应；分层汇总未保存离散度</w:t>
            </w:r>
          </w:p>
        </w:tc>
      </w:tr>
    </w:tbl>
    <w:p>
      <w:pPr>
        <w:spacing w:before="0" w:after="0" w:line="300" w:lineRule="auto"/>
        <w:ind w:firstLine="480"/>
        <w:jc w:val="both"/>
      </w:pPr>
      <w:r>
        <w:rPr>
          <w:rFonts w:ascii="Times New Roman" w:hAnsi="Times New Roman" w:cs="Times New Roman" w:eastAsia="宋体"/>
          <w:b w:val="0"/>
          <w:sz w:val="24"/>
        </w:rPr>
        <w:t>方向性分析得到无向统计图未覆盖、可进一步核验的条件滞后依赖候选；区间分析显示，当前可见规则难以将标签事件可靠地路由至宽区间；参数替换则表明，学习关系分配的影响随样本层面而变化。三项分析均不改变第3章的正式点预测结论，也没有解决事件预测难题。后续研究应在跨站数据上验证方向性结构，使用独立时间段重新校准区间，并在引入更丰富可见信号后评估事件路由与关系图更新。</w:t>
      </w:r>
    </w:p>
    <w:p>
      <w:pPr>
        <w:sectPr>
          <w:headerReference w:type="default" r:id="rId100"/>
          <w:headerReference w:type="even" r:id="rId101"/>
          <w:footerReference w:type="default" r:id="rId102"/>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结  论</w:t>
      </w:r>
    </w:p>
    <w:p>
      <w:pPr>
        <w:spacing w:before="360" w:after="240" w:line="360" w:lineRule="auto"/>
        <w:ind w:firstLine="0"/>
        <w:jc w:val="both"/>
        <w:outlineLvl w:val="1"/>
      </w:pPr>
      <w:r>
        <w:rPr>
          <w:rFonts w:ascii="Times New Roman" w:hAnsi="Times New Roman" w:cs="Times New Roman" w:eastAsia="黑体"/>
          <w:b/>
          <w:sz w:val="30"/>
        </w:rPr>
        <w:t>研究工作总结</w:t>
      </w:r>
    </w:p>
    <w:p>
      <w:pPr>
        <w:spacing w:before="0" w:after="0" w:line="300" w:lineRule="auto"/>
        <w:ind w:firstLine="480"/>
        <w:jc w:val="both"/>
      </w:pPr>
      <w:r>
        <w:rPr>
          <w:rFonts w:ascii="Times New Roman" w:hAnsi="Times New Roman" w:cs="Times New Roman" w:eastAsia="宋体"/>
          <w:b w:val="0"/>
          <w:sz w:val="24"/>
        </w:rPr>
        <w:t>本文针对公共充电场站节点交互关系难以表征、预测收益来源不清和稀有事件误差易被平均指标掩盖的问题，以公开充电会话记录重构的节点代理负荷为对象，开展模型构建、预测验证与机制诊断。实验覆盖单站10个主分析节点，输入为96个15 min时间片，预测范围为未来4步，数据按时间顺序划分为训练、验证和测试集。</w:t>
      </w:r>
    </w:p>
    <w:p>
      <w:pPr>
        <w:spacing w:before="0" w:after="0" w:line="300" w:lineRule="auto"/>
        <w:ind w:firstLine="480"/>
        <w:jc w:val="both"/>
      </w:pPr>
      <w:r>
        <w:rPr>
          <w:rFonts w:ascii="Times New Roman" w:hAnsi="Times New Roman" w:cs="Times New Roman" w:eastAsia="宋体"/>
          <w:b w:val="0"/>
          <w:sz w:val="24"/>
        </w:rPr>
        <w:t>在方法层面，本文基于训练期负荷耦合、行为共现和轮廓相似三种统计关系构建LRE三关系图，提出由TCN时间骨干、关系级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门控和节点级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组成的MRG-GCN。为避免仅以点预测指标解释模型，本文构建三层机制诊断协议：L1通过关系权重观察与参数替换检验模型对关系分配的功能依赖，L2通过图模型到纯时序学生的知识蒸馏检验所选结构收益能否被吸收，L3以目标侧标签事件和冻结规则触发交叉分层，还原不同样本组的误差来源。</w:t>
      </w:r>
    </w:p>
    <w:p>
      <w:pPr>
        <w:spacing w:before="0" w:after="0" w:line="300" w:lineRule="auto"/>
        <w:ind w:firstLine="480"/>
        <w:jc w:val="both"/>
      </w:pPr>
      <w:r>
        <w:rPr>
          <w:rFonts w:ascii="Times New Roman" w:hAnsi="Times New Roman" w:cs="Times New Roman" w:eastAsia="宋体"/>
          <w:b w:val="0"/>
          <w:sz w:val="24"/>
        </w:rPr>
        <w:t>第5章另行开展三项预测支持探索：以TE和PCMCI+发现并交叉核验条件滞后依赖候选；以标准共形、规则路由分层共形和标签事件事后参照（oracle）比较区间覆盖边界；在窗口和节点层面分析门控参数替换后的相对误差响应。这些探索用于刻画结构理解和可靠性边界，不改变正式点预测结论，也不表述为物理因果识别或已经可部署的事件预测方案。</w:t>
      </w:r>
    </w:p>
    <w:p>
      <w:pPr>
        <w:spacing w:before="360" w:after="240" w:line="360" w:lineRule="auto"/>
        <w:ind w:firstLine="0"/>
        <w:jc w:val="both"/>
        <w:outlineLvl w:val="1"/>
      </w:pPr>
      <w:r>
        <w:rPr>
          <w:rFonts w:ascii="Times New Roman" w:hAnsi="Times New Roman" w:cs="Times New Roman" w:eastAsia="黑体"/>
          <w:b/>
          <w:sz w:val="30"/>
        </w:rPr>
        <w:t>主要研究结论</w:t>
      </w:r>
    </w:p>
    <w:p>
      <w:pPr>
        <w:spacing w:before="0" w:after="0" w:line="300" w:lineRule="auto"/>
        <w:ind w:firstLine="480"/>
        <w:jc w:val="both"/>
      </w:pPr>
      <w:r>
        <w:rPr>
          <w:rFonts w:ascii="Times New Roman" w:hAnsi="Times New Roman" w:cs="Times New Roman" w:eastAsia="宋体"/>
          <w:b w:val="0"/>
          <w:sz w:val="24"/>
        </w:rPr>
        <w:t>（1）在本文的数据口径和统一预测键上，MRG-GCN取得0.01376 kWh/15 min的全局MAE和0.2860的WAPE，较TCN的MAE下降53.4%，较ARIMA下降39.1%。其MAE最低，并在已报告WAPE的模型中取得最低WAPE，但AGCRN简化变体取得更低的RMSE；MRG-GCN、AdaptiveGraph和EventResidual三者的MAE差异与跨种子波动同级，因而不能据此建立头部模型的稳定次序。关系消融显示单关系与三关系表现接近，关系随机失活未见实质收益，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门控亦未获得独立消融证据，故本文不主张三种关系均有独立正增量。</w:t>
      </w:r>
    </w:p>
    <w:p>
      <w:pPr>
        <w:spacing w:before="0" w:after="0" w:line="300" w:lineRule="auto"/>
        <w:ind w:firstLine="480"/>
        <w:jc w:val="both"/>
      </w:pPr>
      <w:r>
        <w:rPr>
          <w:rFonts w:ascii="Times New Roman" w:hAnsi="Times New Roman" w:cs="Times New Roman" w:eastAsia="宋体"/>
          <w:b w:val="0"/>
          <w:sz w:val="24"/>
        </w:rPr>
        <w:t>（2）机制诊断为完整模型的结构解释提供了分层证据。L1中，7种关系级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𝜷</m:t>
        </m:r>
      </m:oMath>
      <w:r>
        <w:rPr>
          <w:rFonts w:ascii="Times New Roman" w:hAnsi="Times New Roman" w:cs="Times New Roman" w:eastAsia="宋体"/>
          <w:b w:val="0"/>
          <w:sz w:val="24"/>
        </w:rPr>
        <w:t>替换均使全局MAE退化95.9%至233.6%，支持模型对所学习关系分配在所检配置内存在功能依赖。L2中，四个蒸馏权重下TCN学生的MAE均约为0.029，未弥合与StaticGraph教师0.01376之间的差距；该结论仅适用于所检学生架构、蒸馏目标和权重范围。L3中，标签事件窗口的误差约为稳定窗口的28倍，且在18项正式运行中四格加权MAE均能还原全局结果，说明全局指标不能替代对稀有困难样本的分层评价。</w:t>
      </w:r>
    </w:p>
    <w:p>
      <w:pPr>
        <w:spacing w:before="0" w:after="0" w:line="300" w:lineRule="auto"/>
        <w:ind w:firstLine="480"/>
        <w:jc w:val="both"/>
      </w:pPr>
      <w:r>
        <w:rPr>
          <w:rFonts w:ascii="Times New Roman" w:hAnsi="Times New Roman" w:cs="Times New Roman" w:eastAsia="宋体"/>
          <w:b w:val="0"/>
          <w:sz w:val="24"/>
        </w:rPr>
        <w:t>（3）第5章补充了模型的结构与可靠性边界。TE在90条有向节点对中得到76条名义候选，其中44条在PCMCI+条件独立检验下仍达到名义阈值；这些边均未作多重比较校正，也未纳入预测模型。规则路由分层共形将标签事件窗口的经验覆盖率从1.9%提高到3.9%，但仍远低于90%目标；标签事件事后参照（oracle）达到86.1%，只表示标签事后可知时的参照水平，不能作为部署结果。分层参数干预显示，稳定窗口和不同节点对关系替换的相对响应不同，这属于模型内部功能敏感度，而非现实过程的因果效应。</w:t>
      </w:r>
    </w:p>
    <w:p>
      <w:pPr>
        <w:spacing w:before="360" w:after="240" w:line="360" w:lineRule="auto"/>
        <w:ind w:firstLine="0"/>
        <w:jc w:val="both"/>
        <w:outlineLvl w:val="1"/>
      </w:pPr>
      <w:r>
        <w:rPr>
          <w:rFonts w:ascii="Times New Roman" w:hAnsi="Times New Roman" w:cs="Times New Roman" w:eastAsia="黑体"/>
          <w:b/>
          <w:sz w:val="30"/>
        </w:rPr>
        <w:t>工程应用意义与适用范围</w:t>
      </w:r>
    </w:p>
    <w:p>
      <w:pPr>
        <w:spacing w:before="0" w:after="0" w:line="300" w:lineRule="auto"/>
        <w:ind w:firstLine="480"/>
        <w:jc w:val="both"/>
      </w:pPr>
      <w:r>
        <w:rPr>
          <w:rFonts w:ascii="Times New Roman" w:hAnsi="Times New Roman" w:cs="Times New Roman" w:eastAsia="宋体"/>
          <w:b w:val="0"/>
          <w:sz w:val="24"/>
        </w:rPr>
        <w:t>本文结果的工程意义在于提供站内节点级的预测与诊断信息，而非直接输出调度策略。对于同类会话数据可用、节点标识稳定的场站，15 min节点代理负荷预测可作为节点关注排序、短时负荷监测和后续容量评估的输入；L3四格结果提醒运行人员，全局MAE较低并不意味着稀有困难窗口的误差同样可接受；规则路由共形结果则提示当前可见行为信号不足以为标签事件提供可靠区间。这些结论适用于本文的数据与实验口径，不能直接转换为容量节省、削峰收益或在线控制效果。</w:t>
      </w:r>
    </w:p>
    <w:p>
      <w:pPr>
        <w:spacing w:before="0" w:after="0" w:line="300" w:lineRule="auto"/>
        <w:ind w:firstLine="480"/>
        <w:jc w:val="both"/>
      </w:pPr>
      <w:r>
        <w:rPr>
          <w:rFonts w:ascii="Times New Roman" w:hAnsi="Times New Roman" w:cs="Times New Roman" w:eastAsia="宋体"/>
          <w:b w:val="0"/>
          <w:sz w:val="24"/>
        </w:rPr>
        <w:t>若要进入实际业务使用，至少需要完成三项补充验证：其一，以真实电表功率或经现场核验的量测数据明确代理负荷与物理负荷的映射；其二，在独立场站、不同运营周期和不同节点规模下重新冻结筛选、关系构图和规则阈值；其三，将预测输出与容量评估、运维告警或负荷均衡规则联用，量化其对具体业务决策的增益。本文不以现有离线结果替代上述验证。</w:t>
      </w:r>
    </w:p>
    <w:p>
      <w:pPr>
        <w:spacing w:before="360" w:after="240" w:line="360" w:lineRule="auto"/>
        <w:ind w:firstLine="0"/>
        <w:jc w:val="both"/>
        <w:outlineLvl w:val="1"/>
      </w:pPr>
      <w:r>
        <w:rPr>
          <w:rFonts w:ascii="Times New Roman" w:hAnsi="Times New Roman" w:cs="Times New Roman" w:eastAsia="黑体"/>
          <w:b/>
          <w:sz w:val="30"/>
        </w:rPr>
        <w:t>研究局限</w:t>
      </w:r>
    </w:p>
    <w:p>
      <w:pPr>
        <w:spacing w:before="0" w:after="0" w:line="300" w:lineRule="auto"/>
        <w:ind w:firstLine="480"/>
        <w:jc w:val="both"/>
      </w:pPr>
      <w:r>
        <w:rPr>
          <w:rFonts w:ascii="Times New Roman" w:hAnsi="Times New Roman" w:cs="Times New Roman" w:eastAsia="宋体"/>
          <w:b w:val="0"/>
          <w:sz w:val="24"/>
        </w:rPr>
        <w:t>本文仍存在以下局限。第一，研究基于单站会话记录重构的节点代理负荷，节点标识的统计对应关系并不等同于真实电表功率、物理充电桩或配电拓扑，结论需要在更多站点和更完整量测条件下复核。第二，LRE三关系图由训练期固定统计量得到，尚未考察关系随季节、运营策略和用户结构变化时的动态更新。第三，标签事件仅占测试预测键的1.43%，冻结规则触发仅占0.43%，两者错位限制了可见规则对困难样本的路由能力；当前共形实现报告经验覆盖率，且校准与测试之间存在分布失配，未能给出目标覆盖率保证。</w:t>
      </w:r>
    </w:p>
    <w:p>
      <w:pPr>
        <w:spacing w:before="0" w:after="0" w:line="300" w:lineRule="auto"/>
        <w:ind w:firstLine="480"/>
        <w:jc w:val="both"/>
      </w:pPr>
      <w:r>
        <w:rPr>
          <w:rFonts w:ascii="Times New Roman" w:hAnsi="Times New Roman" w:cs="Times New Roman" w:eastAsia="宋体"/>
          <w:b w:val="0"/>
          <w:sz w:val="24"/>
        </w:rPr>
        <w:t>第四，机制诊断的证据范围受实验设计限制。L1只覆盖7种离散关系替换，L2只考察单一TCN学生和四个蒸馏权重，L3的主四格已使用原正式MRG-GCN三种子预测，但图4-5和图4-6仍是seed-2024的描述性补充；节点级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尚未暴露为可单独干预的组件。第五，TE和PCMCI+均基于单数据集且未实施多重比较校正，不能解释为物理因果边；参数干预同样只描述模型对内部替换的响应。第六，点级Bootstrap和新增时间块复核均基于已固定测试期，只用于比较给定预测结果的误差差异，不能替代跨站或跨时期的外部验证。</w:t>
      </w:r>
    </w:p>
    <w:p>
      <w:pPr>
        <w:spacing w:before="360" w:after="240" w:line="360" w:lineRule="auto"/>
        <w:ind w:firstLine="0"/>
        <w:jc w:val="both"/>
        <w:outlineLvl w:val="1"/>
      </w:pPr>
      <w:r>
        <w:rPr>
          <w:rFonts w:ascii="Times New Roman" w:hAnsi="Times New Roman" w:cs="Times New Roman" w:eastAsia="黑体"/>
          <w:b/>
          <w:sz w:val="30"/>
        </w:rPr>
        <w:t>研究展望</w:t>
      </w:r>
    </w:p>
    <w:p>
      <w:pPr>
        <w:spacing w:before="0" w:after="0" w:line="300" w:lineRule="auto"/>
        <w:ind w:firstLine="480"/>
        <w:jc w:val="both"/>
      </w:pPr>
      <w:r>
        <w:rPr>
          <w:rFonts w:ascii="Times New Roman" w:hAnsi="Times New Roman" w:cs="Times New Roman" w:eastAsia="宋体"/>
          <w:b w:val="0"/>
          <w:sz w:val="24"/>
        </w:rPr>
        <w:t>后续研究可从四个方向推进。其一，扩展至多站点、多运营时段和含真实功率量测的数据，检验节点代理负荷建模、节点筛选和关系构造的外部有效性。其二，结合滚动窗口、动态邻接或在线更新机制，使关系图适应需求结构变化，并在独立测试期评估其收益。其三，将经更严格验证的方向性候选作为可选关系输入，与固定统计图及自适应图进行同键对照，而不止停留在结构发现层面。其四，引入预测时刻可见的预约、占用、价格和气象等信息，构建可部署的事件路由与自适应共形校准机制；同时开放节点级</w:t>
      </w:r>
      <m:oMath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r>
          <m:t>G</m:t>
        </m:r>
      </m:oMath>
      <w:r>
        <w:rPr>
          <w:rFonts w:ascii="Times New Roman" w:hAnsi="Times New Roman" w:cs="Times New Roman" w:eastAsia="宋体"/>
          <w:b w:val="0"/>
          <w:sz w:val="24"/>
        </w:rPr>
        <w:t>门控的干预和可视化接口，完善模型内部机制的可检验性。</w:t>
      </w:r>
    </w:p>
    <w:p>
      <w:pPr>
        <w:sectPr>
          <w:headerReference w:type="default" r:id="rId112"/>
          <w:headerReference w:type="even" r:id="rId113"/>
          <w:footerReference w:type="default" r:id="rId114"/>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pPr>
    </w:p>
    <w:p>
      <w:pPr>
        <w:pStyle w:val="3"/>
        <w:spacing w:before="240" w:after="60" w:line="240" w:lineRule="auto"/>
        <w:ind w:firstLine="0"/>
        <w:jc w:val="center"/>
        <w:outlineLvl w:val="0"/>
      </w:pPr>
      <w:r>
        <w:rPr>
          <w:rFonts w:ascii="Times New Roman" w:hAnsi="Times New Roman" w:cs="Times New Roman" w:eastAsia="黑体"/>
          <w:b/>
          <w:sz w:val="36"/>
        </w:rPr>
        <w:t>参考文献</w:t>
      </w:r>
    </w:p>
    <w:p>
      <w:pPr>
        <w:spacing w:before="0" w:after="0" w:line="300" w:lineRule="auto"/>
        <w:ind w:left="420" w:hanging="420"/>
        <w:jc w:val="left"/>
      </w:pPr>
      <w:r>
        <w:rPr>
          <w:rFonts w:ascii="Times New Roman" w:hAnsi="Times New Roman" w:cs="Times New Roman" w:eastAsia="宋体"/>
          <w:b w:val="0"/>
          <w:sz w:val="21"/>
        </w:rPr>
        <w:t>[1] 中国电动汽车充电基础设施促进联盟. 2024年全国电动汽车充换电基础设施运行情况[EB/OL]. (2025-01-23)[2026-08-04]. https://www.evcipa.org.cn/newsinfo/8137834.html.</w:t>
      </w:r>
    </w:p>
    <w:p>
      <w:pPr>
        <w:spacing w:before="0" w:after="0" w:line="300" w:lineRule="auto"/>
        <w:ind w:left="420" w:hanging="420"/>
        <w:jc w:val="left"/>
      </w:pPr>
      <w:r>
        <w:rPr>
          <w:rFonts w:ascii="Times New Roman" w:hAnsi="Times New Roman" w:cs="Times New Roman" w:eastAsia="宋体"/>
          <w:b w:val="0"/>
          <w:sz w:val="21"/>
        </w:rPr>
        <w:t>[2] 陈丽丹, 张尧, FIGUEIREDO A. 电动汽车充放电负荷预测研究综述[J]. 电力系统自动化, 2019, 43(10): 177-197.</w:t>
      </w:r>
    </w:p>
    <w:p>
      <w:pPr>
        <w:spacing w:before="0" w:after="0" w:line="300" w:lineRule="auto"/>
        <w:ind w:left="420" w:hanging="420"/>
        <w:jc w:val="left"/>
      </w:pPr>
      <w:r>
        <w:rPr>
          <w:rFonts w:ascii="Times New Roman" w:hAnsi="Times New Roman" w:cs="Times New Roman" w:eastAsia="宋体"/>
          <w:b w:val="0"/>
          <w:sz w:val="21"/>
        </w:rPr>
        <w:t>[3] 张夏韦, 梁军, 王要强, 等. 电动汽车充电负荷时空分布预测研究综述[J]. 电力建设, 2023, 44(12): 161-173.</w:t>
      </w:r>
    </w:p>
    <w:p>
      <w:pPr>
        <w:spacing w:before="0" w:after="0" w:line="300" w:lineRule="auto"/>
        <w:ind w:left="420" w:hanging="420"/>
        <w:jc w:val="left"/>
      </w:pPr>
      <w:r>
        <w:rPr>
          <w:rFonts w:ascii="Times New Roman" w:hAnsi="Times New Roman" w:cs="Times New Roman" w:eastAsia="宋体"/>
          <w:b w:val="0"/>
          <w:sz w:val="21"/>
        </w:rPr>
        <w:t>[4] 崔一诺, 罗配明, 李攀硕, 等. 电动汽车充放电负荷时-空分布预测研究综述[J]. 电气工程学报, 2026, 21(2): 371-385.</w:t>
      </w:r>
    </w:p>
    <w:p>
      <w:pPr>
        <w:spacing w:before="0" w:after="0" w:line="300" w:lineRule="auto"/>
        <w:ind w:left="420" w:hanging="420"/>
        <w:jc w:val="left"/>
      </w:pPr>
      <w:r>
        <w:rPr>
          <w:rFonts w:ascii="Times New Roman" w:hAnsi="Times New Roman" w:cs="Times New Roman" w:eastAsia="宋体"/>
          <w:b w:val="0"/>
          <w:sz w:val="21"/>
        </w:rPr>
        <w:t>[5] 韩林阳, 叶承晋, 朱超, 等. 高温天气下计及用户意愿的城市充电负荷空间引导策略[J]. 电力系统自动化, 2024, 48(10): 139-150.</w:t>
      </w:r>
    </w:p>
    <w:p>
      <w:pPr>
        <w:spacing w:before="0" w:after="0" w:line="300" w:lineRule="auto"/>
        <w:ind w:left="420" w:hanging="420"/>
        <w:jc w:val="left"/>
      </w:pPr>
      <w:r>
        <w:rPr>
          <w:rFonts w:ascii="Times New Roman" w:hAnsi="Times New Roman" w:cs="Times New Roman" w:eastAsia="宋体"/>
          <w:b w:val="0"/>
          <w:sz w:val="21"/>
        </w:rPr>
        <w:t>[6] 田礼彬. 电动汽车负荷时空预测及有序充放电优化调度[D]. 吉林: 东北电力大学, 2025.</w:t>
      </w:r>
    </w:p>
    <w:p>
      <w:pPr>
        <w:spacing w:before="0" w:after="0" w:line="300" w:lineRule="auto"/>
        <w:ind w:left="420" w:hanging="420"/>
        <w:jc w:val="left"/>
      </w:pPr>
      <w:r>
        <w:rPr>
          <w:rFonts w:ascii="Times New Roman" w:hAnsi="Times New Roman" w:cs="Times New Roman" w:eastAsia="宋体"/>
          <w:b w:val="0"/>
          <w:sz w:val="21"/>
        </w:rPr>
        <w:t>[7] 王哲, 万宝, 凌天晗, 等. 基于谱聚类和LSTM神经网络的电动公交车充电负荷预测方法[J]. 电力建设, 2021, 42(6): 58-66.</w:t>
      </w:r>
    </w:p>
    <w:p>
      <w:pPr>
        <w:spacing w:before="0" w:after="0" w:line="300" w:lineRule="auto"/>
        <w:ind w:left="420" w:hanging="420"/>
        <w:jc w:val="left"/>
      </w:pPr>
      <w:r>
        <w:rPr>
          <w:rFonts w:ascii="Times New Roman" w:hAnsi="Times New Roman" w:cs="Times New Roman" w:eastAsia="宋体"/>
          <w:b w:val="0"/>
          <w:sz w:val="21"/>
        </w:rPr>
        <w:t>[8] 陈闯. 基于图卷积网络及排队论的电动汽车充电负荷预测研究[D]. 深圳: 哈尔滨工业大学(深圳), 2022.</w:t>
      </w:r>
    </w:p>
    <w:p>
      <w:pPr>
        <w:spacing w:before="0" w:after="0" w:line="300" w:lineRule="auto"/>
        <w:ind w:left="420" w:hanging="420"/>
        <w:jc w:val="left"/>
      </w:pPr>
      <w:r>
        <w:rPr>
          <w:rFonts w:ascii="Times New Roman" w:hAnsi="Times New Roman" w:cs="Times New Roman" w:eastAsia="宋体"/>
          <w:b w:val="0"/>
          <w:sz w:val="21"/>
        </w:rPr>
        <w:t>[9] 奚圣宽. 基于深度学习的电动汽车充电桩负荷预测方法研究[D]. 北京: 华北电力大学, 2023.</w:t>
      </w:r>
    </w:p>
    <w:p>
      <w:pPr>
        <w:spacing w:before="0" w:after="0" w:line="300" w:lineRule="auto"/>
        <w:ind w:left="420" w:hanging="420"/>
        <w:jc w:val="left"/>
      </w:pPr>
      <w:r>
        <w:rPr>
          <w:rFonts w:ascii="Times New Roman" w:hAnsi="Times New Roman" w:cs="Times New Roman" w:eastAsia="宋体"/>
          <w:b w:val="0"/>
          <w:sz w:val="21"/>
        </w:rPr>
        <w:t>[10] 黄南天, 孙赫宏, 王圣元, 等. 计及多公共充电站差异化耦合关联的电动汽车充电负荷时-空短期预测[J]. 中国电机工程学报, 2025, 45(4): 1424-1436. DOI: 10.13334/j.0258-8013.pcsee.231589.</w:t>
      </w:r>
    </w:p>
    <w:p>
      <w:pPr>
        <w:spacing w:before="0" w:after="0" w:line="300" w:lineRule="auto"/>
        <w:ind w:left="420" w:hanging="420"/>
        <w:jc w:val="left"/>
      </w:pPr>
      <w:r>
        <w:rPr>
          <w:rFonts w:ascii="Times New Roman" w:hAnsi="Times New Roman" w:cs="Times New Roman" w:eastAsia="宋体"/>
          <w:b w:val="0"/>
          <w:sz w:val="21"/>
        </w:rPr>
        <w:t>[11] 张美霞, 孙铨杰, 杨秀. 考虑多源信息实时交互和用户后悔心理的电动汽车充电负荷预测[J]. 电网技术, 2022, 46(2): 632-641.</w:t>
      </w:r>
    </w:p>
    <w:p>
      <w:pPr>
        <w:spacing w:before="0" w:after="0" w:line="300" w:lineRule="auto"/>
        <w:ind w:left="420" w:hanging="420"/>
        <w:jc w:val="left"/>
      </w:pPr>
      <w:r>
        <w:rPr>
          <w:rFonts w:ascii="Times New Roman" w:hAnsi="Times New Roman" w:cs="Times New Roman" w:eastAsia="宋体"/>
          <w:b w:val="0"/>
          <w:sz w:val="21"/>
        </w:rPr>
        <w:t>[12] 张延宇, 张智铭, 刘春阳, 等. 基于动态自适应图神经网络的电动汽车充电负荷预测[J]. 电力系统自动化, 2024, 48(7): 86-93.</w:t>
      </w:r>
    </w:p>
    <w:p>
      <w:pPr>
        <w:spacing w:before="0" w:after="0" w:line="300" w:lineRule="auto"/>
        <w:ind w:left="420" w:hanging="420"/>
        <w:jc w:val="left"/>
      </w:pPr>
      <w:r>
        <w:rPr>
          <w:rFonts w:ascii="Times New Roman" w:hAnsi="Times New Roman" w:cs="Times New Roman" w:eastAsia="宋体"/>
          <w:b w:val="0"/>
          <w:sz w:val="21"/>
        </w:rPr>
        <w:t>[13] 黄健, 陈建洪, 何建杰, 等. 基于GCN-LSTM的电动汽车负荷预测方法[J]. 浙江电力, 2024, 43(12): 59-67.</w:t>
      </w:r>
    </w:p>
    <w:p>
      <w:pPr>
        <w:spacing w:before="0" w:after="0" w:line="300" w:lineRule="auto"/>
        <w:ind w:left="420" w:hanging="420"/>
        <w:jc w:val="left"/>
      </w:pPr>
      <w:r>
        <w:rPr>
          <w:rFonts w:ascii="Times New Roman" w:hAnsi="Times New Roman" w:cs="Times New Roman" w:eastAsia="宋体"/>
          <w:b w:val="0"/>
          <w:sz w:val="21"/>
        </w:rPr>
        <w:t>[14] 陈培垠, 方彦军. 基于卡尔曼滤波预测节假日逐点增长率的电力系统短期负荷预测[J]. 武汉大学学报(工学版), 2020, 53(2): 139-144.</w:t>
      </w:r>
    </w:p>
    <w:p>
      <w:pPr>
        <w:spacing w:before="0" w:after="0" w:line="300" w:lineRule="auto"/>
        <w:ind w:left="420" w:hanging="420"/>
        <w:jc w:val="left"/>
      </w:pPr>
      <w:r>
        <w:rPr>
          <w:rFonts w:ascii="Times New Roman" w:hAnsi="Times New Roman" w:cs="Times New Roman" w:eastAsia="宋体"/>
          <w:b w:val="0"/>
          <w:sz w:val="21"/>
        </w:rPr>
        <w:t>[15] 潘良军, 王楷, 赵宏炎, 等. 基于春节影响时期分析的中期负荷智能预测[J]. 智慧电力, 2020, 48(9): 75-80,117.</w:t>
      </w:r>
    </w:p>
    <w:p>
      <w:pPr>
        <w:spacing w:before="0" w:after="0" w:line="300" w:lineRule="auto"/>
        <w:ind w:left="420" w:hanging="420"/>
        <w:jc w:val="left"/>
      </w:pPr>
      <w:r>
        <w:rPr>
          <w:rFonts w:ascii="Times New Roman" w:hAnsi="Times New Roman" w:cs="Times New Roman" w:eastAsia="宋体"/>
          <w:b w:val="0"/>
          <w:sz w:val="21"/>
        </w:rPr>
        <w:t>[16] 陈梓行, 金涛, 郑熙东, 等. 基于新型日期映射法和ISGU混合模型的短期电力负荷预测[J]. 电力系统保护与控制, 2022, 50(15): 72-80.</w:t>
      </w:r>
    </w:p>
    <w:p>
      <w:pPr>
        <w:spacing w:before="0" w:after="0" w:line="300" w:lineRule="auto"/>
        <w:ind w:left="420" w:hanging="420"/>
        <w:jc w:val="left"/>
      </w:pPr>
      <w:r>
        <w:rPr>
          <w:rFonts w:ascii="Times New Roman" w:hAnsi="Times New Roman" w:cs="Times New Roman" w:eastAsia="宋体"/>
          <w:b w:val="0"/>
          <w:sz w:val="21"/>
        </w:rPr>
        <w:t>[17] 巫朝越. 考虑特殊事件影响的单体用户短期负荷预测组合模型[D]. 南京: 东南大学, 2024.</w:t>
      </w:r>
    </w:p>
    <w:p>
      <w:pPr>
        <w:spacing w:before="0" w:after="0" w:line="300" w:lineRule="auto"/>
        <w:ind w:left="420" w:hanging="420"/>
        <w:jc w:val="left"/>
      </w:pPr>
      <w:r>
        <w:rPr>
          <w:rFonts w:ascii="Times New Roman" w:hAnsi="Times New Roman" w:cs="Times New Roman" w:eastAsia="宋体"/>
          <w:b w:val="0"/>
          <w:sz w:val="21"/>
        </w:rPr>
        <w:t>[18] 韩富佳, 王晓辉, 乔骥, 等. 基于人工智能技术的新型电力系统负荷预测研究综述[J]. 中国电机工程学报, 2023, 43(22): 8569-8591.</w:t>
      </w:r>
    </w:p>
    <w:p>
      <w:pPr>
        <w:spacing w:before="0" w:after="0" w:line="300" w:lineRule="auto"/>
        <w:ind w:left="420" w:hanging="420"/>
        <w:jc w:val="left"/>
      </w:pPr>
      <w:r>
        <w:rPr>
          <w:rFonts w:ascii="Times New Roman" w:hAnsi="Times New Roman" w:cs="Times New Roman" w:eastAsia="宋体"/>
          <w:b w:val="0"/>
          <w:sz w:val="21"/>
        </w:rPr>
        <w:t>[19] 黄运有, 詹剑锋. 基于深度学习的短期负荷预测综述[J]. 高技术通讯, 2021, 31(3): 240-248.</w:t>
      </w:r>
    </w:p>
    <w:p>
      <w:pPr>
        <w:spacing w:before="0" w:after="0" w:line="300" w:lineRule="auto"/>
        <w:ind w:left="420" w:hanging="420"/>
        <w:jc w:val="left"/>
      </w:pPr>
      <w:r>
        <w:rPr>
          <w:rFonts w:ascii="Times New Roman" w:hAnsi="Times New Roman" w:cs="Times New Roman" w:eastAsia="宋体"/>
          <w:b w:val="0"/>
          <w:sz w:val="21"/>
        </w:rPr>
        <w:t>[20] KE G, MENG Q, FINLEY T, et al. LightGBM: a highly efficient gradient boosting decision tree[C]//Advances in Neural Information Processing Systems (NeurIPS). 2017: 3146-3154.</w:t>
      </w:r>
    </w:p>
    <w:p>
      <w:pPr>
        <w:spacing w:before="0" w:after="0" w:line="300" w:lineRule="auto"/>
        <w:ind w:left="420" w:hanging="420"/>
        <w:jc w:val="left"/>
      </w:pPr>
      <w:r>
        <w:rPr>
          <w:rFonts w:ascii="Times New Roman" w:hAnsi="Times New Roman" w:cs="Times New Roman" w:eastAsia="宋体"/>
          <w:b w:val="0"/>
          <w:sz w:val="21"/>
        </w:rPr>
        <w:t>[21] CHEN T, GUESTRIN C. XGBoost: a scalable tree boosting system[C]//Proceedings of the 22nd ACM SIGKDD International Conference on Knowledge Discovery and Data Mining. 2016: 785-794.</w:t>
      </w:r>
    </w:p>
    <w:p>
      <w:pPr>
        <w:spacing w:before="0" w:after="0" w:line="300" w:lineRule="auto"/>
        <w:ind w:left="420" w:hanging="420"/>
        <w:jc w:val="left"/>
      </w:pPr>
      <w:r>
        <w:rPr>
          <w:rFonts w:ascii="Times New Roman" w:hAnsi="Times New Roman" w:cs="Times New Roman" w:eastAsia="宋体"/>
          <w:b w:val="0"/>
          <w:sz w:val="21"/>
        </w:rPr>
        <w:t>[22] HOCHREITER S, SCHMIDHUBER J. Long short-term memory[J]. Neural Computation, 1997, 9(8): 1735-1780.</w:t>
      </w:r>
    </w:p>
    <w:p>
      <w:pPr>
        <w:spacing w:before="0" w:after="0" w:line="300" w:lineRule="auto"/>
        <w:ind w:left="420" w:hanging="420"/>
        <w:jc w:val="left"/>
      </w:pPr>
      <w:r>
        <w:rPr>
          <w:rFonts w:ascii="Times New Roman" w:hAnsi="Times New Roman" w:cs="Times New Roman" w:eastAsia="宋体"/>
          <w:b w:val="0"/>
          <w:sz w:val="21"/>
        </w:rPr>
        <w:t>[23] CHO K, VAN MERRIËNBOER B, GULCEHRE C, et al. Learning phrase representations using RNN encoder-decoder for statistical machine translation[C]//Proceedings of EMNLP. 2014: 1724-1734.</w:t>
      </w:r>
    </w:p>
    <w:p>
      <w:pPr>
        <w:spacing w:before="0" w:after="0" w:line="300" w:lineRule="auto"/>
        <w:ind w:left="420" w:hanging="420"/>
        <w:jc w:val="left"/>
      </w:pPr>
      <w:r>
        <w:rPr>
          <w:rFonts w:ascii="Times New Roman" w:hAnsi="Times New Roman" w:cs="Times New Roman" w:eastAsia="宋体"/>
          <w:b w:val="0"/>
          <w:sz w:val="21"/>
        </w:rPr>
        <w:t>[24] BAI S, KOLTER J Z, KOLTUN V. An empirical evaluation of generic convolutional and recurrent networks for sequence modeling[J]. arXiv preprint arXiv:1803.01271, 2018.</w:t>
      </w:r>
    </w:p>
    <w:p>
      <w:pPr>
        <w:spacing w:before="0" w:after="0" w:line="300" w:lineRule="auto"/>
        <w:ind w:left="420" w:hanging="420"/>
        <w:jc w:val="left"/>
      </w:pPr>
      <w:r>
        <w:rPr>
          <w:rFonts w:ascii="Times New Roman" w:hAnsi="Times New Roman" w:cs="Times New Roman" w:eastAsia="宋体"/>
          <w:b w:val="0"/>
          <w:sz w:val="21"/>
        </w:rPr>
        <w:t>[25] VASWANI A, SHAZEER N, PARMAR N, et al. Attention is all you need[C]//Advances in Neural Information Processing Systems (NeurIPS). 2017: 5998-6008.</w:t>
      </w:r>
    </w:p>
    <w:p>
      <w:pPr>
        <w:spacing w:before="0" w:after="0" w:line="300" w:lineRule="auto"/>
        <w:ind w:left="420" w:hanging="420"/>
        <w:jc w:val="left"/>
      </w:pPr>
      <w:r>
        <w:rPr>
          <w:rFonts w:ascii="Times New Roman" w:hAnsi="Times New Roman" w:cs="Times New Roman" w:eastAsia="宋体"/>
          <w:b w:val="0"/>
          <w:sz w:val="21"/>
        </w:rPr>
        <w:t>[26] 王华彪, 李小勇. 基于融合注意力机制改进双向长短时记忆网络在电动汽车充电负荷中的预测研究[J]. 电网与清洁能源, 2022, 38(6): 104-112.</w:t>
      </w:r>
    </w:p>
    <w:p>
      <w:pPr>
        <w:spacing w:before="0" w:after="0" w:line="300" w:lineRule="auto"/>
        <w:ind w:left="420" w:hanging="420"/>
        <w:jc w:val="left"/>
      </w:pPr>
      <w:r>
        <w:rPr>
          <w:rFonts w:ascii="Times New Roman" w:hAnsi="Times New Roman" w:cs="Times New Roman" w:eastAsia="宋体"/>
          <w:b w:val="0"/>
          <w:sz w:val="21"/>
        </w:rPr>
        <w:t>[27] 王琨, 高敬更, 张勇红, 等. 基于LSTM神经网络的复合变量电动汽车充电负荷预测方法技术研究[J]. 工业仪表与自动化装置, 2019(1): 27-31.</w:t>
      </w:r>
    </w:p>
    <w:p>
      <w:pPr>
        <w:spacing w:before="0" w:after="0" w:line="300" w:lineRule="auto"/>
        <w:ind w:left="420" w:hanging="420"/>
        <w:jc w:val="left"/>
      </w:pPr>
      <w:r>
        <w:rPr>
          <w:rFonts w:ascii="Times New Roman" w:hAnsi="Times New Roman" w:cs="Times New Roman" w:eastAsia="宋体"/>
          <w:b w:val="0"/>
          <w:sz w:val="21"/>
        </w:rPr>
        <w:t>[28] 张昌鸿, 曾祥智. 基于拉丁超立方及CNN-LSTM-ATTENTION的电动汽车负荷预测[J]. 电工技术, 2025(10): 125-129.</w:t>
      </w:r>
    </w:p>
    <w:p>
      <w:pPr>
        <w:spacing w:before="0" w:after="0" w:line="300" w:lineRule="auto"/>
        <w:ind w:left="420" w:hanging="420"/>
        <w:jc w:val="left"/>
      </w:pPr>
      <w:r>
        <w:rPr>
          <w:rFonts w:ascii="Times New Roman" w:hAnsi="Times New Roman" w:cs="Times New Roman" w:eastAsia="宋体"/>
          <w:b w:val="0"/>
          <w:sz w:val="21"/>
        </w:rPr>
        <w:t>[29] 顾玮, 段敬, 张栋, 等. 分时电价下的充电站负荷预测[J]. 计算机应用, 2024, 44(S1): 337-342.</w:t>
      </w:r>
    </w:p>
    <w:p>
      <w:pPr>
        <w:spacing w:before="0" w:after="0" w:line="300" w:lineRule="auto"/>
        <w:ind w:left="420" w:hanging="420"/>
        <w:jc w:val="left"/>
      </w:pPr>
      <w:r>
        <w:rPr>
          <w:rFonts w:ascii="Times New Roman" w:hAnsi="Times New Roman" w:cs="Times New Roman" w:eastAsia="宋体"/>
          <w:b w:val="0"/>
          <w:sz w:val="21"/>
        </w:rPr>
        <w:t>[30] 袁溪, 张邵欣, 张超, 等. 基于Transformer的电动汽车充电站能耗预测研究[J]. 计算机技术与发展, 2025, 35(2): 213-220.</w:t>
      </w:r>
    </w:p>
    <w:p>
      <w:pPr>
        <w:spacing w:before="0" w:after="0" w:line="300" w:lineRule="auto"/>
        <w:ind w:left="420" w:hanging="420"/>
        <w:jc w:val="left"/>
      </w:pPr>
      <w:r>
        <w:rPr>
          <w:rFonts w:ascii="Times New Roman" w:hAnsi="Times New Roman" w:cs="Times New Roman" w:eastAsia="宋体"/>
          <w:b w:val="0"/>
          <w:sz w:val="21"/>
        </w:rPr>
        <w:t>[31] 王强, 毕宇豪, 高超, 等. 融合多方信息的电动汽车充电负荷时空分布预测[J]. 电力建设, 2025, 46(6): 24-37. DOI: 10.12204/j.issn.1000-7229.2025.06.003.</w:t>
      </w:r>
    </w:p>
    <w:p>
      <w:pPr>
        <w:spacing w:before="0" w:after="0" w:line="300" w:lineRule="auto"/>
        <w:ind w:left="420" w:hanging="420"/>
        <w:jc w:val="left"/>
      </w:pPr>
      <w:r>
        <w:rPr>
          <w:rFonts w:ascii="Times New Roman" w:hAnsi="Times New Roman" w:cs="Times New Roman" w:eastAsia="宋体"/>
          <w:b w:val="0"/>
          <w:sz w:val="21"/>
        </w:rPr>
        <w:t>[32] 赵子鋆, 彭清文, 邓铭, 等. 考虑多因素影响与误差修正的充电站负荷预测[J]. 浙江电力, 2024, 43(4): 21-28.</w:t>
      </w:r>
    </w:p>
    <w:p>
      <w:pPr>
        <w:spacing w:before="0" w:after="0" w:line="300" w:lineRule="auto"/>
        <w:ind w:left="420" w:hanging="420"/>
        <w:jc w:val="left"/>
      </w:pPr>
      <w:r>
        <w:rPr>
          <w:rFonts w:ascii="Times New Roman" w:hAnsi="Times New Roman" w:cs="Times New Roman" w:eastAsia="宋体"/>
          <w:b w:val="0"/>
          <w:sz w:val="21"/>
        </w:rPr>
        <w:t>[33] 温子健, 李伟风, 刘泽晖, 等. 基于时间特征分类与误差修正的电动汽车充电负荷预测[J]. 浙江电力, 2026, 45(5): 69-78. DOI: 10.19585/j.zjdl.202605007.</w:t>
      </w:r>
    </w:p>
    <w:p>
      <w:pPr>
        <w:spacing w:before="0" w:after="0" w:line="300" w:lineRule="auto"/>
        <w:ind w:left="420" w:hanging="420"/>
        <w:jc w:val="left"/>
      </w:pPr>
      <w:r>
        <w:rPr>
          <w:rFonts w:ascii="Times New Roman" w:hAnsi="Times New Roman" w:cs="Times New Roman" w:eastAsia="宋体"/>
          <w:b w:val="0"/>
          <w:sz w:val="21"/>
        </w:rPr>
        <w:t>[34] 蒋建东, 韩文轩, 赵云飞, 等. 基于优化VMD二次分解的短期电力负荷预测[J]. 郑州大学学报(工学版), 2026, 47(1): 124-130.</w:t>
      </w:r>
    </w:p>
    <w:p>
      <w:pPr>
        <w:spacing w:before="0" w:after="0" w:line="300" w:lineRule="auto"/>
        <w:ind w:left="420" w:hanging="420"/>
        <w:jc w:val="left"/>
      </w:pPr>
      <w:r>
        <w:rPr>
          <w:rFonts w:ascii="Times New Roman" w:hAnsi="Times New Roman" w:cs="Times New Roman" w:eastAsia="宋体"/>
          <w:b w:val="0"/>
          <w:sz w:val="21"/>
        </w:rPr>
        <w:t>[35] 张翾, 李红月. 基于优化VMD与TCN-ISE-Pyraformer的短期电力负荷预测[J]. 安徽工业大学学报(自然科学版), 2025, 42(3): 263-275. DOI: 10.12415/j.issn.1671-7872.25006.</w:t>
      </w:r>
    </w:p>
    <w:p>
      <w:pPr>
        <w:spacing w:before="0" w:after="0" w:line="300" w:lineRule="auto"/>
        <w:ind w:left="420" w:hanging="420"/>
        <w:jc w:val="left"/>
      </w:pPr>
      <w:r>
        <w:rPr>
          <w:rFonts w:ascii="Times New Roman" w:hAnsi="Times New Roman" w:cs="Times New Roman" w:eastAsia="宋体"/>
          <w:b w:val="0"/>
          <w:sz w:val="21"/>
        </w:rPr>
        <w:t>[36] 韩宇昊, 刘鸿鹏. 基于FMD-LSTM-Bootstrap的电动汽车充电负荷区间预测[J]. 东北电力大学学报, 2025, 45(6): 51-59.</w:t>
      </w:r>
    </w:p>
    <w:p>
      <w:pPr>
        <w:spacing w:before="0" w:after="0" w:line="300" w:lineRule="auto"/>
        <w:ind w:left="420" w:hanging="420"/>
        <w:jc w:val="left"/>
      </w:pPr>
      <w:r>
        <w:rPr>
          <w:rFonts w:ascii="Times New Roman" w:hAnsi="Times New Roman" w:cs="Times New Roman" w:eastAsia="宋体"/>
          <w:b w:val="0"/>
          <w:sz w:val="21"/>
        </w:rPr>
        <w:t>[37] 朱俊丞. 基于深度学习的多时间尺度电动汽车充电负荷预测模型设计[D]. 郑州: 郑州大学, 2020.</w:t>
      </w:r>
    </w:p>
    <w:p>
      <w:pPr>
        <w:spacing w:before="0" w:after="0" w:line="300" w:lineRule="auto"/>
        <w:ind w:left="420" w:hanging="420"/>
        <w:jc w:val="left"/>
      </w:pPr>
      <w:r>
        <w:rPr>
          <w:rFonts w:ascii="Times New Roman" w:hAnsi="Times New Roman" w:cs="Times New Roman" w:eastAsia="宋体"/>
          <w:b w:val="0"/>
          <w:sz w:val="21"/>
        </w:rPr>
        <w:t>[38] 陈勇, 江颖达, 徐刚, 等. 规模化电动汽车充电负荷预测[J]. 电力需求侧管理, 2022, 24(5): 71-77. DOI: 10.3969/j.issn.1009-1831.2022.05.012.</w:t>
      </w:r>
    </w:p>
    <w:p>
      <w:pPr>
        <w:spacing w:before="0" w:after="0" w:line="300" w:lineRule="auto"/>
        <w:ind w:left="420" w:hanging="420"/>
        <w:jc w:val="left"/>
      </w:pPr>
      <w:r>
        <w:rPr>
          <w:rFonts w:ascii="Times New Roman" w:hAnsi="Times New Roman" w:cs="Times New Roman" w:eastAsia="宋体"/>
          <w:b w:val="0"/>
          <w:sz w:val="21"/>
        </w:rPr>
        <w:t>[39] 闫威, 李南, 沈月秀, 等. 基于CNN-GAN与半监督回归的电动汽车充电负荷预测[J]. 浙江电力, 2023, 42(2): 83-89. DOI: 10.19585/j.zjdl.202302011.</w:t>
      </w:r>
    </w:p>
    <w:p>
      <w:pPr>
        <w:spacing w:before="0" w:after="0" w:line="300" w:lineRule="auto"/>
        <w:ind w:left="420" w:hanging="420"/>
        <w:jc w:val="left"/>
      </w:pPr>
      <w:r>
        <w:rPr>
          <w:rFonts w:ascii="Times New Roman" w:hAnsi="Times New Roman" w:cs="Times New Roman" w:eastAsia="宋体"/>
          <w:b w:val="0"/>
          <w:sz w:val="21"/>
        </w:rPr>
        <w:t>[40] 赵伟博, 范旭东, 孙胜博, 等. 电动汽车充电负荷场景化分析与超短期预测方法[J]. 电力信息与通信技术, 2025, 23(2): 28-37. DOI: 10.16543/j.2095-641x.electric.power.ict.2025.02.04.</w:t>
      </w:r>
    </w:p>
    <w:p>
      <w:pPr>
        <w:spacing w:before="0" w:after="0" w:line="300" w:lineRule="auto"/>
        <w:ind w:left="420" w:hanging="420"/>
        <w:jc w:val="left"/>
      </w:pPr>
      <w:r>
        <w:rPr>
          <w:rFonts w:ascii="Times New Roman" w:hAnsi="Times New Roman" w:cs="Times New Roman" w:eastAsia="宋体"/>
          <w:b w:val="0"/>
          <w:sz w:val="21"/>
        </w:rPr>
        <w:t>[41] 毛建斌, 杨少兵, 杨湘彦, 等. 基于有限混合模型的规模化电动汽车充电负荷在线预测方法[J]. 电网技术, 2025, 49(5): 1931-1940. DOI: 10.13335/j.1000-3673.pst.2024.0241.</w:t>
      </w:r>
    </w:p>
    <w:p>
      <w:pPr>
        <w:spacing w:before="0" w:after="0" w:line="300" w:lineRule="auto"/>
        <w:ind w:left="420" w:hanging="420"/>
        <w:jc w:val="left"/>
      </w:pPr>
      <w:r>
        <w:rPr>
          <w:rFonts w:ascii="Times New Roman" w:hAnsi="Times New Roman" w:cs="Times New Roman" w:eastAsia="宋体"/>
          <w:b w:val="0"/>
          <w:sz w:val="21"/>
        </w:rPr>
        <w:t>[42] 吴钉捷, 李晓露. 基于实时出行需求和交通路况的电动汽车充电负荷预测[J]. 电力建设, 2020, 41(8): 57-67. DOI: 10.12204/j.issn.1000-7229.2020.08.008.</w:t>
      </w:r>
    </w:p>
    <w:p>
      <w:pPr>
        <w:spacing w:before="0" w:after="0" w:line="300" w:lineRule="auto"/>
        <w:ind w:left="420" w:hanging="420"/>
        <w:jc w:val="left"/>
      </w:pPr>
      <w:r>
        <w:rPr>
          <w:rFonts w:ascii="Times New Roman" w:hAnsi="Times New Roman" w:cs="Times New Roman" w:eastAsia="宋体"/>
          <w:b w:val="0"/>
          <w:sz w:val="21"/>
        </w:rPr>
        <w:t>[43] 丁乐言, 柯松, 张帆, 等. 考虑出行需求和引导策略的电动汽车充电负荷预测[J]. 电力建设, 2024, 45(6): 10-26. DOI: 10.12204/j.issn.1000-7229.2024.06.002.</w:t>
      </w:r>
    </w:p>
    <w:p>
      <w:pPr>
        <w:spacing w:before="0" w:after="0" w:line="300" w:lineRule="auto"/>
        <w:ind w:left="420" w:hanging="420"/>
        <w:jc w:val="left"/>
      </w:pPr>
      <w:r>
        <w:rPr>
          <w:rFonts w:ascii="Times New Roman" w:hAnsi="Times New Roman" w:cs="Times New Roman" w:eastAsia="宋体"/>
          <w:b w:val="0"/>
          <w:sz w:val="21"/>
        </w:rPr>
        <w:t>[44] 张琳娟, 李文峰, 许长清, 等. 计及充电排队与实时SOC的电动汽车充电负荷时空分布预测[J]. 电力建设, 2025, 46(8): 54-66. DOI: 10.12204/j.issn.1000-7229.2025.08.006.</w:t>
      </w:r>
    </w:p>
    <w:p>
      <w:pPr>
        <w:spacing w:before="0" w:after="0" w:line="300" w:lineRule="auto"/>
        <w:ind w:left="420" w:hanging="420"/>
        <w:jc w:val="left"/>
      </w:pPr>
      <w:r>
        <w:rPr>
          <w:rFonts w:ascii="Times New Roman" w:hAnsi="Times New Roman" w:cs="Times New Roman" w:eastAsia="宋体"/>
          <w:b w:val="0"/>
          <w:sz w:val="21"/>
        </w:rPr>
        <w:t>[45] 李宏伟, 宋玉峰, 李帅兵, 等. 基于ArcGIS路网结构与交通拥挤度分析的电动汽车充电负荷预测方法[J]. 电网技术, 2025, 49(5): 1920-1930. DOI: 10.13335/j.1000-3673.pst.2023.1420.</w:t>
      </w:r>
    </w:p>
    <w:p>
      <w:pPr>
        <w:spacing w:before="0" w:after="0" w:line="300" w:lineRule="auto"/>
        <w:ind w:left="420" w:hanging="420"/>
        <w:jc w:val="left"/>
      </w:pPr>
      <w:r>
        <w:rPr>
          <w:rFonts w:ascii="Times New Roman" w:hAnsi="Times New Roman" w:cs="Times New Roman" w:eastAsia="宋体"/>
          <w:b w:val="0"/>
          <w:sz w:val="21"/>
        </w:rPr>
        <w:t>[46] 葛乐, 陆颖, 王明深, 等. 考虑用户决策更新的电动汽车充换电负荷预测[J]. 浙江电力, 2025, 44(10): 152-164. DOI: 10.19585/j.zjdl.202510013.</w:t>
      </w:r>
    </w:p>
    <w:p>
      <w:pPr>
        <w:spacing w:before="0" w:after="0" w:line="300" w:lineRule="auto"/>
        <w:ind w:left="420" w:hanging="420"/>
        <w:jc w:val="left"/>
      </w:pPr>
      <w:r>
        <w:rPr>
          <w:rFonts w:ascii="Times New Roman" w:hAnsi="Times New Roman" w:cs="Times New Roman" w:eastAsia="宋体"/>
          <w:b w:val="0"/>
          <w:sz w:val="21"/>
        </w:rPr>
        <w:t>[47] KIPF T N, WELLING M. Semi-supervised classification with graph convolutional networks[C]//Proceedings of the 5th International Conference on Learning Representations (ICLR). Toulon, 2017.</w:t>
      </w:r>
    </w:p>
    <w:p>
      <w:pPr>
        <w:spacing w:before="0" w:after="0" w:line="300" w:lineRule="auto"/>
        <w:ind w:left="420" w:hanging="420"/>
        <w:jc w:val="left"/>
      </w:pPr>
      <w:r>
        <w:rPr>
          <w:rFonts w:ascii="Times New Roman" w:hAnsi="Times New Roman" w:cs="Times New Roman" w:eastAsia="宋体"/>
          <w:b w:val="0"/>
          <w:sz w:val="21"/>
        </w:rPr>
        <w:t>[48] VELIČKOVIĆ P, CUCURULL G, CASANOVA A, et al. Graph attention networks[C]//Proceedings of the 6th International Conference on Learning Representations (ICLR). 2018.</w:t>
      </w:r>
    </w:p>
    <w:p>
      <w:pPr>
        <w:spacing w:before="0" w:after="0" w:line="300" w:lineRule="auto"/>
        <w:ind w:left="420" w:hanging="420"/>
        <w:jc w:val="left"/>
      </w:pPr>
      <w:r>
        <w:rPr>
          <w:rFonts w:ascii="Times New Roman" w:hAnsi="Times New Roman" w:cs="Times New Roman" w:eastAsia="宋体"/>
          <w:b w:val="0"/>
          <w:sz w:val="21"/>
        </w:rPr>
        <w:t>[49] SCHLICHTKRULL M, KIPF T N, BLOEM P, et al. Modeling relational data with graph convolutional networks[C]//European Semantic Web Conference (ESWC). 2018: 593-607.</w:t>
      </w:r>
    </w:p>
    <w:p>
      <w:pPr>
        <w:spacing w:before="0" w:after="0" w:line="300" w:lineRule="auto"/>
        <w:ind w:left="420" w:hanging="420"/>
        <w:jc w:val="left"/>
      </w:pPr>
      <w:r>
        <w:rPr>
          <w:rFonts w:ascii="Times New Roman" w:hAnsi="Times New Roman" w:cs="Times New Roman" w:eastAsia="宋体"/>
          <w:b w:val="0"/>
          <w:sz w:val="21"/>
        </w:rPr>
        <w:t>[50] YU B, YIN H, ZHU Z. Spatio-temporal graph convolutional networks: a deep learning framework for traffic forecasting[C]//Proceedings of the 27th International Joint Conference on Artificial Intelligence (IJCAI). 2018: 3634-3640.</w:t>
      </w:r>
    </w:p>
    <w:p>
      <w:pPr>
        <w:spacing w:before="0" w:after="0" w:line="300" w:lineRule="auto"/>
        <w:ind w:left="420" w:hanging="420"/>
        <w:jc w:val="left"/>
      </w:pPr>
      <w:r>
        <w:rPr>
          <w:rFonts w:ascii="Times New Roman" w:hAnsi="Times New Roman" w:cs="Times New Roman" w:eastAsia="宋体"/>
          <w:b w:val="0"/>
          <w:sz w:val="21"/>
        </w:rPr>
        <w:t>[51] WU Z, PAN S, LONG G, et al. Graph WaveNet: deep spatial-temporal graph modeling[C]//Proceedings of the 28th International Joint Conference on Artificial Intelligence (IJCAI). 2019: 1907-1913.</w:t>
      </w:r>
    </w:p>
    <w:p>
      <w:pPr>
        <w:spacing w:before="0" w:after="0" w:line="300" w:lineRule="auto"/>
        <w:ind w:left="420" w:hanging="420"/>
        <w:jc w:val="left"/>
      </w:pPr>
      <w:r>
        <w:rPr>
          <w:rFonts w:ascii="Times New Roman" w:hAnsi="Times New Roman" w:cs="Times New Roman" w:eastAsia="宋体"/>
          <w:b w:val="0"/>
          <w:sz w:val="21"/>
        </w:rPr>
        <w:t>[52] BAI L, YAO L, LI C, et al. Adaptive graph convolutional recurrent network for traffic forecasting[C]//Advances in Neural Information Processing Systems (NeurIPS). 2020: 17804-17815.</w:t>
      </w:r>
    </w:p>
    <w:p>
      <w:pPr>
        <w:spacing w:before="0" w:after="0" w:line="300" w:lineRule="auto"/>
        <w:ind w:left="420" w:hanging="420"/>
        <w:jc w:val="left"/>
      </w:pPr>
      <w:r>
        <w:rPr>
          <w:rFonts w:ascii="Times New Roman" w:hAnsi="Times New Roman" w:cs="Times New Roman" w:eastAsia="宋体"/>
          <w:b w:val="0"/>
          <w:sz w:val="21"/>
        </w:rPr>
        <w:t>[53] 叶宝林, 戴本岙, 张鸣剑, 等. 基于图卷积网络的交通流预测方法综述[J]. 南京信息工程大学学报(自然科学版), 2024, 16(3): 291-310.</w:t>
      </w:r>
    </w:p>
    <w:p>
      <w:pPr>
        <w:spacing w:before="0" w:after="0" w:line="300" w:lineRule="auto"/>
        <w:ind w:left="420" w:hanging="420"/>
        <w:jc w:val="left"/>
      </w:pPr>
      <w:r>
        <w:rPr>
          <w:rFonts w:ascii="Times New Roman" w:hAnsi="Times New Roman" w:cs="Times New Roman" w:eastAsia="宋体"/>
          <w:b w:val="0"/>
          <w:sz w:val="21"/>
        </w:rPr>
        <w:t>[54] 闫佳和, 李红辉, 孙婧, 等. 面向交通流预测的时空图神经网络发展综述[J]. 计算机工程与应用, 2025, 61(22): 1-19.</w:t>
      </w:r>
    </w:p>
    <w:p>
      <w:pPr>
        <w:spacing w:before="0" w:after="0" w:line="300" w:lineRule="auto"/>
        <w:ind w:left="420" w:hanging="420"/>
        <w:jc w:val="left"/>
      </w:pPr>
      <w:r>
        <w:rPr>
          <w:rFonts w:ascii="Times New Roman" w:hAnsi="Times New Roman" w:cs="Times New Roman" w:eastAsia="宋体"/>
          <w:b w:val="0"/>
          <w:sz w:val="21"/>
        </w:rPr>
        <w:t>[55] 李志帅, 吕宜生, 熊刚. 基于图卷积神经网络和注意力机制的短时交通流量预测[J]. 交通工程, 2019, 19(4): 15-19, 28.</w:t>
      </w:r>
    </w:p>
    <w:p>
      <w:pPr>
        <w:spacing w:before="0" w:after="0" w:line="300" w:lineRule="auto"/>
        <w:ind w:left="420" w:hanging="420"/>
        <w:jc w:val="left"/>
      </w:pPr>
      <w:r>
        <w:rPr>
          <w:rFonts w:ascii="Times New Roman" w:hAnsi="Times New Roman" w:cs="Times New Roman" w:eastAsia="宋体"/>
          <w:b w:val="0"/>
          <w:sz w:val="21"/>
        </w:rPr>
        <w:t>[56] 董雷, 陈振平, 韩富佳, 等. 基于图卷积神经网络与K-means聚类的居民用户集群短期负荷预测[J]. 电网技术, 2023, 47(10): 4291-4301.</w:t>
      </w:r>
    </w:p>
    <w:p>
      <w:pPr>
        <w:spacing w:before="0" w:after="0" w:line="300" w:lineRule="auto"/>
        <w:ind w:left="420" w:hanging="420"/>
        <w:jc w:val="left"/>
      </w:pPr>
      <w:r>
        <w:rPr>
          <w:rFonts w:ascii="Times New Roman" w:hAnsi="Times New Roman" w:cs="Times New Roman" w:eastAsia="宋体"/>
          <w:b w:val="0"/>
          <w:sz w:val="21"/>
        </w:rPr>
        <w:t>[57] 张鹏飞, 胡博, 何金松, 等. 基于时空图卷积网络的短期空间负荷预测方法[J]. 电力系统自动化, 2023, 47(13): 78-85.</w:t>
      </w:r>
    </w:p>
    <w:p>
      <w:pPr>
        <w:spacing w:before="0" w:after="0" w:line="300" w:lineRule="auto"/>
        <w:ind w:left="420" w:hanging="420"/>
        <w:jc w:val="left"/>
      </w:pPr>
      <w:r>
        <w:rPr>
          <w:rFonts w:ascii="Times New Roman" w:hAnsi="Times New Roman" w:cs="Times New Roman" w:eastAsia="宋体"/>
          <w:b w:val="0"/>
          <w:sz w:val="21"/>
        </w:rPr>
        <w:t>[58] 吴兴扬, 戴剑丰. 基于多尺度自适应时空图卷积网络与BERT模型的多节点短期负荷预测[J]. 电网技术, 2025, 49(9): 3756-3766. DOI: 10.13335/j.1000-3673.pst.2024.1895.</w:t>
      </w:r>
    </w:p>
    <w:p>
      <w:pPr>
        <w:spacing w:before="0" w:after="0" w:line="300" w:lineRule="auto"/>
        <w:ind w:left="420" w:hanging="420"/>
        <w:jc w:val="left"/>
      </w:pPr>
      <w:r>
        <w:rPr>
          <w:rFonts w:ascii="Times New Roman" w:hAnsi="Times New Roman" w:cs="Times New Roman" w:eastAsia="宋体"/>
          <w:b w:val="0"/>
          <w:sz w:val="21"/>
        </w:rPr>
        <w:t>[59] 张艺涵, 杨萌, 刘军会, 等. 基于时间图卷积网络的短期电力负荷时空预测方法[J]. 电网与清洁能源, 2024, 40(12): 27-35.</w:t>
      </w:r>
    </w:p>
    <w:p>
      <w:pPr>
        <w:spacing w:before="0" w:after="0" w:line="300" w:lineRule="auto"/>
        <w:ind w:left="420" w:hanging="420"/>
        <w:jc w:val="left"/>
      </w:pPr>
      <w:r>
        <w:rPr>
          <w:rFonts w:ascii="Times New Roman" w:hAnsi="Times New Roman" w:cs="Times New Roman" w:eastAsia="宋体"/>
          <w:b w:val="0"/>
          <w:sz w:val="21"/>
        </w:rPr>
        <w:t>[60] 高昆仑, 姚铁锤, 刘思言, 等. 面向电网分析计算的图神经网络技术综述[J]. 电网技术, 2026, 50(3): 909-921.</w:t>
      </w:r>
    </w:p>
    <w:p>
      <w:pPr>
        <w:spacing w:before="0" w:after="0" w:line="300" w:lineRule="auto"/>
        <w:ind w:left="420" w:hanging="420"/>
        <w:jc w:val="left"/>
      </w:pPr>
      <w:r>
        <w:rPr>
          <w:rFonts w:ascii="Times New Roman" w:hAnsi="Times New Roman" w:cs="Times New Roman" w:eastAsia="宋体"/>
          <w:b w:val="0"/>
          <w:sz w:val="21"/>
        </w:rPr>
        <w:t>[61] 赵紫昱, 陈渊睿, 陈霆威, 等. 基于时空图注意力网络的超短期区域负荷预测[J]. 电力系统自动化, 2024, 48(12): 147-155.</w:t>
      </w:r>
    </w:p>
    <w:p>
      <w:pPr>
        <w:spacing w:before="0" w:after="0" w:line="300" w:lineRule="auto"/>
        <w:ind w:left="420" w:hanging="420"/>
        <w:jc w:val="left"/>
      </w:pPr>
      <w:r>
        <w:rPr>
          <w:rFonts w:ascii="Times New Roman" w:hAnsi="Times New Roman" w:cs="Times New Roman" w:eastAsia="宋体"/>
          <w:b w:val="0"/>
          <w:sz w:val="21"/>
        </w:rPr>
        <w:t>[62] 原野, 王海燕, 袁新平, 等. 基于可解释动态图注意力网络的短期电力负荷预测[J]. 计算机应用, 2025, 45(S1): 329-333.</w:t>
      </w:r>
    </w:p>
    <w:p>
      <w:pPr>
        <w:spacing w:before="0" w:after="0" w:line="300" w:lineRule="auto"/>
        <w:ind w:left="420" w:hanging="420"/>
        <w:jc w:val="left"/>
      </w:pPr>
      <w:r>
        <w:rPr>
          <w:rFonts w:ascii="Times New Roman" w:hAnsi="Times New Roman" w:cs="Times New Roman" w:eastAsia="宋体"/>
          <w:b w:val="0"/>
          <w:sz w:val="21"/>
        </w:rPr>
        <w:t>[63] 孟衡, 张涛, 王金, 等. 基于多尺度时空图卷积网络与Transformer融合的多节点短期电力负荷预测方法[J]. 电网技术, 2024, 48(10): 4297-4305. DOI: 10.13335/j.1000-3673.pst.2024.0168.</w:t>
      </w:r>
    </w:p>
    <w:p>
      <w:pPr>
        <w:spacing w:before="0" w:after="0" w:line="300" w:lineRule="auto"/>
        <w:ind w:left="420" w:hanging="420"/>
        <w:jc w:val="left"/>
      </w:pPr>
      <w:r>
        <w:rPr>
          <w:rFonts w:ascii="Times New Roman" w:hAnsi="Times New Roman" w:cs="Times New Roman" w:eastAsia="宋体"/>
          <w:b w:val="0"/>
          <w:sz w:val="21"/>
        </w:rPr>
        <w:t>[64] 贠昕尧. 基于多图融合的电动汽车充电站群负荷时空预测方法研究[D]. 西安: 西安理工大学, 2024.</w:t>
      </w:r>
    </w:p>
    <w:p>
      <w:pPr>
        <w:spacing w:before="0" w:after="0" w:line="300" w:lineRule="auto"/>
        <w:ind w:left="420" w:hanging="420"/>
        <w:jc w:val="left"/>
      </w:pPr>
      <w:r>
        <w:rPr>
          <w:rFonts w:ascii="Times New Roman" w:hAnsi="Times New Roman" w:cs="Times New Roman" w:eastAsia="宋体"/>
          <w:b w:val="0"/>
          <w:sz w:val="21"/>
        </w:rPr>
        <w:t>[65] 王进世. 基于图注意力网络的电动汽车充电站负荷预测方法研究[D]. 兰州: 西北师范大学, 2025.</w:t>
      </w:r>
    </w:p>
    <w:p>
      <w:pPr>
        <w:spacing w:before="0" w:after="0" w:line="300" w:lineRule="auto"/>
        <w:ind w:left="420" w:hanging="420"/>
        <w:jc w:val="left"/>
      </w:pPr>
      <w:r>
        <w:rPr>
          <w:rFonts w:ascii="Times New Roman" w:hAnsi="Times New Roman" w:cs="Times New Roman" w:eastAsia="宋体"/>
          <w:b w:val="0"/>
          <w:sz w:val="21"/>
        </w:rPr>
        <w:t>[66] 王圣元. 基于图神经网络的短期负荷时空预测[D]. 吉林: 东北电力大学, 2023.</w:t>
      </w:r>
    </w:p>
    <w:p>
      <w:pPr>
        <w:spacing w:before="0" w:after="0" w:line="300" w:lineRule="auto"/>
        <w:ind w:left="420" w:hanging="420"/>
        <w:jc w:val="left"/>
      </w:pPr>
      <w:r>
        <w:rPr>
          <w:rFonts w:ascii="Times New Roman" w:hAnsi="Times New Roman" w:cs="Times New Roman" w:eastAsia="宋体"/>
          <w:b w:val="0"/>
          <w:sz w:val="21"/>
        </w:rPr>
        <w:t>[67] HUANG Y, WU S, WANG Z, et al. Causality-aware multi-graph convolutional networks with critical node dynamics for electric vehicle charging station load forecasting[J]. IEEE Transactions on Smart Grid, 2025, 16(4): 3210-3225. DOI: 10.1109/TSG.2025.3570955.</w:t>
      </w:r>
    </w:p>
    <w:p>
      <w:pPr>
        <w:spacing w:before="0" w:after="0" w:line="300" w:lineRule="auto"/>
        <w:ind w:left="420" w:hanging="420"/>
        <w:jc w:val="left"/>
      </w:pPr>
      <w:r>
        <w:rPr>
          <w:rFonts w:ascii="Times New Roman" w:hAnsi="Times New Roman" w:cs="Times New Roman" w:eastAsia="宋体"/>
          <w:b w:val="0"/>
          <w:sz w:val="21"/>
        </w:rPr>
        <w:t>[68] ZHANG L, JIAO Z, ZHAO C. Load probabilistic forecasting for electric vehicle charging station cluster: adaptive multivariate spatiotemporal graph fusion technology[J]. International Journal of Electrical Power &amp; Energy Systems, 2025, 173: 111387. DOI: 10.1016/j.ijepes.2025.111387.</w:t>
      </w:r>
    </w:p>
    <w:p>
      <w:pPr>
        <w:spacing w:before="0" w:after="0" w:line="300" w:lineRule="auto"/>
        <w:ind w:left="420" w:hanging="420"/>
        <w:jc w:val="left"/>
      </w:pPr>
      <w:r>
        <w:rPr>
          <w:rFonts w:ascii="Times New Roman" w:hAnsi="Times New Roman" w:cs="Times New Roman" w:eastAsia="宋体"/>
          <w:b w:val="0"/>
          <w:sz w:val="21"/>
        </w:rPr>
        <w:t>[69] HE J, LIU Q Y, HU Y L, et al. Short-term regional EV charging load forecasting based on GAT and GRU with trip distribution estimation[J]. Applied Energy, 2026, 406: 127262. DOI: 10.1016/j.apenergy.2025.127262.</w:t>
      </w:r>
    </w:p>
    <w:p>
      <w:pPr>
        <w:spacing w:before="0" w:after="0" w:line="300" w:lineRule="auto"/>
        <w:ind w:left="420" w:hanging="420"/>
        <w:jc w:val="left"/>
      </w:pPr>
      <w:r>
        <w:rPr>
          <w:rFonts w:ascii="Times New Roman" w:hAnsi="Times New Roman" w:cs="Times New Roman" w:eastAsia="宋体"/>
          <w:b w:val="0"/>
          <w:sz w:val="21"/>
        </w:rPr>
        <w:t>[70] XIE T, YUN X, ZHANG G, et al. Charging station cluster load prediction: spatiotemporal multi-graph fusion technology[J]. Renewable and Sustainable Energy Reviews, 2024, 206: 114855. DOI: 10.1016/j.rser.2024.114855.</w:t>
      </w:r>
    </w:p>
    <w:p>
      <w:pPr>
        <w:spacing w:before="0" w:after="0" w:line="300" w:lineRule="auto"/>
        <w:ind w:left="420" w:hanging="420"/>
        <w:jc w:val="left"/>
      </w:pPr>
      <w:r>
        <w:rPr>
          <w:rFonts w:ascii="Times New Roman" w:hAnsi="Times New Roman" w:cs="Times New Roman" w:eastAsia="宋体"/>
          <w:b w:val="0"/>
          <w:sz w:val="21"/>
        </w:rPr>
        <w:t>[71] WANG Y, RUI L, MA J, et al. A short-term residential load forecasting scheme based on the multiple correlation-temporal graph neural networks[J]. Applied Soft Computing, 2023, 146: 110629. DOI: 10.1016/j.asoc.2023.110629.</w:t>
      </w:r>
    </w:p>
    <w:p>
      <w:pPr>
        <w:spacing w:before="0" w:after="0" w:line="300" w:lineRule="auto"/>
        <w:ind w:left="420" w:hanging="420"/>
        <w:jc w:val="left"/>
      </w:pPr>
      <w:r>
        <w:rPr>
          <w:rFonts w:ascii="Times New Roman" w:hAnsi="Times New Roman" w:cs="Times New Roman" w:eastAsia="宋体"/>
          <w:b w:val="0"/>
          <w:sz w:val="21"/>
        </w:rPr>
        <w:t>[72] ZHANG T, JIAO W, YU J, et al. Short-term residential load forecasting framework based on spatial-temporal fusion adaptive gated graph convolution networks[J]. IEEE Transactions on Neural Networks and Learning Systems, 2025, 36(9): 17004-17018. DOI: 10.1109/TNNLS.2025.3551778.</w:t>
      </w:r>
    </w:p>
    <w:p>
      <w:pPr>
        <w:spacing w:before="0" w:after="0" w:line="300" w:lineRule="auto"/>
        <w:ind w:left="420" w:hanging="420"/>
        <w:jc w:val="left"/>
      </w:pPr>
      <w:r>
        <w:rPr>
          <w:rFonts w:ascii="Times New Roman" w:hAnsi="Times New Roman" w:cs="Times New Roman" w:eastAsia="宋体"/>
          <w:b w:val="0"/>
          <w:sz w:val="21"/>
        </w:rPr>
        <w:t>[73] 高洪超, 陈启鑫, 雷振, 等. 考虑事件数据的产消者负荷预测方法及极端误差抑制策略[J]. 电力系统自动化, 2023, 47(13): 47-55.</w:t>
      </w:r>
    </w:p>
    <w:p>
      <w:pPr>
        <w:spacing w:before="0" w:after="0" w:line="300" w:lineRule="auto"/>
        <w:ind w:left="420" w:hanging="420"/>
        <w:jc w:val="left"/>
      </w:pPr>
      <w:r>
        <w:rPr>
          <w:rFonts w:ascii="Times New Roman" w:hAnsi="Times New Roman" w:cs="Times New Roman" w:eastAsia="宋体"/>
          <w:b w:val="0"/>
          <w:sz w:val="21"/>
        </w:rPr>
        <w:t>[74] HWANG J, SUH D. PAR-LLM: peak-aware residual LLM over anchor for EV charging station demand[J]. IEEE Access, 2026, 14: 52360-52370. DOI: 10.1109/ACCESS.2026.3679962.</w:t>
      </w:r>
    </w:p>
    <w:p>
      <w:pPr>
        <w:spacing w:before="0" w:after="0" w:line="300" w:lineRule="auto"/>
        <w:ind w:left="420" w:hanging="420"/>
        <w:jc w:val="left"/>
      </w:pPr>
      <w:r>
        <w:rPr>
          <w:rFonts w:ascii="Times New Roman" w:hAnsi="Times New Roman" w:cs="Times New Roman" w:eastAsia="宋体"/>
          <w:b w:val="0"/>
          <w:sz w:val="21"/>
        </w:rPr>
        <w:t>[75] LIANG Y. Forecast-time-safe load forecasting for connected and automated EV charging operation: periodicity-aware residual correction on a processed distribution load proxy with public EV charging validation[J]. World Electric Vehicle Journal, 2026, 17(7): 336. DOI: 10.3390/wevj17070336.</w:t>
      </w:r>
    </w:p>
    <w:p>
      <w:pPr>
        <w:spacing w:before="0" w:after="0" w:line="300" w:lineRule="auto"/>
        <w:ind w:left="420" w:hanging="420"/>
        <w:jc w:val="left"/>
      </w:pPr>
      <w:r>
        <w:rPr>
          <w:rFonts w:ascii="Times New Roman" w:hAnsi="Times New Roman" w:cs="Times New Roman" w:eastAsia="宋体"/>
          <w:b w:val="0"/>
          <w:sz w:val="21"/>
        </w:rPr>
        <w:t>[76] LUNDBERG S M, LEE S I. A unified approach to interpreting model predictions[C]//Advances in Neural Information Processing Systems (NeurIPS). 2017: 4765-4774.</w:t>
      </w:r>
    </w:p>
    <w:p>
      <w:pPr>
        <w:spacing w:before="0" w:after="0" w:line="300" w:lineRule="auto"/>
        <w:ind w:left="420" w:hanging="420"/>
        <w:jc w:val="left"/>
      </w:pPr>
      <w:r>
        <w:rPr>
          <w:rFonts w:ascii="Times New Roman" w:hAnsi="Times New Roman" w:cs="Times New Roman" w:eastAsia="宋体"/>
          <w:b w:val="0"/>
          <w:sz w:val="21"/>
        </w:rPr>
        <w:t>[77] 孙飞虎. 基于注意力机制的配电网电力负荷预测方法研究[D]. 桂林: 桂林电子科技大学, 2025.</w:t>
      </w:r>
    </w:p>
    <w:p>
      <w:pPr>
        <w:spacing w:before="0" w:after="0" w:line="300" w:lineRule="auto"/>
        <w:ind w:left="420" w:hanging="420"/>
        <w:jc w:val="left"/>
      </w:pPr>
      <w:r>
        <w:rPr>
          <w:rFonts w:ascii="Times New Roman" w:hAnsi="Times New Roman" w:cs="Times New Roman" w:eastAsia="宋体"/>
          <w:b w:val="0"/>
          <w:sz w:val="21"/>
        </w:rPr>
        <w:t>[78] JAIN S, WALLACE B C. Attention is not explanation[C]//Proceedings of NAACL-HLT. 2019: 3543-3556.</w:t>
      </w:r>
    </w:p>
    <w:p>
      <w:pPr>
        <w:spacing w:before="0" w:after="0" w:line="300" w:lineRule="auto"/>
        <w:ind w:left="420" w:hanging="420"/>
        <w:jc w:val="left"/>
      </w:pPr>
      <w:r>
        <w:rPr>
          <w:rFonts w:ascii="Times New Roman" w:hAnsi="Times New Roman" w:cs="Times New Roman" w:eastAsia="宋体"/>
          <w:b w:val="0"/>
          <w:sz w:val="21"/>
        </w:rPr>
        <w:t>[79] ARABZADEH V, FRANK R. A four-dimensional analysis of explainable AI in energy forecasting: a domain-specific systematic review[J]. Machine Learning and Knowledge Extraction, 2025, 7(4): 153.</w:t>
      </w:r>
    </w:p>
    <w:p>
      <w:pPr>
        <w:spacing w:before="0" w:after="0" w:line="300" w:lineRule="auto"/>
        <w:ind w:left="420" w:hanging="420"/>
        <w:jc w:val="left"/>
      </w:pPr>
      <w:r>
        <w:rPr>
          <w:rFonts w:ascii="Times New Roman" w:hAnsi="Times New Roman" w:cs="Times New Roman" w:eastAsia="宋体"/>
          <w:b w:val="0"/>
          <w:sz w:val="21"/>
        </w:rPr>
        <w:t>[80] NAM A, CONKLIN H, YANG Y, et al. Causal head gating: a framework for interpreting roles of attention heads in transformers[C]//Advances in Neural Information Processing Systems. 2025, 38.</w:t>
      </w:r>
    </w:p>
    <w:p>
      <w:pPr>
        <w:spacing w:before="0" w:after="0" w:line="300" w:lineRule="auto"/>
        <w:ind w:left="420" w:hanging="420"/>
        <w:jc w:val="left"/>
      </w:pPr>
      <w:r>
        <w:rPr>
          <w:rFonts w:ascii="Times New Roman" w:hAnsi="Times New Roman" w:cs="Times New Roman" w:eastAsia="宋体"/>
          <w:b w:val="0"/>
          <w:sz w:val="21"/>
        </w:rPr>
        <w:t>[81] HINTON G, VINYALS O, DEAN J. Distilling the knowledge in a neural network[C]//NeurIPS 2014 Deep Learning Workshop. 2015.</w:t>
      </w:r>
    </w:p>
    <w:p>
      <w:pPr>
        <w:spacing w:before="0" w:after="0" w:line="300" w:lineRule="auto"/>
        <w:ind w:left="420" w:hanging="420"/>
        <w:jc w:val="left"/>
      </w:pPr>
      <w:r>
        <w:rPr>
          <w:rFonts w:ascii="Times New Roman" w:hAnsi="Times New Roman" w:cs="Times New Roman" w:eastAsia="宋体"/>
          <w:b w:val="0"/>
          <w:sz w:val="21"/>
        </w:rPr>
        <w:t>[82] GUASTAVINO S, et al. Bad and good errors: value-weighted skill scores in deep ensemble learning[J]. arXiv preprint arXiv:2103.02881, 2021.</w:t>
      </w:r>
    </w:p>
    <w:p>
      <w:pPr>
        <w:spacing w:before="0" w:after="0" w:line="300" w:lineRule="auto"/>
        <w:ind w:left="420" w:hanging="420"/>
        <w:jc w:val="left"/>
      </w:pPr>
      <w:r>
        <w:rPr>
          <w:rFonts w:ascii="Times New Roman" w:hAnsi="Times New Roman" w:cs="Times New Roman" w:eastAsia="宋体"/>
          <w:b w:val="0"/>
          <w:sz w:val="21"/>
        </w:rPr>
        <w:t>[83] LEE Z J, LI T, LOW S H. ACN-Data: Analysis and applications of an open EV charging dataset[C]//Proceedings of the Tenth ACM International Conference on Future Energy Systems. New York: ACM, 2019: 139-149. DOI: 10.1145/3307772.3328313.</w:t>
      </w:r>
    </w:p>
    <w:p>
      <w:pPr>
        <w:spacing w:before="0" w:after="0" w:line="300" w:lineRule="auto"/>
        <w:ind w:left="420" w:hanging="420"/>
        <w:jc w:val="left"/>
      </w:pPr>
      <w:r>
        <w:rPr>
          <w:rFonts w:ascii="Times New Roman" w:hAnsi="Times New Roman" w:cs="Times New Roman" w:eastAsia="宋体"/>
          <w:b w:val="0"/>
          <w:sz w:val="21"/>
        </w:rPr>
        <w:t>[84] BOX G E P, JENKINS G M. Time series analysis: forecasting and control[M]. San Francisco: Holden-Day, 1970.</w:t>
      </w:r>
    </w:p>
    <w:p>
      <w:pPr>
        <w:spacing w:before="0" w:after="0" w:line="300" w:lineRule="auto"/>
        <w:ind w:left="420" w:hanging="420"/>
        <w:jc w:val="left"/>
      </w:pPr>
      <w:r>
        <w:rPr>
          <w:rFonts w:ascii="Times New Roman" w:hAnsi="Times New Roman" w:cs="Times New Roman" w:eastAsia="宋体"/>
          <w:b w:val="0"/>
          <w:sz w:val="21"/>
        </w:rPr>
        <w:t>[85] SCHREIBER T. Measuring information transfer[J]. Physical Review Letters, 2000, 85(2): 461-464.</w:t>
      </w:r>
    </w:p>
    <w:p>
      <w:pPr>
        <w:spacing w:before="0" w:after="0" w:line="300" w:lineRule="auto"/>
        <w:ind w:left="420" w:hanging="420"/>
        <w:jc w:val="left"/>
      </w:pPr>
      <w:r>
        <w:rPr>
          <w:rFonts w:ascii="Times New Roman" w:hAnsi="Times New Roman" w:cs="Times New Roman" w:eastAsia="宋体"/>
          <w:b w:val="0"/>
          <w:sz w:val="21"/>
        </w:rPr>
        <w:t>[86] RUNGE J, NOWACK P, KRETSCHMER M, et al. Detecting and quantifying causal associations in large nonlinear time series datasets[J]. Science Advances, 2019, 5(11): eaau4996.</w:t>
      </w:r>
    </w:p>
    <w:p>
      <w:pPr>
        <w:spacing w:before="0" w:after="0" w:line="300" w:lineRule="auto"/>
        <w:ind w:left="420" w:hanging="420"/>
        <w:jc w:val="left"/>
      </w:pPr>
      <w:r>
        <w:rPr>
          <w:rFonts w:ascii="Times New Roman" w:hAnsi="Times New Roman" w:cs="Times New Roman" w:eastAsia="宋体"/>
          <w:b w:val="0"/>
          <w:sz w:val="21"/>
        </w:rPr>
        <w:t>[87] RUNGE J. Discovering contemporaneous and lagged causal relations in autocorrelated nonlinear time series datasets[C]//Proceedings of the 36th Conference on Uncertainty in Artificial Intelligence (UAI). PMLR, 2020, 124: 1388-1397.</w:t>
      </w:r>
    </w:p>
    <w:p>
      <w:pPr>
        <w:spacing w:before="0" w:after="0" w:line="300" w:lineRule="auto"/>
        <w:ind w:left="420" w:hanging="420"/>
        <w:jc w:val="left"/>
      </w:pPr>
      <w:r>
        <w:rPr>
          <w:rFonts w:ascii="Times New Roman" w:hAnsi="Times New Roman" w:cs="Times New Roman" w:eastAsia="宋体"/>
          <w:b w:val="0"/>
          <w:sz w:val="21"/>
        </w:rPr>
        <w:t>[88] VOVK V, GAMMERMAN A, SHAFER G. Algorithmic learning in a random world[M]. New York: Springer, 2005.</w:t>
      </w:r>
    </w:p>
    <w:p>
      <w:pPr>
        <w:spacing w:before="0" w:after="0" w:line="300" w:lineRule="auto"/>
        <w:ind w:left="420" w:hanging="420"/>
        <w:jc w:val="left"/>
      </w:pPr>
      <w:r>
        <w:rPr>
          <w:rFonts w:ascii="Times New Roman" w:hAnsi="Times New Roman" w:cs="Times New Roman" w:eastAsia="宋体"/>
          <w:b w:val="0"/>
          <w:sz w:val="21"/>
        </w:rPr>
        <w:t>[89] LEI J, G'SELL M, RINALDO A, et al. Distribution-free predictive inference for regression[J]. Journal of the American Statistical Association, 2018, 113(523): 1094-1111.</w:t>
      </w:r>
    </w:p>
    <w:p>
      <w:pPr>
        <w:spacing w:before="0" w:after="0" w:line="300" w:lineRule="auto"/>
        <w:ind w:left="420" w:hanging="420"/>
        <w:jc w:val="left"/>
      </w:pPr>
      <w:r>
        <w:rPr>
          <w:rFonts w:ascii="Times New Roman" w:hAnsi="Times New Roman" w:cs="Times New Roman" w:eastAsia="宋体"/>
          <w:b w:val="0"/>
          <w:sz w:val="21"/>
        </w:rPr>
        <w:t>[90] GIBBS I, CANDÈS E. Adaptive conformal inference under distribution shift[C]//Advances in Neural Information Processing Systems. 2021, 34: 1660-1672.</w:t>
      </w:r>
    </w:p>
    <w:sectPr>
      <w:headerReference w:type="default" r:id="rId115"/>
      <w:headerReference w:type="even" r:id="rId116"/>
      <w:footerReference w:type="default" r:id="rId117"/>
      <w:footnotePr>
        <w:numFmt w:val="decimalEnclosedCircleChinese"/>
        <w:numRestart w:val="eachPage"/>
      </w:footnotePr>
      <w:pgSz w:w="11906" w:h="16838"/>
      <w:pgMar w:top="1440" w:right="1797" w:bottom="1440" w:left="1797" w:header="850" w:footer="992" w:gutter="0"/>
      <w:cols w:space="720" w:num="1"/>
      <w:docGrid w:type="lines" w:linePitch="326" w:charSpace="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Light">
    <w:altName w:val="汉仪中等线KW"/>
    <w:panose1 w:val="02010600030101010101"/>
    <w:charset w:val="00"/>
    <w:family w:val="auto"/>
    <w:pitch w:val="default"/>
    <w:sig w:usb0="A00002BF" w:usb1="38CF7CFA" w:usb2="00000016" w:usb3="00000000" w:csb0="0004000F" w:csb1="00000000"/>
  </w:font>
  <w:font w:name="等线">
    <w:altName w:val="汉仪中等线KW"/>
    <w:panose1 w:val="02010600030101010101"/>
    <w:charset w:val="00"/>
    <w:family w:val="auto"/>
    <w:pitch w:val="default"/>
    <w:sig w:usb0="A00002BF" w:usb1="38CF7CFA" w:usb2="00000016" w:usb3="00000000" w:csb0="0004000F" w:csb1="00000000"/>
  </w:font>
  <w:font w:name="Palatino Linotype">
    <w:altName w:val="苹方-简"/>
    <w:panose1 w:val="02040502050505030304"/>
    <w:charset w:val="00"/>
    <w:family w:val="roman"/>
    <w:pitch w:val="default"/>
    <w:sig w:usb0="E0000287" w:usb1="40000013" w:usb2="00000000" w:usb3="00000000" w:csb0="0000019F" w:csb1="00000000"/>
  </w:font>
  <w:font w:name="仿宋_GB2312">
    <w:panose1 w:val="02010609030101010101"/>
    <w:charset w:val="86"/>
    <w:family w:val="modern"/>
    <w:pitch w:val="default"/>
    <w:sig w:usb0="00000001" w:usb1="080E0000" w:usb2="00000000" w:usb3="00000000" w:csb0="00040000" w:csb1="00000000"/>
  </w:font>
  <w:font w:name="黑体">
    <w:altName w:val="汉仪中黑KW"/>
    <w:panose1 w:val="02010609060101010101"/>
    <w:charset w:val="00"/>
    <w:family w:val="modern"/>
    <w:pitch w:val="default"/>
    <w:sig w:usb0="800002BF" w:usb1="38CF7CFA" w:usb2="00000016" w:usb3="00000000" w:csb0="00040001" w:csb1="00000000"/>
  </w:font>
  <w:font w:name="楷体">
    <w:altName w:val="汉仪楷体KW"/>
    <w:panose1 w:val="02010609060101010101"/>
    <w:charset w:val="00"/>
    <w:family w:val="modern"/>
    <w:pitch w:val="default"/>
    <w:sig w:usb0="800002BF" w:usb1="38CF7CFA"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B1BC0">
    <w:pPr>
      <w:pStyle w:val="14"/>
      <w:jc w:val="center"/>
      <w:rPr>
        <w:sz w:val="21"/>
        <w:szCs w:val="21"/>
      </w:rPr>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43205" cy="161290"/>
              <wp:effectExtent l="0" t="0" r="0" b="0"/>
              <wp:wrapNone/>
              <wp:docPr id="30" name="文本框 10"/>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wps:txbx>
                    <wps:bodyPr wrap="square" lIns="0" tIns="0" rIns="0" bIns="0" upright="0"/>
                  </wps:wsp>
                </a:graphicData>
              </a:graphic>
            </wp:anchor>
          </w:drawing>
        </mc:Choice>
        <mc:Fallback>
          <w:pict>
            <v:shape id="文本框 10" o:spid="_x0000_s1026" o:spt="202" type="#_x0000_t202" style="position:absolute;left:0pt;margin-top:0pt;height:12.7pt;width:19.15pt;mso-position-horizontal:center;mso-position-horizontal-relative:margin;z-index:251661312;mso-width-relative:page;mso-height-relative:page;" filled="f" stroked="f" coordsize="21600,21600" o:gfxdata="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JVdBwvUAAAAAwEAAA8AAAAAAAAAAQAgAAAAIgAAAGRycy9kb3ducmV2Lnht&#10;bFBLAQIUABQAAAAIAIdO4kDXliP5xAEAAIEDAAAOAAAAAAAAAAEAIAAAACMBAABkcnMvZTJvRG9j&#10;LnhtbFBLBQYAAAAABgAGAFkBAABZBQAAAAA=&#10;">
              <v:fill on="f" focussize="0,0"/>
              <v:stroke on="f"/>
              <v:imagedata o:title=""/>
              <o:lock v:ext="edit" aspectratio="f"/>
              <v:textbox inset="0mm,0mm,0mm,0mm">
                <w:txbxContent>
                  <w:p w14:paraId="64FD7980">
                    <w:pPr>
                      <w:pStyle w:val="14"/>
                      <w:jc w:val="center"/>
                    </w:pPr>
                    <w:r>
                      <w:fldChar w:fldCharType="begin"/>
                    </w:r>
                    <w:r>
                      <w:instrText xml:space="preserve"> PAGE  \* MERGEFORMAT </w:instrText>
                    </w:r>
                    <w:r>
                      <w:fldChar w:fldCharType="separate"/>
                    </w:r>
                    <w:r>
                      <w:rPr>
                        <w:lang/>
                      </w:rP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5C06E">
    <w:pPr>
      <w:pStyle w:val="14"/>
      <w:jc w:val="both"/>
      <w:rPr>
        <w:bCs/>
      </w:rPr>
    </w:pPr>
    <w:r>
      <w:rPr>
        <w:lang/>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-45085</wp:posOffset>
              </wp:positionV>
              <wp:extent cx="334645" cy="161925"/>
              <wp:effectExtent l="0" t="0" r="0" b="0"/>
              <wp:wrapNone/>
              <wp:docPr id="28"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60088A11">
                          <w:pPr>
                            <w:pStyle w:val="14"/>
                            <w:jc w:val="center"/>
                          </w:pPr>
                          <w:r>
                            <w:fldChar w:fldCharType="begin"/>
                          </w:r>
                          <w:r>
                            <w:instrText xml:space="preserve"> PAGE  \* MERGEFORMAT </w:instrText>
                          </w:r>
                          <w:r>
                            <w:fldChar w:fldCharType="separate"/>
                          </w:r>
                          <w: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2.75pt;width:26.35pt;mso-position-horizontal:center;mso-position-horizontal-relative:margin;z-index:251659264;mso-width-relative:page;mso-height-relative:page;" filled="f" stroked="f" coordsize="21600,21600" o:gfxdata="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ETdXPHVAAAABQEAAA8AAAAAAAAAAQAgAAAAIgAAAGRycy9kb3ducmV2&#10;LnhtbFBLAQIUABQAAAAIAIdO4kAwkUQbxgEAAIEDAAAOAAAAAAAAAAEAIAAAACQBAABkcnMvZTJv&#10;RG9jLnhtbFBLBQYAAAAABgAGAFkBAABcBQAAAAA=&#10;">
              <v:fill on="f" focussize="0,0"/>
              <v:stroke on="f"/>
              <v:imagedata o:title=""/>
              <o:lock v:ext="edit" aspectratio="f"/>
              <v:textbox inset="0mm,0mm,0mm,0mm">
                <w:txbxContent>
                  <w:p w14:paraId="60088A11">
                    <w:pPr>
                      <w:pStyle w:val="14"/>
                      <w:jc w:val="center"/>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CA438">
    <w:pPr>
      <w:pStyle w:val="14"/>
      <w:jc w:val="center"/>
      <w:rPr>
        <w:sz w:val="21"/>
        <w:szCs w:val="21"/>
      </w:rPr>
    </w:pPr>
    <w:r>
      <w:rPr>
        <w:sz w:val="21"/>
      </w:rPr>
      <mc:AlternateContent>
        <mc:Choice Requires="wps">
          <w:drawing>
            <wp:anchor distT="0" distB="0" distL="114300" distR="114300" simplePos="0" relativeHeight="251663360"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2"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E905FEA">
                          <w:pPr>
                            <w:pStyle w:val="14"/>
                            <w:jc w:val="center"/>
                          </w:pPr>
                          <w:r>
                            <w:fldChar w:fldCharType="begin"/>
                          </w:r>
                          <w:r>
                            <w:instrText xml:space="preserve"> PAGE  \* MERGEFORMAT </w:instrText>
                          </w:r>
                          <w:r>
                            <w:fldChar w:fldCharType="separate"/>
                          </w:r>
                          <w:r>
                            <w:t>I</w:t>
                          </w:r>
                          <w:r>
                            <w:fldChar w:fldCharType="end"/>
                          </w: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3360;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HSllpMUBAACBAwAADgAAAAAAAAABACAAAAAmAQAAZHJzL2Uy&#10;b0RvYy54bWxQSwUGAAAAAAYABgBZAQAAXQUAAAAA&#10;">
              <v:fill on="f" focussize="0,0"/>
              <v:stroke on="f"/>
              <v:imagedata o:title=""/>
              <o:lock v:ext="edit" aspectratio="f"/>
              <v:textbox inset="0mm,0mm,0mm,0mm">
                <w:txbxContent>
                  <w:p w14:paraId="5E905FEA">
                    <w:pPr>
                      <w:pStyle w:val="14"/>
                      <w:jc w:val="center"/>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11A50">
    <w:pPr>
      <w:pStyle w:val="14"/>
      <w:jc w:val="both"/>
      <w:rPr>
        <w:bCs/>
      </w:rPr>
    </w:pPr>
    <w:r>
      <mc:AlternateContent>
        <mc:Choice Requires="wps">
          <w:drawing>
            <wp:anchor distT="0" distB="0" distL="114300" distR="114300" simplePos="0" relativeHeight="251664384" behindDoc="0" locked="0" layoutInCell="1" allowOverlap="1">
              <wp:simplePos x="0" y="0"/>
              <wp:positionH relativeFrom="margin">
                <wp:posOffset>2471420</wp:posOffset>
              </wp:positionH>
              <wp:positionV relativeFrom="paragraph">
                <wp:posOffset>-45085</wp:posOffset>
              </wp:positionV>
              <wp:extent cx="334645" cy="161925"/>
              <wp:effectExtent l="0" t="0" r="0" b="0"/>
              <wp:wrapNone/>
              <wp:docPr id="33" name="文本框 13"/>
              <wp:cNvGraphicFramePr/>
              <a:graphic xmlns:a="http://schemas.openxmlformats.org/drawingml/2006/main">
                <a:graphicData uri="http://schemas.microsoft.com/office/word/2010/wordprocessingShape">
                  <wps:wsp>
                    <wps:cNvSpPr txBox="1"/>
                    <wps:spPr>
                      <a:xfrm>
                        <a:off x="0" y="0"/>
                        <a:ext cx="334645" cy="161925"/>
                      </a:xfrm>
                      <a:prstGeom prst="rect">
                        <a:avLst/>
                      </a:prstGeom>
                      <a:noFill/>
                      <a:ln>
                        <a:noFill/>
                      </a:ln>
                    </wps:spPr>
                    <wps:txbx>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left:194.6pt;margin-top:-3.55pt;height:12.75pt;width:26.35pt;mso-position-horizontal-relative:margin;z-index:251664384;mso-width-relative:page;mso-height-relative:page;" filled="f" stroked="f" coordsize="21600,21600" o:gfxdata="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CeQOTd2QAAAAkBAAAPAAAAAAAAAAEAIAAAACIAAABkcnMvZG93&#10;bnJldi54bWxQSwECFAAUAAAACACHTuJA5fKKz8YBAACBAwAADgAAAAAAAAABACAAAAAoAQAAZHJz&#10;L2Uyb0RvYy54bWxQSwUGAAAAAAYABgBZAQAAYAUAAAAA&#10;">
              <v:fill on="f" focussize="0,0"/>
              <v:stroke on="f"/>
              <v:imagedata o:title=""/>
              <o:lock v:ext="edit" aspectratio="f"/>
              <v:textbox inset="0mm,0mm,0mm,0mm">
                <w:txbxContent>
                  <w:p w14:paraId="23212D02">
                    <w:pPr>
                      <w:pStyle w:val="14"/>
                      <w:jc w:val="center"/>
                    </w:pPr>
                    <w:r>
                      <w:fldChar w:fldCharType="begin"/>
                    </w:r>
                    <w:r>
                      <w:instrText xml:space="preserve"> PAGE  \* MERGEFORMAT </w:instrText>
                    </w:r>
                    <w:r>
                      <w:fldChar w:fldCharType="separate"/>
                    </w:r>
                    <w:r>
                      <w:rPr>
                        <w:lang/>
                      </w:rPr>
                      <w:t>II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66DC8">
    <w:pPr>
      <w:pStyle w:val="14"/>
      <w:jc w:val="center"/>
      <w:rPr>
        <w:sz w:val="21"/>
        <w:szCs w:val="21"/>
      </w:rPr>
    </w:pPr>
    <w:r>
      <w:rPr>
        <w:sz w:val="21"/>
      </w:rPr>
      <mc:AlternateContent>
        <mc:Choice Requires="wps">
          <w:drawing>
            <wp:anchor distT="0" distB="0" distL="114300" distR="114300" simplePos="0" relativeHeight="251666432" behindDoc="0" locked="0" layoutInCell="1" allowOverlap="1">
              <wp:simplePos x="0" y="0"/>
              <wp:positionH relativeFrom="margin">
                <wp:posOffset>2517140</wp:posOffset>
              </wp:positionH>
              <wp:positionV relativeFrom="paragraph">
                <wp:posOffset>0</wp:posOffset>
              </wp:positionV>
              <wp:extent cx="243205" cy="161290"/>
              <wp:effectExtent l="0" t="0" r="0" b="0"/>
              <wp:wrapNone/>
              <wp:docPr id="35" name="文本框 12"/>
              <wp:cNvGraphicFramePr/>
              <a:graphic xmlns:a="http://schemas.openxmlformats.org/drawingml/2006/main">
                <a:graphicData uri="http://schemas.microsoft.com/office/word/2010/wordprocessingShape">
                  <wps:wsp>
                    <wps:cNvSpPr txBox="1"/>
                    <wps:spPr>
                      <a:xfrm>
                        <a:off x="0" y="0"/>
                        <a:ext cx="243205" cy="161290"/>
                      </a:xfrm>
                      <a:prstGeom prst="rect">
                        <a:avLst/>
                      </a:prstGeom>
                      <a:noFill/>
                      <a:ln>
                        <a:noFill/>
                      </a:ln>
                    </wps:spPr>
                    <wps:txbx>
                      <w:txbxContent>
                        <w:p w14:paraId="57A80C1A">
                          <w:pPr>
                            <w:pStyle w:val="14"/>
                            <w:jc w:val="center"/>
                          </w:pPr>
                        </w:p>
                      </w:txbxContent>
                    </wps:txbx>
                    <wps:bodyPr wrap="square" lIns="0" tIns="0" rIns="0" bIns="0" upright="0"/>
                  </wps:wsp>
                </a:graphicData>
              </a:graphic>
            </wp:anchor>
          </w:drawing>
        </mc:Choice>
        <mc:Fallback>
          <w:pict>
            <v:shape id="文本框 12" o:spid="_x0000_s1026" o:spt="202" type="#_x0000_t202" style="position:absolute;left:0pt;margin-left:198.2pt;margin-top:0pt;height:12.7pt;width:19.15pt;mso-position-horizontal-relative:margin;z-index:251666432;mso-width-relative:page;mso-height-relative:page;" filled="f" stroked="f" coordsize="21600,21600" o:gfxdata="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B4P6ej1wAAAAcBAAAPAAAAAAAAAAEAIAAAACIAAABkcnMvZG93bnJl&#10;di54bWxQSwECFAAUAAAACACHTuJAngG4NMUBAACBAwAADgAAAAAAAAABACAAAAAmAQAAZHJzL2Uy&#10;b0RvYy54bWxQSwUGAAAAAAYABgBZAQAAXQUAAAAA&#10;">
              <v:fill on="f" focussize="0,0"/>
              <v:stroke on="f"/>
              <v:imagedata o:title=""/>
              <o:lock v:ext="edit" aspectratio="f"/>
              <v:textbox inset="0mm,0mm,0mm,0mm">
                <w:txbxContent>
                  <w:p w14:paraId="57A80C1A">
                    <w:pPr>
                      <w:pStyle w:val="14"/>
                      <w:jc w:val="center"/>
                    </w:pPr>
                  </w:p>
                </w:txbxContent>
              </v:textbox>
            </v:shape>
          </w:pict>
        </mc:Fallback>
      </mc:AlternateContent>
    </w:r>
    <w:r>
      <w:rPr>
        <w:rFonts w:hint="eastAsia"/>
        <w:sz w:val="21"/>
        <w:szCs w:val="21"/>
      </w:rPr>
      <w:t>i</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896D1">
    <w:pPr>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64795" cy="161290"/>
              <wp:effectExtent l="0" t="0" r="0" b="0"/>
              <wp:wrapNone/>
              <wp:docPr id="29" name="文本框 9"/>
              <wp:cNvGraphicFramePr/>
              <a:graphic xmlns:a="http://schemas.openxmlformats.org/drawingml/2006/main">
                <a:graphicData uri="http://schemas.microsoft.com/office/word/2010/wordprocessingShape">
                  <wps:wsp>
                    <wps:cNvSpPr txBox="1"/>
                    <wps:spPr>
                      <a:xfrm>
                        <a:off x="0" y="0"/>
                        <a:ext cx="264795" cy="161290"/>
                      </a:xfrm>
                      <a:prstGeom prst="rect">
                        <a:avLst/>
                      </a:prstGeom>
                      <a:noFill/>
                      <a:ln>
                        <a:noFill/>
                      </a:ln>
                    </wps:spPr>
                    <wps:txbx>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wps:txbx>
                    <wps:bodyPr wrap="square" lIns="0" tIns="0" rIns="0" bIns="0" upright="0"/>
                  </wps:wsp>
                </a:graphicData>
              </a:graphic>
            </wp:anchor>
          </w:drawing>
        </mc:Choice>
        <mc:Fallback>
          <w:pict>
            <v:shape id="文本框 9" o:spid="_x0000_s1026" o:spt="202" type="#_x0000_t202" style="position:absolute;left:0pt;margin-top:0pt;height:12.7pt;width:20.85pt;mso-position-horizontal:center;mso-position-horizontal-relative:margin;z-index:251660288;mso-width-relative:page;mso-height-relative:page;" filled="f" stroked="f" coordsize="21600,21600" o:gfxdata="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mCo6lNQAAAADAQAADwAAAAAAAAABACAAAAAiAAAAZHJzL2Rvd25yZXYu&#10;eG1sUEsBAhQAFAAAAAgAh07iQBxGx2HGAQAAgAMAAA4AAAAAAAAAAQAgAAAAIwEAAGRycy9lMm9E&#10;b2MueG1sUEsFBgAAAAAGAAYAWQEAAFsFAAAAAA==&#10;">
              <v:fill on="f" focussize="0,0"/>
              <v:stroke on="f"/>
              <v:imagedata o:title=""/>
              <o:lock v:ext="edit" aspectratio="f"/>
              <v:textbox inset="0mm,0mm,0mm,0mm">
                <w:txbxContent>
                  <w:p w14:paraId="1E1535B5">
                    <w:pPr>
                      <w:pStyle w:val="14"/>
                      <w:jc w:val="center"/>
                    </w:pPr>
                    <w:r>
                      <w:fldChar w:fldCharType="begin"/>
                    </w:r>
                    <w:r>
                      <w:instrText xml:space="preserve"> PAGE  \* MERGEFORMAT </w:instrText>
                    </w:r>
                    <w:r>
                      <w:fldChar w:fldCharType="separate"/>
                    </w:r>
                    <w:r>
                      <w:rPr>
                        <w:lang/>
                      </w:rP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4502">
    <w:pPr>
      <w:pStyle w:val="14"/>
      <w:jc w:val="both"/>
      <w:rPr>
        <w:bCs/>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1"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2336;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LhI38zFAQAAgQMAAA4AAAAAAAAAAQAgAAAAJAEAAGRycy9lMm9E&#10;b2MueG1sUEsFBgAAAAAGAAYAWQEAAFsFAAAAAA==&#10;">
              <v:fill on="f" focussize="0,0"/>
              <v:stroke on="f"/>
              <v:imagedata o:title=""/>
              <o:lock v:ext="edit" aspectratio="f"/>
              <v:textbox inset="0mm,0mm,0mm,0mm">
                <w:txbxContent>
                  <w:p w14:paraId="43AF337B">
                    <w:pPr>
                      <w:pStyle w:val="14"/>
                      <w:jc w:val="center"/>
                    </w:pPr>
                    <w:r>
                      <w:fldChar w:fldCharType="begin"/>
                    </w:r>
                    <w:r>
                      <w:instrText xml:space="preserve"> PAGE  \* MERGEFORMAT </w:instrText>
                    </w:r>
                    <w:r>
                      <w:fldChar w:fldCharType="separate"/>
                    </w:r>
                    <w:r>
                      <w:rPr>
                        <w:lang/>
                      </w:rPr>
                      <w:t>12</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00E095">
    <w:pPr>
      <w:pStyle w:val="14"/>
      <w:jc w:val="both"/>
      <w:rPr>
        <w:bCs/>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-45085</wp:posOffset>
              </wp:positionV>
              <wp:extent cx="308610" cy="177165"/>
              <wp:effectExtent l="0" t="0" r="0" b="0"/>
              <wp:wrapNone/>
              <wp:docPr id="34" name="文本框 13"/>
              <wp:cNvGraphicFramePr/>
              <a:graphic xmlns:a="http://schemas.openxmlformats.org/drawingml/2006/main">
                <a:graphicData uri="http://schemas.microsoft.com/office/word/2010/wordprocessingShape">
                  <wps:wsp>
                    <wps:cNvSpPr txBox="1"/>
                    <wps:spPr>
                      <a:xfrm>
                        <a:off x="0" y="0"/>
                        <a:ext cx="308610" cy="177165"/>
                      </a:xfrm>
                      <a:prstGeom prst="rect">
                        <a:avLst/>
                      </a:prstGeom>
                      <a:noFill/>
                      <a:ln>
                        <a:noFill/>
                      </a:ln>
                    </wps:spPr>
                    <wps:txbx>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wps:txbx>
                    <wps:bodyPr wrap="square" lIns="0" tIns="0" rIns="0" bIns="0" upright="1"/>
                  </wps:wsp>
                </a:graphicData>
              </a:graphic>
            </wp:anchor>
          </w:drawing>
        </mc:Choice>
        <mc:Fallback>
          <w:pict>
            <v:shape id="文本框 13" o:spid="_x0000_s1026" o:spt="202" type="#_x0000_t202" style="position:absolute;left:0pt;margin-top:-3.55pt;height:13.95pt;width:24.3pt;mso-position-horizontal:center;mso-position-horizontal-relative:margin;z-index:251665408;mso-width-relative:page;mso-height-relative:page;" filled="f" stroked="f" coordsize="21600,21600" o:gfxdata="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xUkf9NUAAAAFAQAADwAAAAAAAAABACAAAAAiAAAAZHJzL2Rvd25yZXYu&#10;eG1sUEsBAhQAFAAAAAgAh07iQPqnQXnFAQAAgQMAAA4AAAAAAAAAAQAgAAAAJAEAAGRycy9lMm9E&#10;b2MueG1sUEsFBgAAAAAGAAYAWQEAAFsFAAAAAA==&#10;">
              <v:fill on="f" focussize="0,0"/>
              <v:stroke on="f"/>
              <v:imagedata o:title=""/>
              <o:lock v:ext="edit" aspectratio="f"/>
              <v:textbox inset="0mm,0mm,0mm,0mm">
                <w:txbxContent>
                  <w:p w14:paraId="582ACBD1">
                    <w:pPr>
                      <w:pStyle w:val="14"/>
                      <w:jc w:val="center"/>
                    </w:pPr>
                    <w:r>
                      <w:fldChar w:fldCharType="begin"/>
                    </w:r>
                    <w:r>
                      <w:instrText xml:space="preserve"> PAGE  \* MERGEFORMAT </w:instrText>
                    </w:r>
                    <w:r>
                      <w:fldChar w:fldCharType="separate"/>
                    </w:r>
                    <w:r>
                      <w:rPr>
                        <w:lang/>
                      </w:rPr>
                      <w:t>14</w:t>
                    </w:r>
                    <w:r>
                      <w:fldChar w:fldCharType="end"/>
                    </w:r>
                  </w:p>
                </w:txbxContent>
              </v:textbox>
            </v:shape>
          </w:pict>
        </mc:Fallback>
      </mc:AlternateConten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6AA4968">
      <w:pPr>
        <w:pStyle w:val="17"/>
        <w:rPr>
          <w:rFonts w:hint="eastAsia"/>
        </w:rPr>
      </w:pPr>
      <w:r>
        <w:rPr>
          <w:rStyle w:val="31"/>
        </w:rPr>
        <w:footnoteRef/>
      </w:r>
      <w:r>
        <w:t xml:space="preserve"> </w:t>
      </w:r>
      <w:r>
        <w:rPr>
          <w:rFonts w:hint="eastAsia"/>
        </w:rPr>
        <w:t>脚注文本脚注文本脚注文本脚注文本</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56AF7">
    <w:pPr>
      <w:pStyle w:val="15"/>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C3E77">
    <w:pPr>
      <w:pStyle w:val="15"/>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A0B725">
    <w:pPr>
      <w:pStyle w:val="15"/>
      <w:pBdr>
        <w:bottom w:val="none" w:color="auto" w:sz="0" w:space="0"/>
      </w:pBdr>
      <w:rPr>
        <w:sz w:val="2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CDEB8">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64D5">
    <w:pPr>
      <w:pBdr>
        <w:bottom w:val="single" w:color="auto" w:sz="4" w:space="0"/>
      </w:pBdr>
      <w:jc w:val="center"/>
      <w:rPr>
        <w:rFonts w:hint="eastAsia"/>
        <w:sz w:val="18"/>
        <w:szCs w:val="28"/>
      </w:rPr>
    </w:pPr>
    <w:r>
      <w:rPr>
        <w:rFonts w:hint="eastAsia"/>
        <w:sz w:val="18"/>
      </w:rPr>
      <w:t>摘  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7EE522">
    <w:pPr>
      <w:pStyle w:val="15"/>
      <w:pBdr>
        <w:bottom w:val="single" w:color="auto" w:sz="4" w:space="1"/>
      </w:pBdr>
    </w:pPr>
    <w:r>
      <w:t>成都理工大学</w:t>
    </w:r>
    <w:r>
      <w:rPr>
        <w:rFonts w:hint="eastAsia"/>
      </w:rPr>
      <w:t>硕</w:t>
    </w:r>
    <w:r>
      <w:t>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1E386">
    <w:pPr>
      <w:pBdr>
        <w:bottom w:val="single" w:color="auto" w:sz="4" w:space="0"/>
      </w:pBdr>
      <w:jc w:val="center"/>
      <w:rPr>
        <w:rFonts w:hint="eastAsia"/>
        <w:sz w:val="18"/>
        <w:szCs w:val="28"/>
      </w:rPr>
    </w:pPr>
    <w:r>
      <w:rPr>
        <w:rFonts w:hint="eastAsia"/>
        <w:sz w:val="18"/>
        <w:szCs w:val="28"/>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65BB2">
    <w:pPr>
      <w:pStyle w:val="15"/>
      <w:pBdr>
        <w:bottom w:val="single" w:color="auto" w:sz="4" w:space="1"/>
      </w:pBdr>
    </w:pPr>
    <w:r>
      <w:t>成都理工大学</w:t>
    </w:r>
    <w:r>
      <w:rPr>
        <w:rFonts w:hint="eastAsia"/>
      </w:rPr>
      <w:t>专业学位硕</w:t>
    </w:r>
    <w:r>
      <w:t>士学位论文</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A7D0">
    <w:pPr>
      <w:pBdr>
        <w:bottom w:val="single" w:color="auto" w:sz="4" w:space="0"/>
      </w:pBdr>
      <w:jc w:val="center"/>
      <w:rPr>
        <w:rFonts w:hint="eastAsia"/>
        <w:sz w:val="18"/>
        <w:szCs w:val="28"/>
      </w:rPr>
    </w:pPr>
    <w:r>
      <w:rPr>
        <w:rFonts w:hint="eastAsia"/>
        <w:sz w:val="18"/>
      </w:rPr>
      <w:t>目  录</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416FF">
    <w:pPr>
      <w:pBdr>
        <w:bottom w:val="single" w:color="auto" w:sz="4" w:space="0"/>
      </w:pBdr>
      <w:jc w:val="center"/>
      <w:rPr>
        <w:sz w:val="18"/>
        <w:szCs w:val="28"/>
      </w:rPr>
    </w:pPr>
    <w:r>
      <w:rPr>
        <w:rFonts w:hint="eastAsia"/>
        <w:sz w:val="18"/>
      </w:rPr>
      <w:t>第1章  引言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F7E92">
    <w:pPr>
      <w:pBdr>
        <w:bottom w:val="single" w:color="auto" w:sz="4" w:space="0"/>
      </w:pBdr>
      <w:jc w:val="center"/>
      <w:rPr>
        <w:sz w:val="18"/>
        <w:szCs w:val="28"/>
      </w:rPr>
    </w:pPr>
    <w:r>
      <w:rPr>
        <w:rFonts w:hint="eastAsia"/>
        <w:sz w:val="18"/>
      </w:rPr>
      <w:t>第2章  标题</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4BF2B">
    <w:pPr>
      <w:pBdr>
        <w:bottom w:val="single" w:color="auto" w:sz="4" w:space="0"/>
      </w:pBdr>
      <w:jc w:val="center"/>
      <w:rPr>
        <w:sz w:val="18"/>
        <w:szCs w:val="28"/>
      </w:rPr>
    </w:pPr>
    <w:r>
      <w:rPr>
        <w:rFonts w:hint="eastAsia"/>
        <w:sz w:val="18"/>
      </w:rPr>
      <w:t>第3章  标题</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0252">
    <w:pPr>
      <w:pBdr>
        <w:bottom w:val="single" w:color="auto" w:sz="4" w:space="0"/>
      </w:pBdr>
      <w:jc w:val="center"/>
      <w:rPr>
        <w:sz w:val="18"/>
        <w:szCs w:val="28"/>
      </w:rPr>
    </w:pPr>
    <w:r>
      <w:rPr>
        <w:rFonts w:hint="eastAsia"/>
        <w:sz w:val="18"/>
      </w:rPr>
      <w:t>第4章  标题</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2D2D24">
    <w:pPr>
      <w:pBdr>
        <w:bottom w:val="single" w:color="auto" w:sz="4" w:space="0"/>
      </w:pBdr>
      <w:jc w:val="center"/>
      <w:rPr>
        <w:sz w:val="18"/>
        <w:szCs w:val="28"/>
      </w:rPr>
    </w:pPr>
    <w:r>
      <w:rPr>
        <w:rFonts w:hint="eastAsia"/>
        <w:sz w:val="18"/>
      </w:rPr>
      <w:t>结  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77CE05">
    <w:pPr>
      <w:pBdr>
        <w:bottom w:val="single" w:color="auto" w:sz="4" w:space="0"/>
      </w:pBdr>
      <w:jc w:val="center"/>
      <w:rPr>
        <w:sz w:val="18"/>
        <w:szCs w:val="28"/>
      </w:rPr>
    </w:pPr>
    <w:r>
      <w:rPr>
        <w:rFonts w:hint="eastAsia"/>
        <w:sz w:val="18"/>
      </w:rPr>
      <w:t>致  谢</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6ADEF">
    <w:pPr>
      <w:pStyle w:val="15"/>
      <w:pBdr>
        <w:bottom w:val="single" w:color="auto" w:sz="4" w:space="1"/>
      </w:pBdr>
    </w:pPr>
    <w:r>
      <w:t>成都理工大学</w:t>
    </w:r>
    <w:r>
      <w:rPr>
        <w:rFonts w:hint="eastAsia"/>
      </w:rPr>
      <w:t>专业学位硕</w:t>
    </w:r>
    <w:r>
      <w:t>士学位论文</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93E67">
    <w:pPr>
      <w:pBdr>
        <w:bottom w:val="single" w:color="auto" w:sz="4" w:space="0"/>
      </w:pBdr>
      <w:jc w:val="center"/>
      <w:rPr>
        <w:sz w:val="18"/>
        <w:szCs w:val="28"/>
      </w:rPr>
    </w:pPr>
    <w:r>
      <w:rPr>
        <w:rFonts w:hint="eastAsia"/>
        <w:sz w:val="18"/>
      </w:rPr>
      <w:t>参考文献</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2473D">
    <w:pPr>
      <w:pBdr>
        <w:bottom w:val="single" w:color="auto" w:sz="4" w:space="0"/>
      </w:pBdr>
      <w:jc w:val="center"/>
      <w:rPr>
        <w:sz w:val="18"/>
        <w:szCs w:val="28"/>
      </w:rPr>
    </w:pPr>
    <w:r>
      <w:rPr>
        <w:sz w:val="18"/>
        <w:szCs w:val="28"/>
      </w:rPr>
      <w:t>在读期间发表的学术论文与研究成果</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66086">
    <w:pPr>
      <w:pBdr>
        <w:bottom w:val="single" w:color="auto" w:sz="4" w:space="0"/>
      </w:pBdr>
      <w:jc w:val="center"/>
      <w:rPr>
        <w:sz w:val="18"/>
        <w:szCs w:val="28"/>
      </w:rP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摘  要</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Abstract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第1章  绪论</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第2章  充电行为数据与特征分析</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第3章  基于多关系门控图卷积的节点短期负荷预测</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第4章  三层机制诊断协议（MDP）与模型可解释性分析</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第5章  模型结构分析与预测支持探索</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结  论</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参考文献</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Bdr>
        <w:bottom w:val="single" w:sz="4" w:space="1" w:color="000000"/>
      </w:pBdr>
    </w:pPr>
    <w:r>
      <w:rPr>
        <w:rFonts w:ascii="Times New Roman" w:hAnsi="Times New Roman" w:cs="Times New Roman" w:eastAsia="宋体"/>
        <w:sz w:val="18"/>
      </w:rPr>
      <w:t>成都理工大学硕士学位论文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0"/>
  <w:bordersDoNotSurroundFooter w:val="0"/>
  <w:defaultTabStop w:val="420"/>
  <w:hyphenationZone w:val="360"/>
  <w:evenAndOddHeaders w:val="1"/>
  <w:drawingGridVerticalSpacing w:val="163"/>
  <w:displayHorizontalDrawingGridEvery w:val="1"/>
  <w:displayVerticalDrawingGridEvery w:val="2"/>
  <w:noPunctuationKerning w:val="1"/>
  <w:characterSpacingControl w:val="compressPunctuation"/>
  <w:doNotValidateAgainstSchema/>
  <w:doNotDemarcateInvalidXml/>
  <w:hdrShapeDefaults>
    <o:shapelayout v:ext="edit">
      <o:idmap v:ext="edit" data="2"/>
    </o:shapelayout>
  </w:hdrShapeDefaults>
  <w:footnotePr>
    <w:footnote w:id="2"/>
    <w:footnote w:id="3"/>
  </w:foot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llNjE3ZDcxZDgzYTQyODI0YmI3MDg0MGJmODJjOTUifQ=="/>
  </w:docVars>
  <w:rsids>
    <w:rsidRoot w:val="00C026EC"/>
    <w:rsid w:val="000227D6"/>
    <w:rsid w:val="000F6FE5"/>
    <w:rsid w:val="001779BB"/>
    <w:rsid w:val="00184B37"/>
    <w:rsid w:val="001A3F6B"/>
    <w:rsid w:val="002546D3"/>
    <w:rsid w:val="00255FAA"/>
    <w:rsid w:val="002D4072"/>
    <w:rsid w:val="002F1761"/>
    <w:rsid w:val="002F24EC"/>
    <w:rsid w:val="00300D95"/>
    <w:rsid w:val="003A2C0B"/>
    <w:rsid w:val="003E3755"/>
    <w:rsid w:val="003E7E72"/>
    <w:rsid w:val="0044129E"/>
    <w:rsid w:val="004A443B"/>
    <w:rsid w:val="005145B2"/>
    <w:rsid w:val="005260E7"/>
    <w:rsid w:val="00526F53"/>
    <w:rsid w:val="005D64C8"/>
    <w:rsid w:val="00607D50"/>
    <w:rsid w:val="006A4219"/>
    <w:rsid w:val="006F3540"/>
    <w:rsid w:val="00711FD7"/>
    <w:rsid w:val="00715367"/>
    <w:rsid w:val="00731EC3"/>
    <w:rsid w:val="00747CE7"/>
    <w:rsid w:val="0079696E"/>
    <w:rsid w:val="007E4632"/>
    <w:rsid w:val="008425D4"/>
    <w:rsid w:val="00857B2F"/>
    <w:rsid w:val="00894D2D"/>
    <w:rsid w:val="008B72A0"/>
    <w:rsid w:val="008F398B"/>
    <w:rsid w:val="00987EC1"/>
    <w:rsid w:val="009974F0"/>
    <w:rsid w:val="009C6DA2"/>
    <w:rsid w:val="00A11EFE"/>
    <w:rsid w:val="00A44F4E"/>
    <w:rsid w:val="00A75600"/>
    <w:rsid w:val="00B37CA1"/>
    <w:rsid w:val="00B43831"/>
    <w:rsid w:val="00B4675C"/>
    <w:rsid w:val="00BB5A1A"/>
    <w:rsid w:val="00C026EC"/>
    <w:rsid w:val="00C11204"/>
    <w:rsid w:val="00C22EDB"/>
    <w:rsid w:val="00C91F3A"/>
    <w:rsid w:val="00CA5012"/>
    <w:rsid w:val="00DD230A"/>
    <w:rsid w:val="00DF5540"/>
    <w:rsid w:val="00E53A1C"/>
    <w:rsid w:val="00E834E5"/>
    <w:rsid w:val="00E9741C"/>
    <w:rsid w:val="00F35DF8"/>
    <w:rsid w:val="00F608E7"/>
    <w:rsid w:val="00F70AD0"/>
    <w:rsid w:val="00F90522"/>
    <w:rsid w:val="00FB5646"/>
    <w:rsid w:val="00FD6EF8"/>
    <w:rsid w:val="00FF6603"/>
    <w:rsid w:val="013C06BC"/>
    <w:rsid w:val="01696A9C"/>
    <w:rsid w:val="019B6F29"/>
    <w:rsid w:val="01D12D9D"/>
    <w:rsid w:val="02092C94"/>
    <w:rsid w:val="02330762"/>
    <w:rsid w:val="02E84657"/>
    <w:rsid w:val="03394EB3"/>
    <w:rsid w:val="038A5E19"/>
    <w:rsid w:val="03BB6210"/>
    <w:rsid w:val="04045AFD"/>
    <w:rsid w:val="043D2B30"/>
    <w:rsid w:val="046A50DA"/>
    <w:rsid w:val="04EB6681"/>
    <w:rsid w:val="04F55751"/>
    <w:rsid w:val="05A1542D"/>
    <w:rsid w:val="05C84C14"/>
    <w:rsid w:val="05F37618"/>
    <w:rsid w:val="060E6ACB"/>
    <w:rsid w:val="063F4ED6"/>
    <w:rsid w:val="06740A41"/>
    <w:rsid w:val="06C501D3"/>
    <w:rsid w:val="06EB6E0C"/>
    <w:rsid w:val="06F061D0"/>
    <w:rsid w:val="06F23CF7"/>
    <w:rsid w:val="074D3623"/>
    <w:rsid w:val="075B32D7"/>
    <w:rsid w:val="075E75DE"/>
    <w:rsid w:val="07A10084"/>
    <w:rsid w:val="07A258E4"/>
    <w:rsid w:val="07B40FAC"/>
    <w:rsid w:val="081128A2"/>
    <w:rsid w:val="083D1316"/>
    <w:rsid w:val="08442D16"/>
    <w:rsid w:val="089B30A9"/>
    <w:rsid w:val="08AE00F1"/>
    <w:rsid w:val="09684744"/>
    <w:rsid w:val="097A6225"/>
    <w:rsid w:val="09A97033"/>
    <w:rsid w:val="09D62A13"/>
    <w:rsid w:val="0A140428"/>
    <w:rsid w:val="0A4E3C28"/>
    <w:rsid w:val="0A911A78"/>
    <w:rsid w:val="0AF0679F"/>
    <w:rsid w:val="0AF71DB6"/>
    <w:rsid w:val="0B4D1E43"/>
    <w:rsid w:val="0B84224B"/>
    <w:rsid w:val="0BA632C4"/>
    <w:rsid w:val="0BA852CC"/>
    <w:rsid w:val="0BAD28E2"/>
    <w:rsid w:val="0BF5144B"/>
    <w:rsid w:val="0BFA53FB"/>
    <w:rsid w:val="0C2C33CB"/>
    <w:rsid w:val="0C79439C"/>
    <w:rsid w:val="0CD76783"/>
    <w:rsid w:val="0D5F5563"/>
    <w:rsid w:val="0DBD73CB"/>
    <w:rsid w:val="0DEB14A0"/>
    <w:rsid w:val="0E012A71"/>
    <w:rsid w:val="0E9253A8"/>
    <w:rsid w:val="0EAF6971"/>
    <w:rsid w:val="0EB67BBE"/>
    <w:rsid w:val="0F24110D"/>
    <w:rsid w:val="0F50023D"/>
    <w:rsid w:val="0F5006A2"/>
    <w:rsid w:val="0F515CEE"/>
    <w:rsid w:val="0F91415D"/>
    <w:rsid w:val="0FEF171B"/>
    <w:rsid w:val="10437371"/>
    <w:rsid w:val="104B091B"/>
    <w:rsid w:val="109124AE"/>
    <w:rsid w:val="109C2F25"/>
    <w:rsid w:val="109D1177"/>
    <w:rsid w:val="10C36704"/>
    <w:rsid w:val="10EA1EE2"/>
    <w:rsid w:val="10F16DCD"/>
    <w:rsid w:val="10FD111A"/>
    <w:rsid w:val="11203B56"/>
    <w:rsid w:val="1122167C"/>
    <w:rsid w:val="11334496"/>
    <w:rsid w:val="113413B0"/>
    <w:rsid w:val="113A5FD4"/>
    <w:rsid w:val="116752E1"/>
    <w:rsid w:val="118C2F9A"/>
    <w:rsid w:val="1192393D"/>
    <w:rsid w:val="11E15093"/>
    <w:rsid w:val="12172D2F"/>
    <w:rsid w:val="12197510"/>
    <w:rsid w:val="12431165"/>
    <w:rsid w:val="130406B1"/>
    <w:rsid w:val="130848A2"/>
    <w:rsid w:val="13351D94"/>
    <w:rsid w:val="133644B1"/>
    <w:rsid w:val="134A6C68"/>
    <w:rsid w:val="13581385"/>
    <w:rsid w:val="13985C26"/>
    <w:rsid w:val="13A11DD8"/>
    <w:rsid w:val="13BC47C3"/>
    <w:rsid w:val="146849E3"/>
    <w:rsid w:val="14BC5944"/>
    <w:rsid w:val="14C91E0F"/>
    <w:rsid w:val="14CF1B1B"/>
    <w:rsid w:val="15407EF2"/>
    <w:rsid w:val="15982925"/>
    <w:rsid w:val="15BB5BFB"/>
    <w:rsid w:val="16414353"/>
    <w:rsid w:val="166F74AF"/>
    <w:rsid w:val="1675578B"/>
    <w:rsid w:val="167D0A9B"/>
    <w:rsid w:val="16976F4A"/>
    <w:rsid w:val="16B0596D"/>
    <w:rsid w:val="16B5089D"/>
    <w:rsid w:val="16B74615"/>
    <w:rsid w:val="16C805D0"/>
    <w:rsid w:val="16CF5E02"/>
    <w:rsid w:val="16F5513D"/>
    <w:rsid w:val="1720665E"/>
    <w:rsid w:val="174165D4"/>
    <w:rsid w:val="174C1201"/>
    <w:rsid w:val="17567C80"/>
    <w:rsid w:val="175B34BC"/>
    <w:rsid w:val="17740758"/>
    <w:rsid w:val="17C31458"/>
    <w:rsid w:val="17D824F4"/>
    <w:rsid w:val="18552BF9"/>
    <w:rsid w:val="186E0AC5"/>
    <w:rsid w:val="1890511D"/>
    <w:rsid w:val="18B2778A"/>
    <w:rsid w:val="18B708FC"/>
    <w:rsid w:val="18FC7284"/>
    <w:rsid w:val="19354BB3"/>
    <w:rsid w:val="19463BB3"/>
    <w:rsid w:val="19485AA4"/>
    <w:rsid w:val="196E0ED2"/>
    <w:rsid w:val="19805345"/>
    <w:rsid w:val="198151DB"/>
    <w:rsid w:val="199C7AF2"/>
    <w:rsid w:val="19CA6B54"/>
    <w:rsid w:val="19D1538A"/>
    <w:rsid w:val="1A01518C"/>
    <w:rsid w:val="1A143B33"/>
    <w:rsid w:val="1A361CF4"/>
    <w:rsid w:val="1A5916C2"/>
    <w:rsid w:val="1A5C33F7"/>
    <w:rsid w:val="1AD35818"/>
    <w:rsid w:val="1B1C0EEA"/>
    <w:rsid w:val="1B6603B7"/>
    <w:rsid w:val="1B6B2F26"/>
    <w:rsid w:val="1B83540D"/>
    <w:rsid w:val="1B8D3B96"/>
    <w:rsid w:val="1BBA40DB"/>
    <w:rsid w:val="1BCC437F"/>
    <w:rsid w:val="1BD01CD5"/>
    <w:rsid w:val="1BF02A4A"/>
    <w:rsid w:val="1C0C71B1"/>
    <w:rsid w:val="1C112A19"/>
    <w:rsid w:val="1C430EE2"/>
    <w:rsid w:val="1CB20235"/>
    <w:rsid w:val="1D077978"/>
    <w:rsid w:val="1D567904"/>
    <w:rsid w:val="1D8B7922"/>
    <w:rsid w:val="1DA358F3"/>
    <w:rsid w:val="1E3D7AF5"/>
    <w:rsid w:val="1E4470D6"/>
    <w:rsid w:val="1E4A5D6E"/>
    <w:rsid w:val="1E796654"/>
    <w:rsid w:val="1E872F99"/>
    <w:rsid w:val="1E8E626F"/>
    <w:rsid w:val="1F2E38E2"/>
    <w:rsid w:val="1F3A5DE3"/>
    <w:rsid w:val="1F6D61B8"/>
    <w:rsid w:val="1F705CA9"/>
    <w:rsid w:val="1F813BA0"/>
    <w:rsid w:val="1FB2006F"/>
    <w:rsid w:val="20005844"/>
    <w:rsid w:val="203C5B8B"/>
    <w:rsid w:val="203E5DA7"/>
    <w:rsid w:val="206D3F96"/>
    <w:rsid w:val="20904294"/>
    <w:rsid w:val="20947035"/>
    <w:rsid w:val="21001695"/>
    <w:rsid w:val="21020B82"/>
    <w:rsid w:val="21300ADF"/>
    <w:rsid w:val="2149055F"/>
    <w:rsid w:val="21AA5A27"/>
    <w:rsid w:val="21FA7AAB"/>
    <w:rsid w:val="221F38F4"/>
    <w:rsid w:val="22407BB4"/>
    <w:rsid w:val="22521696"/>
    <w:rsid w:val="22C150BE"/>
    <w:rsid w:val="233A2855"/>
    <w:rsid w:val="2349661C"/>
    <w:rsid w:val="23737B15"/>
    <w:rsid w:val="237B3D8F"/>
    <w:rsid w:val="23D85AEC"/>
    <w:rsid w:val="23F0560A"/>
    <w:rsid w:val="240B41F2"/>
    <w:rsid w:val="246102B6"/>
    <w:rsid w:val="24A40D43"/>
    <w:rsid w:val="24DC002D"/>
    <w:rsid w:val="250550E5"/>
    <w:rsid w:val="25641E0C"/>
    <w:rsid w:val="257D2EE0"/>
    <w:rsid w:val="260E32C1"/>
    <w:rsid w:val="260F6838"/>
    <w:rsid w:val="262D1039"/>
    <w:rsid w:val="262D7A58"/>
    <w:rsid w:val="263A2B6C"/>
    <w:rsid w:val="26A155D5"/>
    <w:rsid w:val="26D1527F"/>
    <w:rsid w:val="26E31456"/>
    <w:rsid w:val="26F31699"/>
    <w:rsid w:val="27117A06"/>
    <w:rsid w:val="271C69D2"/>
    <w:rsid w:val="277F4CDB"/>
    <w:rsid w:val="278E3170"/>
    <w:rsid w:val="27B506FD"/>
    <w:rsid w:val="27FA6A57"/>
    <w:rsid w:val="282A0765"/>
    <w:rsid w:val="28551EE0"/>
    <w:rsid w:val="28706D19"/>
    <w:rsid w:val="287953DF"/>
    <w:rsid w:val="28924EE2"/>
    <w:rsid w:val="28BA7F95"/>
    <w:rsid w:val="2909280B"/>
    <w:rsid w:val="293B7327"/>
    <w:rsid w:val="298A6DAD"/>
    <w:rsid w:val="298B777E"/>
    <w:rsid w:val="29B36EBE"/>
    <w:rsid w:val="29D47E8F"/>
    <w:rsid w:val="29F01EC0"/>
    <w:rsid w:val="2A1839CA"/>
    <w:rsid w:val="2A213702"/>
    <w:rsid w:val="2A3C6EB3"/>
    <w:rsid w:val="2A4B5914"/>
    <w:rsid w:val="2A531318"/>
    <w:rsid w:val="2A783C63"/>
    <w:rsid w:val="2AB47391"/>
    <w:rsid w:val="2AE337D3"/>
    <w:rsid w:val="2BAF5173"/>
    <w:rsid w:val="2BD002A2"/>
    <w:rsid w:val="2C363DD6"/>
    <w:rsid w:val="2C4402A1"/>
    <w:rsid w:val="2C5C383D"/>
    <w:rsid w:val="2C8873E9"/>
    <w:rsid w:val="2C9805ED"/>
    <w:rsid w:val="2CEC4736"/>
    <w:rsid w:val="2D086191"/>
    <w:rsid w:val="2D0F6B01"/>
    <w:rsid w:val="2D60735C"/>
    <w:rsid w:val="2DB136EA"/>
    <w:rsid w:val="2DD120B8"/>
    <w:rsid w:val="2DE24215"/>
    <w:rsid w:val="2E04418C"/>
    <w:rsid w:val="2E3600BD"/>
    <w:rsid w:val="2EFC79F2"/>
    <w:rsid w:val="2F326AD7"/>
    <w:rsid w:val="2FA31233"/>
    <w:rsid w:val="30295295"/>
    <w:rsid w:val="308137FA"/>
    <w:rsid w:val="30B26121"/>
    <w:rsid w:val="30BA5B41"/>
    <w:rsid w:val="30BD6874"/>
    <w:rsid w:val="30D05AAB"/>
    <w:rsid w:val="30ED53AB"/>
    <w:rsid w:val="30FA64B9"/>
    <w:rsid w:val="31244B45"/>
    <w:rsid w:val="31271F3F"/>
    <w:rsid w:val="316B2774"/>
    <w:rsid w:val="316D1209"/>
    <w:rsid w:val="31EE4FA7"/>
    <w:rsid w:val="31F75DB5"/>
    <w:rsid w:val="328C68A8"/>
    <w:rsid w:val="32A42FF6"/>
    <w:rsid w:val="32A95302"/>
    <w:rsid w:val="32F10A57"/>
    <w:rsid w:val="3317670F"/>
    <w:rsid w:val="331B7B47"/>
    <w:rsid w:val="33456311"/>
    <w:rsid w:val="33C626DC"/>
    <w:rsid w:val="33C63C91"/>
    <w:rsid w:val="33DC5263"/>
    <w:rsid w:val="34062303"/>
    <w:rsid w:val="343D64AC"/>
    <w:rsid w:val="34F565DC"/>
    <w:rsid w:val="35054F32"/>
    <w:rsid w:val="351347F4"/>
    <w:rsid w:val="351C551B"/>
    <w:rsid w:val="3597568F"/>
    <w:rsid w:val="35A65B28"/>
    <w:rsid w:val="35EA0200"/>
    <w:rsid w:val="36174C78"/>
    <w:rsid w:val="36266C69"/>
    <w:rsid w:val="36646E51"/>
    <w:rsid w:val="368045CB"/>
    <w:rsid w:val="36A87286"/>
    <w:rsid w:val="36B07376"/>
    <w:rsid w:val="36B204FD"/>
    <w:rsid w:val="37362EDC"/>
    <w:rsid w:val="376C4CC9"/>
    <w:rsid w:val="37CB1876"/>
    <w:rsid w:val="37D17A73"/>
    <w:rsid w:val="382673F4"/>
    <w:rsid w:val="386029F2"/>
    <w:rsid w:val="388700CE"/>
    <w:rsid w:val="389D76B7"/>
    <w:rsid w:val="38E928FC"/>
    <w:rsid w:val="38F90665"/>
    <w:rsid w:val="392154C6"/>
    <w:rsid w:val="397859DE"/>
    <w:rsid w:val="39AE1450"/>
    <w:rsid w:val="3A003B0C"/>
    <w:rsid w:val="3A343DC1"/>
    <w:rsid w:val="3A680E3F"/>
    <w:rsid w:val="3A6924FE"/>
    <w:rsid w:val="3A824DB6"/>
    <w:rsid w:val="3ACC0EF6"/>
    <w:rsid w:val="3B035FDB"/>
    <w:rsid w:val="3B4731CB"/>
    <w:rsid w:val="3B5E49D2"/>
    <w:rsid w:val="3BC46FE7"/>
    <w:rsid w:val="3BCE5DD9"/>
    <w:rsid w:val="3BFF41E4"/>
    <w:rsid w:val="3C067F09"/>
    <w:rsid w:val="3C814BF9"/>
    <w:rsid w:val="3CDE029E"/>
    <w:rsid w:val="3CDE39DC"/>
    <w:rsid w:val="3CE84C78"/>
    <w:rsid w:val="3CF17FD1"/>
    <w:rsid w:val="3CFB3BF3"/>
    <w:rsid w:val="3D477BF1"/>
    <w:rsid w:val="3D51281E"/>
    <w:rsid w:val="3D6F7148"/>
    <w:rsid w:val="3D714C6E"/>
    <w:rsid w:val="3D8952D2"/>
    <w:rsid w:val="3DA9265A"/>
    <w:rsid w:val="3DB76351"/>
    <w:rsid w:val="3DF56AF4"/>
    <w:rsid w:val="3E247F32"/>
    <w:rsid w:val="3E3A55FA"/>
    <w:rsid w:val="3E4800C5"/>
    <w:rsid w:val="3E52684D"/>
    <w:rsid w:val="3E864749"/>
    <w:rsid w:val="3EA204D2"/>
    <w:rsid w:val="3ECF45DB"/>
    <w:rsid w:val="3EDC6A5F"/>
    <w:rsid w:val="3EE871B2"/>
    <w:rsid w:val="3F0A6721"/>
    <w:rsid w:val="3F2F57D9"/>
    <w:rsid w:val="3F496E12"/>
    <w:rsid w:val="3F7153F9"/>
    <w:rsid w:val="3F7A2500"/>
    <w:rsid w:val="3FC45529"/>
    <w:rsid w:val="4034093F"/>
    <w:rsid w:val="40366CC8"/>
    <w:rsid w:val="403D58D5"/>
    <w:rsid w:val="407F58F4"/>
    <w:rsid w:val="40CC521B"/>
    <w:rsid w:val="41016CAC"/>
    <w:rsid w:val="416608D4"/>
    <w:rsid w:val="416F68D8"/>
    <w:rsid w:val="418C5531"/>
    <w:rsid w:val="41C912ED"/>
    <w:rsid w:val="41FD7266"/>
    <w:rsid w:val="424356BE"/>
    <w:rsid w:val="42644DA1"/>
    <w:rsid w:val="426B25D4"/>
    <w:rsid w:val="427F1BDB"/>
    <w:rsid w:val="42A15FF5"/>
    <w:rsid w:val="42A94EAA"/>
    <w:rsid w:val="42F8264A"/>
    <w:rsid w:val="43226514"/>
    <w:rsid w:val="436D5ED7"/>
    <w:rsid w:val="43A10CDC"/>
    <w:rsid w:val="43D0023F"/>
    <w:rsid w:val="43FD7C55"/>
    <w:rsid w:val="443A04B0"/>
    <w:rsid w:val="4475754E"/>
    <w:rsid w:val="4496320C"/>
    <w:rsid w:val="44976BAA"/>
    <w:rsid w:val="44B57B36"/>
    <w:rsid w:val="44DF4BB3"/>
    <w:rsid w:val="44F6229C"/>
    <w:rsid w:val="44FB7675"/>
    <w:rsid w:val="45711F00"/>
    <w:rsid w:val="45936428"/>
    <w:rsid w:val="45941E41"/>
    <w:rsid w:val="45C02C36"/>
    <w:rsid w:val="45C35E40"/>
    <w:rsid w:val="460074D7"/>
    <w:rsid w:val="461F5BAF"/>
    <w:rsid w:val="46345C8C"/>
    <w:rsid w:val="469519CD"/>
    <w:rsid w:val="46B502C1"/>
    <w:rsid w:val="46E13C61"/>
    <w:rsid w:val="46E84622"/>
    <w:rsid w:val="470B1C8F"/>
    <w:rsid w:val="471A6F28"/>
    <w:rsid w:val="471E0654"/>
    <w:rsid w:val="47376F28"/>
    <w:rsid w:val="47A04ACD"/>
    <w:rsid w:val="47BA5463"/>
    <w:rsid w:val="47C167F2"/>
    <w:rsid w:val="47D5338E"/>
    <w:rsid w:val="47D91D8D"/>
    <w:rsid w:val="480C5CBF"/>
    <w:rsid w:val="48221986"/>
    <w:rsid w:val="482E4459"/>
    <w:rsid w:val="48435F9F"/>
    <w:rsid w:val="48641285"/>
    <w:rsid w:val="48704DF7"/>
    <w:rsid w:val="487658C6"/>
    <w:rsid w:val="48B507F3"/>
    <w:rsid w:val="491A08B0"/>
    <w:rsid w:val="49441489"/>
    <w:rsid w:val="4A0B1FA6"/>
    <w:rsid w:val="4A7D46AD"/>
    <w:rsid w:val="4AA246B9"/>
    <w:rsid w:val="4AB47520"/>
    <w:rsid w:val="4AE64EED"/>
    <w:rsid w:val="4B077C9A"/>
    <w:rsid w:val="4B0F7D5B"/>
    <w:rsid w:val="4B7F0E9E"/>
    <w:rsid w:val="4B920D53"/>
    <w:rsid w:val="4BEA4569"/>
    <w:rsid w:val="4C141150"/>
    <w:rsid w:val="4C5E0AB3"/>
    <w:rsid w:val="4C67342E"/>
    <w:rsid w:val="4DCE3A17"/>
    <w:rsid w:val="4DE928EF"/>
    <w:rsid w:val="4E2D698F"/>
    <w:rsid w:val="4E8D742E"/>
    <w:rsid w:val="4EC866B8"/>
    <w:rsid w:val="4ECF154B"/>
    <w:rsid w:val="4EF15C0F"/>
    <w:rsid w:val="4EFA44D9"/>
    <w:rsid w:val="4F49248E"/>
    <w:rsid w:val="4F9F566B"/>
    <w:rsid w:val="4FAB04B3"/>
    <w:rsid w:val="4FB13634"/>
    <w:rsid w:val="4FBE28EB"/>
    <w:rsid w:val="4FD03A76"/>
    <w:rsid w:val="500A204E"/>
    <w:rsid w:val="50780BF8"/>
    <w:rsid w:val="507F724A"/>
    <w:rsid w:val="50DE21C3"/>
    <w:rsid w:val="51B54E73"/>
    <w:rsid w:val="520D1A2D"/>
    <w:rsid w:val="52903990"/>
    <w:rsid w:val="52D16E3D"/>
    <w:rsid w:val="52E442D5"/>
    <w:rsid w:val="52E87329"/>
    <w:rsid w:val="53023F62"/>
    <w:rsid w:val="53076682"/>
    <w:rsid w:val="5373753A"/>
    <w:rsid w:val="53890B0C"/>
    <w:rsid w:val="53C77E94"/>
    <w:rsid w:val="53E56F94"/>
    <w:rsid w:val="54442C85"/>
    <w:rsid w:val="546073CE"/>
    <w:rsid w:val="54B51020"/>
    <w:rsid w:val="54BA568B"/>
    <w:rsid w:val="553625CD"/>
    <w:rsid w:val="55524F2D"/>
    <w:rsid w:val="559B68D4"/>
    <w:rsid w:val="55AE4859"/>
    <w:rsid w:val="56244B1C"/>
    <w:rsid w:val="562F2D5D"/>
    <w:rsid w:val="56685649"/>
    <w:rsid w:val="56BC6B02"/>
    <w:rsid w:val="56D62757"/>
    <w:rsid w:val="56FF7DD0"/>
    <w:rsid w:val="57790B90"/>
    <w:rsid w:val="577A669A"/>
    <w:rsid w:val="57DF7AC4"/>
    <w:rsid w:val="58117322"/>
    <w:rsid w:val="583A6878"/>
    <w:rsid w:val="588B0E82"/>
    <w:rsid w:val="58C919AA"/>
    <w:rsid w:val="58F033DB"/>
    <w:rsid w:val="58F307D5"/>
    <w:rsid w:val="591846FB"/>
    <w:rsid w:val="591E1CF6"/>
    <w:rsid w:val="59290C83"/>
    <w:rsid w:val="59311096"/>
    <w:rsid w:val="5948548D"/>
    <w:rsid w:val="5960314C"/>
    <w:rsid w:val="59960F02"/>
    <w:rsid w:val="599C29D1"/>
    <w:rsid w:val="59C4289D"/>
    <w:rsid w:val="59D93E6F"/>
    <w:rsid w:val="59F90D5A"/>
    <w:rsid w:val="5AD93865"/>
    <w:rsid w:val="5AFF16B3"/>
    <w:rsid w:val="5B122DD2"/>
    <w:rsid w:val="5B445318"/>
    <w:rsid w:val="5BF94355"/>
    <w:rsid w:val="5C1473E0"/>
    <w:rsid w:val="5C337866"/>
    <w:rsid w:val="5C3439D8"/>
    <w:rsid w:val="5C7B1246"/>
    <w:rsid w:val="5CB91629"/>
    <w:rsid w:val="5CCE57E1"/>
    <w:rsid w:val="5CDB06F3"/>
    <w:rsid w:val="5D0E61CC"/>
    <w:rsid w:val="5D213B63"/>
    <w:rsid w:val="5D6D6DA8"/>
    <w:rsid w:val="5DB03139"/>
    <w:rsid w:val="5DBE7604"/>
    <w:rsid w:val="5E2F29E1"/>
    <w:rsid w:val="5E431D24"/>
    <w:rsid w:val="5E622685"/>
    <w:rsid w:val="5E7D301B"/>
    <w:rsid w:val="5F8D54E0"/>
    <w:rsid w:val="602F322A"/>
    <w:rsid w:val="6036733A"/>
    <w:rsid w:val="604A517F"/>
    <w:rsid w:val="6080428D"/>
    <w:rsid w:val="60D522C2"/>
    <w:rsid w:val="610E2650"/>
    <w:rsid w:val="61111B40"/>
    <w:rsid w:val="614E5215"/>
    <w:rsid w:val="61581B1D"/>
    <w:rsid w:val="615A7643"/>
    <w:rsid w:val="616C17AB"/>
    <w:rsid w:val="61706E67"/>
    <w:rsid w:val="61840B64"/>
    <w:rsid w:val="619D7ADA"/>
    <w:rsid w:val="61B56F70"/>
    <w:rsid w:val="61E17D65"/>
    <w:rsid w:val="622268F2"/>
    <w:rsid w:val="624E1071"/>
    <w:rsid w:val="62A96AD4"/>
    <w:rsid w:val="62AA63A9"/>
    <w:rsid w:val="62BE466A"/>
    <w:rsid w:val="62FD297C"/>
    <w:rsid w:val="632B1BE2"/>
    <w:rsid w:val="63471E49"/>
    <w:rsid w:val="639D3C37"/>
    <w:rsid w:val="63B03E93"/>
    <w:rsid w:val="63B8042E"/>
    <w:rsid w:val="63CB65D6"/>
    <w:rsid w:val="64C45338"/>
    <w:rsid w:val="64E42046"/>
    <w:rsid w:val="64E7519D"/>
    <w:rsid w:val="64EE6A20"/>
    <w:rsid w:val="652561BA"/>
    <w:rsid w:val="65326378"/>
    <w:rsid w:val="65AD2FA3"/>
    <w:rsid w:val="65BB267B"/>
    <w:rsid w:val="65CA232C"/>
    <w:rsid w:val="663B3141"/>
    <w:rsid w:val="667657BC"/>
    <w:rsid w:val="671B584E"/>
    <w:rsid w:val="67274D7C"/>
    <w:rsid w:val="67801DCE"/>
    <w:rsid w:val="67CC0B6F"/>
    <w:rsid w:val="67CE645B"/>
    <w:rsid w:val="67D31EFE"/>
    <w:rsid w:val="67E94861"/>
    <w:rsid w:val="68096B6D"/>
    <w:rsid w:val="68374F64"/>
    <w:rsid w:val="68847A0C"/>
    <w:rsid w:val="68CA68B5"/>
    <w:rsid w:val="68DB74A5"/>
    <w:rsid w:val="690F51B7"/>
    <w:rsid w:val="69194288"/>
    <w:rsid w:val="69652A6D"/>
    <w:rsid w:val="6B057DDB"/>
    <w:rsid w:val="6B2F5666"/>
    <w:rsid w:val="6C3C2021"/>
    <w:rsid w:val="6C6121CE"/>
    <w:rsid w:val="6CFC3CA5"/>
    <w:rsid w:val="6D060E4E"/>
    <w:rsid w:val="6D1972F2"/>
    <w:rsid w:val="6DEF3809"/>
    <w:rsid w:val="6E3F1995"/>
    <w:rsid w:val="6E401045"/>
    <w:rsid w:val="6EBE163B"/>
    <w:rsid w:val="6EF47329"/>
    <w:rsid w:val="6F173018"/>
    <w:rsid w:val="6F80296B"/>
    <w:rsid w:val="6FCB1CED"/>
    <w:rsid w:val="6FDF6DF5"/>
    <w:rsid w:val="6FF70753"/>
    <w:rsid w:val="70333E81"/>
    <w:rsid w:val="703A33D1"/>
    <w:rsid w:val="7064403B"/>
    <w:rsid w:val="70AC2E97"/>
    <w:rsid w:val="70AD3C34"/>
    <w:rsid w:val="70EC3D9C"/>
    <w:rsid w:val="71066EA0"/>
    <w:rsid w:val="71752277"/>
    <w:rsid w:val="71AF3427"/>
    <w:rsid w:val="71C86AB9"/>
    <w:rsid w:val="71DA31F3"/>
    <w:rsid w:val="721A2556"/>
    <w:rsid w:val="72253C9E"/>
    <w:rsid w:val="722738F3"/>
    <w:rsid w:val="72556025"/>
    <w:rsid w:val="73133AF6"/>
    <w:rsid w:val="732710B7"/>
    <w:rsid w:val="733C4DFB"/>
    <w:rsid w:val="735E347B"/>
    <w:rsid w:val="73770529"/>
    <w:rsid w:val="73905147"/>
    <w:rsid w:val="73B52DFF"/>
    <w:rsid w:val="73E93DBF"/>
    <w:rsid w:val="74100036"/>
    <w:rsid w:val="744A4865"/>
    <w:rsid w:val="74820F33"/>
    <w:rsid w:val="749B3DA3"/>
    <w:rsid w:val="74AE7F7A"/>
    <w:rsid w:val="74B3052B"/>
    <w:rsid w:val="74D20BB4"/>
    <w:rsid w:val="74F040CD"/>
    <w:rsid w:val="750A2236"/>
    <w:rsid w:val="751D0C5C"/>
    <w:rsid w:val="75287D2D"/>
    <w:rsid w:val="75C031C0"/>
    <w:rsid w:val="762B1157"/>
    <w:rsid w:val="764F2F30"/>
    <w:rsid w:val="76A41635"/>
    <w:rsid w:val="76A45D68"/>
    <w:rsid w:val="76BE2A1F"/>
    <w:rsid w:val="76C9109B"/>
    <w:rsid w:val="76CB0E3A"/>
    <w:rsid w:val="76E2215D"/>
    <w:rsid w:val="76EE3962"/>
    <w:rsid w:val="775D574B"/>
    <w:rsid w:val="7787268A"/>
    <w:rsid w:val="77A411C1"/>
    <w:rsid w:val="78463F82"/>
    <w:rsid w:val="787D213D"/>
    <w:rsid w:val="78966330"/>
    <w:rsid w:val="78DE0702"/>
    <w:rsid w:val="790C414A"/>
    <w:rsid w:val="790D24D6"/>
    <w:rsid w:val="791E4FA3"/>
    <w:rsid w:val="79CE0777"/>
    <w:rsid w:val="7A01700C"/>
    <w:rsid w:val="7A644563"/>
    <w:rsid w:val="7A875E89"/>
    <w:rsid w:val="7A9B3AF0"/>
    <w:rsid w:val="7AD50EC2"/>
    <w:rsid w:val="7AF35FAD"/>
    <w:rsid w:val="7B4A02D1"/>
    <w:rsid w:val="7B4A7639"/>
    <w:rsid w:val="7B615D46"/>
    <w:rsid w:val="7B6E0463"/>
    <w:rsid w:val="7BC10593"/>
    <w:rsid w:val="7BDB001A"/>
    <w:rsid w:val="7C1007F6"/>
    <w:rsid w:val="7C286864"/>
    <w:rsid w:val="7C64405D"/>
    <w:rsid w:val="7CA57EB5"/>
    <w:rsid w:val="7CCA791B"/>
    <w:rsid w:val="7CCD11BA"/>
    <w:rsid w:val="7CCD2F68"/>
    <w:rsid w:val="7CD460A4"/>
    <w:rsid w:val="7CFA449E"/>
    <w:rsid w:val="7CFC55FB"/>
    <w:rsid w:val="7D12768B"/>
    <w:rsid w:val="7D307669"/>
    <w:rsid w:val="7DBD408B"/>
    <w:rsid w:val="7DEF4FFB"/>
    <w:rsid w:val="7E1B461B"/>
    <w:rsid w:val="7E266DD3"/>
    <w:rsid w:val="7E4C610E"/>
    <w:rsid w:val="7E4D0D2A"/>
    <w:rsid w:val="7E775881"/>
    <w:rsid w:val="7EAA7A04"/>
    <w:rsid w:val="7EFF3119"/>
    <w:rsid w:val="7F044EA0"/>
    <w:rsid w:val="7F0949F9"/>
    <w:rsid w:val="7F3B5F12"/>
    <w:rsid w:val="7F686F78"/>
    <w:rsid w:val="7F736048"/>
    <w:rsid w:val="7FA2692E"/>
    <w:rsid w:val="7FCE327F"/>
    <w:rsid w:val="7FD36AE7"/>
    <w:rsid w:val="7FF300F8"/>
    <w:rsid w:val="FBFF7B9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qFormat="1" w:unhideWhenUsed="0" w:uiPriority="0" w:semiHidden="0" w:name="List Paragraph"/>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next w:val="2"/>
    <w:qFormat/>
    <w:uiPriority w:val="0"/>
    <w:pPr>
      <w:widowControl w:val="0"/>
      <w:jc w:val="both"/>
    </w:pPr>
    <w:rPr>
      <w:kern w:val="2"/>
      <w:sz w:val="21"/>
      <w:szCs w:val="24"/>
      <w:lang w:val="en-US" w:eastAsia="zh-CN" w:bidi="ar-SA"/>
    </w:rPr>
  </w:style>
  <w:style w:type="paragraph" w:styleId="3">
    <w:name w:val="heading 1"/>
    <w:basedOn w:val="1"/>
    <w:next w:val="1"/>
    <w:qFormat/>
    <w:uiPriority w:val="0"/>
    <w:pPr>
      <w:keepNext/>
      <w:keepLines/>
      <w:spacing w:before="340" w:after="330" w:line="578" w:lineRule="auto"/>
      <w:outlineLvl w:val="0"/>
    </w:pPr>
    <w:rPr>
      <w:b/>
      <w:bCs/>
      <w:kern w:val="44"/>
      <w:sz w:val="44"/>
      <w:szCs w:val="44"/>
    </w:rPr>
  </w:style>
  <w:style w:type="paragraph" w:styleId="2">
    <w:name w:val="heading 3"/>
    <w:basedOn w:val="1"/>
    <w:next w:val="1"/>
    <w:link w:val="32"/>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3"/>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4"/>
    <w:qFormat/>
    <w:uiPriority w:val="0"/>
    <w:pPr>
      <w:keepNext/>
      <w:spacing w:line="360" w:lineRule="auto"/>
      <w:ind w:firstLine="600"/>
      <w:jc w:val="center"/>
      <w:outlineLvl w:val="5"/>
    </w:pPr>
    <w:rPr>
      <w:rFonts w:ascii="等线 Light" w:hAnsi="等线 Light" w:eastAsia="等线 Light"/>
      <w:b/>
      <w:bCs/>
      <w:sz w:val="24"/>
    </w:rPr>
  </w:style>
  <w:style w:type="character" w:default="1" w:styleId="26">
    <w:name w:val="Default Paragraph Font"/>
    <w:unhideWhenUsed/>
    <w:uiPriority w:val="1"/>
  </w:style>
  <w:style w:type="table" w:default="1" w:styleId="24">
    <w:name w:val="Normal Table"/>
    <w:unhideWhenUsed/>
    <w:uiPriority w:val="99"/>
    <w:tblPr>
      <w:tblStyle w:val="24"/>
      <w:tblCellMar>
        <w:top w:w="0" w:type="dxa"/>
        <w:left w:w="108" w:type="dxa"/>
        <w:bottom w:w="0" w:type="dxa"/>
        <w:right w:w="108" w:type="dxa"/>
      </w:tblCellMar>
    </w:tblPr>
  </w:style>
  <w:style w:type="paragraph" w:styleId="6">
    <w:name w:val="annotation text"/>
    <w:basedOn w:val="1"/>
    <w:link w:val="35"/>
    <w:uiPriority w:val="0"/>
    <w:pPr>
      <w:jc w:val="left"/>
    </w:pPr>
  </w:style>
  <w:style w:type="paragraph" w:styleId="7">
    <w:name w:val="Body Text"/>
    <w:basedOn w:val="1"/>
    <w:link w:val="36"/>
    <w:uiPriority w:val="0"/>
    <w:pPr>
      <w:jc w:val="center"/>
    </w:pPr>
  </w:style>
  <w:style w:type="paragraph" w:styleId="8">
    <w:name w:val="Body Text Indent"/>
    <w:basedOn w:val="1"/>
    <w:link w:val="37"/>
    <w:uiPriority w:val="0"/>
    <w:pPr>
      <w:widowControl/>
      <w:spacing w:after="120"/>
      <w:ind w:left="420" w:leftChars="200"/>
      <w:jc w:val="left"/>
    </w:pPr>
  </w:style>
  <w:style w:type="paragraph" w:styleId="9">
    <w:name w:val="toc 3"/>
    <w:basedOn w:val="1"/>
    <w:next w:val="1"/>
    <w:uiPriority w:val="39"/>
    <w:pPr>
      <w:tabs>
        <w:tab w:pos="8311" w:val="right" w:leader="dot"/>
      </w:tabs>
      <w:spacing w:before="0" w:after="0" w:line="300" w:lineRule="auto"/>
      <w:ind w:left="958" w:leftChars="400" w:firstLine="0"/>
      <w:jc w:val="left"/>
    </w:pPr>
    <w:rPr>
      <w:rFonts w:ascii="Times New Roman" w:hAnsi="Times New Roman" w:cs="Times New Roman" w:eastAsia="宋体"/>
      <w:b w:val="0"/>
      <w:sz w:val="24"/>
    </w:rPr>
  </w:style>
  <w:style w:type="paragraph" w:styleId="10">
    <w:name w:val="Plain Text"/>
    <w:basedOn w:val="1"/>
    <w:link w:val="38"/>
    <w:uiPriority w:val="0"/>
    <w:rPr>
      <w:rFonts w:ascii="等线" w:hAnsi="等线"/>
    </w:rPr>
  </w:style>
  <w:style w:type="paragraph" w:styleId="11">
    <w:name w:val="Date"/>
    <w:basedOn w:val="1"/>
    <w:next w:val="1"/>
    <w:link w:val="39"/>
    <w:uiPriority w:val="0"/>
    <w:pPr>
      <w:widowControl/>
    </w:pPr>
  </w:style>
  <w:style w:type="paragraph" w:styleId="12">
    <w:name w:val="Body Text Indent 2"/>
    <w:basedOn w:val="1"/>
    <w:link w:val="40"/>
    <w:uiPriority w:val="0"/>
    <w:pPr>
      <w:spacing w:after="120" w:line="480" w:lineRule="auto"/>
      <w:ind w:left="420" w:leftChars="200"/>
    </w:pPr>
  </w:style>
  <w:style w:type="paragraph" w:styleId="13">
    <w:name w:val="Balloon Text"/>
    <w:basedOn w:val="1"/>
    <w:link w:val="41"/>
    <w:uiPriority w:val="0"/>
    <w:rPr>
      <w:sz w:val="18"/>
      <w:szCs w:val="18"/>
    </w:rPr>
  </w:style>
  <w:style w:type="paragraph" w:styleId="14">
    <w:name w:val="footer"/>
    <w:basedOn w:val="1"/>
    <w:link w:val="42"/>
    <w:uiPriority w:val="0"/>
    <w:pPr>
      <w:tabs>
        <w:tab w:val="center" w:pos="4153"/>
        <w:tab w:val="right" w:pos="8306"/>
      </w:tabs>
      <w:snapToGrid w:val="0"/>
      <w:jc w:val="left"/>
    </w:pPr>
    <w:rPr>
      <w:sz w:val="18"/>
      <w:szCs w:val="18"/>
    </w:rPr>
  </w:style>
  <w:style w:type="paragraph" w:styleId="15">
    <w:name w:val="header"/>
    <w:basedOn w:val="1"/>
    <w:link w:val="43"/>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uiPriority w:val="39"/>
    <w:pPr>
      <w:tabs>
        <w:tab w:pos="8311" w:val="right" w:leader="dot"/>
      </w:tabs>
      <w:spacing w:before="0" w:after="0" w:line="300" w:lineRule="auto"/>
      <w:ind w:left="0" w:firstLine="0"/>
      <w:jc w:val="left"/>
    </w:pPr>
    <w:rPr>
      <w:rFonts w:ascii="Times New Roman" w:hAnsi="Times New Roman" w:cs="Times New Roman" w:eastAsia="宋体"/>
      <w:b/>
      <w:sz w:val="24"/>
    </w:rPr>
  </w:style>
  <w:style w:type="paragraph" w:styleId="17">
    <w:name w:val="footnote text"/>
    <w:basedOn w:val="1"/>
    <w:link w:val="44"/>
    <w:uiPriority w:val="0"/>
    <w:pPr>
      <w:snapToGrid w:val="0"/>
      <w:jc w:val="left"/>
    </w:pPr>
    <w:rPr>
      <w:sz w:val="18"/>
      <w:szCs w:val="18"/>
    </w:rPr>
  </w:style>
  <w:style w:type="paragraph" w:styleId="18">
    <w:name w:val="Body Text Indent 3"/>
    <w:basedOn w:val="1"/>
    <w:link w:val="45"/>
    <w:uiPriority w:val="0"/>
    <w:pPr>
      <w:adjustRightInd w:val="0"/>
      <w:snapToGrid w:val="0"/>
      <w:spacing w:line="300" w:lineRule="auto"/>
      <w:ind w:firstLine="540"/>
    </w:pPr>
    <w:rPr>
      <w:sz w:val="16"/>
      <w:szCs w:val="16"/>
    </w:rPr>
  </w:style>
  <w:style w:type="paragraph" w:styleId="19">
    <w:name w:val="table of figures"/>
    <w:basedOn w:val="1"/>
    <w:next w:val="1"/>
    <w:qFormat/>
    <w:uiPriority w:val="0"/>
    <w:pPr>
      <w:ind w:left="400" w:leftChars="200" w:hanging="200" w:hangingChars="200"/>
    </w:pPr>
  </w:style>
  <w:style w:type="paragraph" w:styleId="20">
    <w:name w:val="toc 2"/>
    <w:basedOn w:val="1"/>
    <w:next w:val="1"/>
    <w:uiPriority w:val="39"/>
    <w:pPr>
      <w:tabs>
        <w:tab w:pos="8311" w:val="right" w:leader="dot"/>
      </w:tabs>
      <w:spacing w:before="0" w:after="0" w:line="300" w:lineRule="auto"/>
      <w:ind w:left="482" w:leftChars="200" w:firstLine="0"/>
      <w:jc w:val="left"/>
    </w:pPr>
    <w:rPr>
      <w:rFonts w:ascii="Times New Roman" w:hAnsi="Times New Roman" w:cs="Times New Roman" w:eastAsia="宋体"/>
      <w:b w:val="0"/>
      <w:sz w:val="24"/>
    </w:rPr>
  </w:style>
  <w:style w:type="paragraph" w:styleId="21">
    <w:name w:val="Normal (Web)"/>
    <w:basedOn w:val="1"/>
    <w:uiPriority w:val="0"/>
    <w:pPr>
      <w:widowControl/>
      <w:spacing w:before="100" w:beforeAutospacing="1" w:after="100" w:afterAutospacing="1"/>
      <w:jc w:val="left"/>
    </w:pPr>
    <w:rPr>
      <w:rFonts w:ascii="宋体" w:hAnsi="宋体"/>
      <w:color w:val="000000"/>
      <w:kern w:val="0"/>
      <w:sz w:val="24"/>
    </w:rPr>
  </w:style>
  <w:style w:type="paragraph" w:styleId="22">
    <w:name w:val="Title"/>
    <w:basedOn w:val="1"/>
    <w:link w:val="46"/>
    <w:qFormat/>
    <w:uiPriority w:val="0"/>
    <w:pPr>
      <w:spacing w:before="240" w:after="60"/>
      <w:jc w:val="center"/>
      <w:outlineLvl w:val="0"/>
    </w:pPr>
    <w:rPr>
      <w:rFonts w:ascii="等线 Light" w:hAnsi="等线 Light" w:eastAsia="等线 Light"/>
      <w:b/>
      <w:bCs/>
      <w:sz w:val="32"/>
      <w:szCs w:val="32"/>
    </w:rPr>
  </w:style>
  <w:style w:type="paragraph" w:styleId="23">
    <w:name w:val="annotation subject"/>
    <w:basedOn w:val="6"/>
    <w:next w:val="6"/>
    <w:link w:val="47"/>
    <w:uiPriority w:val="0"/>
    <w:rPr>
      <w:b/>
      <w:bCs/>
    </w:rPr>
  </w:style>
  <w:style w:type="table" w:styleId="25">
    <w:name w:val="Table Grid"/>
    <w:basedOn w:val="24"/>
    <w:uiPriority w:val="0"/>
    <w:pPr>
      <w:widowControl w:val="0"/>
      <w:jc w:val="both"/>
    </w:pPr>
    <w:tblPr>
      <w:tblStyle w:val="2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FollowedHyperlink"/>
    <w:uiPriority w:val="0"/>
    <w:rPr>
      <w:color w:val="954F72"/>
      <w:u w:val="single"/>
    </w:rPr>
  </w:style>
  <w:style w:type="character" w:styleId="28">
    <w:name w:val="Emphasis"/>
    <w:qFormat/>
    <w:uiPriority w:val="20"/>
    <w:rPr>
      <w:i/>
      <w:iCs/>
    </w:rPr>
  </w:style>
  <w:style w:type="character" w:styleId="29">
    <w:name w:val="Hyperlink"/>
    <w:uiPriority w:val="99"/>
    <w:rPr>
      <w:color w:val="0000FF"/>
      <w:u w:val="single"/>
    </w:rPr>
  </w:style>
  <w:style w:type="character" w:styleId="30">
    <w:name w:val="annotation reference"/>
    <w:uiPriority w:val="0"/>
    <w:rPr>
      <w:sz w:val="21"/>
      <w:szCs w:val="21"/>
    </w:rPr>
  </w:style>
  <w:style w:type="character" w:styleId="31">
    <w:name w:val="footnote reference"/>
    <w:uiPriority w:val="0"/>
    <w:rPr>
      <w:vertAlign w:val="superscript"/>
    </w:rPr>
  </w:style>
  <w:style w:type="character" w:customStyle="1" w:styleId="32">
    <w:name w:val="标题 3 字符"/>
    <w:link w:val="2"/>
    <w:uiPriority w:val="0"/>
    <w:rPr>
      <w:b/>
      <w:bCs/>
      <w:sz w:val="32"/>
      <w:szCs w:val="32"/>
    </w:rPr>
  </w:style>
  <w:style w:type="character" w:customStyle="1" w:styleId="33">
    <w:name w:val="标题 4 字符"/>
    <w:link w:val="4"/>
    <w:uiPriority w:val="0"/>
    <w:rPr>
      <w:rFonts w:ascii="等线 Light" w:hAnsi="等线 Light" w:eastAsia="等线 Light" w:cs="Times New Roman"/>
      <w:b/>
      <w:bCs/>
      <w:kern w:val="2"/>
      <w:sz w:val="28"/>
      <w:szCs w:val="28"/>
    </w:rPr>
  </w:style>
  <w:style w:type="character" w:customStyle="1" w:styleId="34">
    <w:name w:val="标题 6 字符"/>
    <w:link w:val="5"/>
    <w:uiPriority w:val="0"/>
    <w:rPr>
      <w:rFonts w:ascii="等线 Light" w:hAnsi="等线 Light" w:eastAsia="等线 Light" w:cs="Times New Roman"/>
      <w:b/>
      <w:bCs/>
      <w:kern w:val="2"/>
      <w:sz w:val="24"/>
      <w:szCs w:val="24"/>
    </w:rPr>
  </w:style>
  <w:style w:type="character" w:customStyle="1" w:styleId="35">
    <w:name w:val="批注文字 字符"/>
    <w:link w:val="6"/>
    <w:uiPriority w:val="0"/>
    <w:rPr>
      <w:kern w:val="2"/>
      <w:sz w:val="21"/>
      <w:szCs w:val="24"/>
    </w:rPr>
  </w:style>
  <w:style w:type="character" w:customStyle="1" w:styleId="36">
    <w:name w:val="正文文本 字符"/>
    <w:link w:val="7"/>
    <w:uiPriority w:val="0"/>
    <w:rPr>
      <w:kern w:val="2"/>
      <w:sz w:val="21"/>
      <w:szCs w:val="24"/>
    </w:rPr>
  </w:style>
  <w:style w:type="character" w:customStyle="1" w:styleId="37">
    <w:name w:val="正文文本缩进 字符"/>
    <w:link w:val="8"/>
    <w:uiPriority w:val="0"/>
    <w:rPr>
      <w:kern w:val="2"/>
      <w:sz w:val="21"/>
      <w:szCs w:val="24"/>
    </w:rPr>
  </w:style>
  <w:style w:type="character" w:customStyle="1" w:styleId="38">
    <w:name w:val="纯文本 字符"/>
    <w:link w:val="10"/>
    <w:uiPriority w:val="0"/>
    <w:rPr>
      <w:rFonts w:ascii="等线" w:hAnsi="等线" w:cs="等线"/>
      <w:kern w:val="2"/>
      <w:sz w:val="21"/>
      <w:szCs w:val="24"/>
    </w:rPr>
  </w:style>
  <w:style w:type="character" w:customStyle="1" w:styleId="39">
    <w:name w:val="日期 字符"/>
    <w:link w:val="11"/>
    <w:uiPriority w:val="0"/>
    <w:rPr>
      <w:kern w:val="2"/>
      <w:sz w:val="21"/>
      <w:szCs w:val="24"/>
    </w:rPr>
  </w:style>
  <w:style w:type="character" w:customStyle="1" w:styleId="40">
    <w:name w:val="正文文本缩进 2 字符"/>
    <w:link w:val="12"/>
    <w:uiPriority w:val="0"/>
    <w:rPr>
      <w:kern w:val="2"/>
      <w:sz w:val="21"/>
      <w:szCs w:val="24"/>
    </w:rPr>
  </w:style>
  <w:style w:type="character" w:customStyle="1" w:styleId="41">
    <w:name w:val="批注框文本 字符"/>
    <w:link w:val="13"/>
    <w:uiPriority w:val="0"/>
    <w:rPr>
      <w:kern w:val="2"/>
      <w:sz w:val="18"/>
      <w:szCs w:val="18"/>
    </w:rPr>
  </w:style>
  <w:style w:type="character" w:customStyle="1" w:styleId="42">
    <w:name w:val="页脚 字符"/>
    <w:link w:val="14"/>
    <w:uiPriority w:val="0"/>
    <w:rPr>
      <w:kern w:val="2"/>
      <w:sz w:val="18"/>
      <w:szCs w:val="18"/>
    </w:rPr>
  </w:style>
  <w:style w:type="character" w:customStyle="1" w:styleId="43">
    <w:name w:val="页眉 字符"/>
    <w:link w:val="15"/>
    <w:uiPriority w:val="0"/>
    <w:rPr>
      <w:kern w:val="2"/>
      <w:sz w:val="18"/>
      <w:szCs w:val="18"/>
    </w:rPr>
  </w:style>
  <w:style w:type="character" w:customStyle="1" w:styleId="44">
    <w:name w:val="脚注文本 字符"/>
    <w:link w:val="17"/>
    <w:uiPriority w:val="0"/>
    <w:rPr>
      <w:kern w:val="2"/>
      <w:sz w:val="18"/>
      <w:szCs w:val="18"/>
    </w:rPr>
  </w:style>
  <w:style w:type="character" w:customStyle="1" w:styleId="45">
    <w:name w:val="正文文本缩进 3 字符"/>
    <w:link w:val="18"/>
    <w:uiPriority w:val="0"/>
    <w:rPr>
      <w:kern w:val="2"/>
      <w:sz w:val="16"/>
      <w:szCs w:val="16"/>
    </w:rPr>
  </w:style>
  <w:style w:type="character" w:customStyle="1" w:styleId="46">
    <w:name w:val="标题 字符"/>
    <w:link w:val="22"/>
    <w:uiPriority w:val="0"/>
    <w:rPr>
      <w:rFonts w:ascii="等线 Light" w:hAnsi="等线 Light" w:eastAsia="等线 Light" w:cs="Times New Roman"/>
      <w:b/>
      <w:bCs/>
      <w:kern w:val="2"/>
      <w:sz w:val="32"/>
      <w:szCs w:val="32"/>
    </w:rPr>
  </w:style>
  <w:style w:type="character" w:customStyle="1" w:styleId="47">
    <w:name w:val="批注主题 字符"/>
    <w:link w:val="23"/>
    <w:uiPriority w:val="0"/>
    <w:rPr>
      <w:b/>
      <w:bCs/>
      <w:kern w:val="2"/>
      <w:sz w:val="21"/>
      <w:szCs w:val="24"/>
    </w:rPr>
  </w:style>
  <w:style w:type="paragraph" w:customStyle="1" w:styleId="48">
    <w:name w:val="msonormal"/>
    <w:basedOn w:val="1"/>
    <w:uiPriority w:val="0"/>
    <w:pPr>
      <w:widowControl/>
      <w:spacing w:before="100" w:beforeAutospacing="1" w:after="100" w:afterAutospacing="1"/>
      <w:jc w:val="left"/>
    </w:pPr>
    <w:rPr>
      <w:rFonts w:ascii="宋体" w:hAnsi="宋体"/>
      <w:color w:val="000000"/>
      <w:kern w:val="0"/>
      <w:sz w:val="24"/>
    </w:rPr>
  </w:style>
  <w:style w:type="paragraph" w:customStyle="1" w:styleId="49">
    <w:name w:val="Title"/>
    <w:basedOn w:val="22"/>
    <w:uiPriority w:val="0"/>
    <w:pPr>
      <w:widowControl/>
      <w:adjustRightInd w:val="0"/>
      <w:spacing w:after="360" w:line="420" w:lineRule="exact"/>
      <w:outlineLvl w:val="9"/>
    </w:pPr>
    <w:rPr>
      <w:rFonts w:cs="Times New Roman"/>
      <w:b w:val="0"/>
      <w:bCs w:val="0"/>
      <w:kern w:val="0"/>
      <w:sz w:val="30"/>
      <w:szCs w:val="20"/>
    </w:rPr>
  </w:style>
  <w:style w:type="paragraph" w:customStyle="1" w:styleId="50">
    <w:name w:val="_Style 2"/>
    <w:basedOn w:val="1"/>
    <w:qFormat/>
    <w:uiPriority w:val="99"/>
    <w:pPr>
      <w:spacing w:line="400" w:lineRule="exact"/>
      <w:ind w:firstLine="420" w:firstLineChars="200"/>
    </w:pPr>
    <w:rPr>
      <w:sz w:val="24"/>
    </w:rPr>
  </w:style>
  <w:style w:type="paragraph" w:customStyle="1" w:styleId="51">
    <w:name w:val="Char"/>
    <w:basedOn w:val="1"/>
    <w:uiPriority w:val="0"/>
  </w:style>
  <w:style w:type="paragraph" w:customStyle="1" w:styleId="52">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3">
    <w:name w:val="缩写表"/>
    <w:basedOn w:val="16"/>
    <w:uiPriority w:val="0"/>
    <w:pPr>
      <w:adjustRightInd w:val="0"/>
      <w:spacing w:after="120" w:line="400" w:lineRule="exact"/>
      <w:jc w:val="left"/>
    </w:pPr>
    <w:rPr>
      <w:spacing w:val="10"/>
      <w:kern w:val="0"/>
      <w:sz w:val="24"/>
      <w:szCs w:val="20"/>
    </w:rPr>
  </w:style>
  <w:style w:type="paragraph" w:styleId="54">
    <w:name w:val="List Paragraph"/>
    <w:basedOn w:val="1"/>
    <w:qFormat/>
    <w:uiPriority w:val="0"/>
    <w:pPr>
      <w:spacing w:line="240" w:lineRule="auto"/>
      <w:ind w:firstLine="200" w:firstLineChars="200"/>
    </w:pPr>
    <w:rPr>
      <w:rFonts w:ascii="Calibri" w:hAnsi="Calibri"/>
      <w:spacing w:val="10"/>
      <w:szCs w:val="22"/>
    </w:rPr>
  </w:style>
  <w:style w:type="paragraph" w:customStyle="1" w:styleId="55">
    <w:name w:val="论文正文"/>
    <w:link w:val="56"/>
    <w:uiPriority w:val="0"/>
    <w:rPr>
      <w:kern w:val="2"/>
      <w:sz w:val="24"/>
      <w:szCs w:val="24"/>
      <w:lang w:val="en-US" w:eastAsia="zh-CN" w:bidi="ar-SA"/>
    </w:rPr>
  </w:style>
  <w:style w:type="character" w:customStyle="1" w:styleId="56">
    <w:name w:val="论文正文 Char"/>
    <w:link w:val="55"/>
    <w:uiPriority w:val="0"/>
    <w:rPr>
      <w:kern w:val="2"/>
      <w:sz w:val="24"/>
      <w:szCs w:val="24"/>
    </w:rPr>
  </w:style>
  <w:style w:type="character" w:customStyle="1" w:styleId="57">
    <w:name w:val="未处理的提及"/>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notes" Target="footnotes.xml"/><Relationship Id="rId41" Type="http://schemas.openxmlformats.org/officeDocument/2006/relationships/fontTable" Target="fontTable.xml"/><Relationship Id="rId40" Type="http://schemas.openxmlformats.org/officeDocument/2006/relationships/customXml" Target="../customXml/item1.xml"/><Relationship Id="rId39" Type="http://schemas.openxmlformats.org/officeDocument/2006/relationships/image" Target="media/image6.png"/><Relationship Id="rId38" Type="http://schemas.openxmlformats.org/officeDocument/2006/relationships/image" Target="media/image5.png"/><Relationship Id="rId37" Type="http://schemas.openxmlformats.org/officeDocument/2006/relationships/image" Target="media/image4.jpeg"/><Relationship Id="rId36" Type="http://schemas.openxmlformats.org/officeDocument/2006/relationships/image" Target="media/image3.wmf"/><Relationship Id="rId35" Type="http://schemas.openxmlformats.org/officeDocument/2006/relationships/image" Target="media/image2.wmf"/><Relationship Id="rId34" Type="http://schemas.openxmlformats.org/officeDocument/2006/relationships/image" Target="media/image1.wmf"/><Relationship Id="rId33" Type="http://schemas.openxmlformats.org/officeDocument/2006/relationships/theme" Target="theme/theme1.xml"/><Relationship Id="rId32" Type="http://schemas.openxmlformats.org/officeDocument/2006/relationships/header" Target="header19.xml"/><Relationship Id="rId31" Type="http://schemas.openxmlformats.org/officeDocument/2006/relationships/header" Target="header18.xml"/><Relationship Id="rId30" Type="http://schemas.openxmlformats.org/officeDocument/2006/relationships/header" Target="header17.xml"/><Relationship Id="rId29" Type="http://schemas.openxmlformats.org/officeDocument/2006/relationships/footer" Target="footer8.xml"/><Relationship Id="rId28" Type="http://schemas.openxmlformats.org/officeDocument/2006/relationships/header" Target="header16.xml"/><Relationship Id="rId27" Type="http://schemas.openxmlformats.org/officeDocument/2006/relationships/header" Target="header15.xml"/><Relationship Id="rId26" Type="http://schemas.openxmlformats.org/officeDocument/2006/relationships/header" Target="header14.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header" Target="header11.xml"/><Relationship Id="rId22" Type="http://schemas.openxmlformats.org/officeDocument/2006/relationships/footer" Target="footer7.xml"/><Relationship Id="rId21" Type="http://schemas.openxmlformats.org/officeDocument/2006/relationships/footer" Target="footer6.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5.xml"/><Relationship Id="rId18" Type="http://schemas.openxmlformats.org/officeDocument/2006/relationships/header" Target="header9.xml"/><Relationship Id="rId17" Type="http://schemas.openxmlformats.org/officeDocument/2006/relationships/footer" Target="footer4.xml"/><Relationship Id="rId16" Type="http://schemas.openxmlformats.org/officeDocument/2006/relationships/footer" Target="footer3.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 Id="rId43" Type="http://schemas.openxmlformats.org/officeDocument/2006/relationships/header" Target="header20.xml"/><Relationship Id="rId44" Type="http://schemas.openxmlformats.org/officeDocument/2006/relationships/header" Target="header21.xml"/><Relationship Id="rId45" Type="http://schemas.openxmlformats.org/officeDocument/2006/relationships/header" Target="header22.xml"/><Relationship Id="rId46" Type="http://schemas.openxmlformats.org/officeDocument/2006/relationships/header" Target="header23.xml"/><Relationship Id="rId47" Type="http://schemas.openxmlformats.org/officeDocument/2006/relationships/footer" Target="footer9.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10.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11.xml"/><Relationship Id="rId54" Type="http://schemas.openxmlformats.org/officeDocument/2006/relationships/header" Target="header28.xml"/><Relationship Id="rId55" Type="http://schemas.openxmlformats.org/officeDocument/2006/relationships/header" Target="header29.xml"/><Relationship Id="rId56" Type="http://schemas.openxmlformats.org/officeDocument/2006/relationships/footer" Target="footer12.xml"/><Relationship Id="rId57" Type="http://schemas.openxmlformats.org/officeDocument/2006/relationships/image" Target="media/image7.png"/><Relationship Id="rId58" Type="http://schemas.openxmlformats.org/officeDocument/2006/relationships/image" Target="media/image8.png"/><Relationship Id="rId59" Type="http://schemas.openxmlformats.org/officeDocument/2006/relationships/header" Target="header30.xml"/><Relationship Id="rId60" Type="http://schemas.openxmlformats.org/officeDocument/2006/relationships/header" Target="header31.xml"/><Relationship Id="rId61" Type="http://schemas.openxmlformats.org/officeDocument/2006/relationships/footer" Target="footer13.xml"/><Relationship Id="rId62" Type="http://schemas.openxmlformats.org/officeDocument/2006/relationships/image" Target="media/image9.png"/><Relationship Id="rId63" Type="http://schemas.openxmlformats.org/officeDocument/2006/relationships/image" Target="media/image10.png"/><Relationship Id="rId64" Type="http://schemas.openxmlformats.org/officeDocument/2006/relationships/image" Target="media/image11.png"/><Relationship Id="rId65" Type="http://schemas.openxmlformats.org/officeDocument/2006/relationships/image" Target="media/image12.png"/><Relationship Id="rId66" Type="http://schemas.openxmlformats.org/officeDocument/2006/relationships/image" Target="media/image13.png"/><Relationship Id="rId67" Type="http://schemas.openxmlformats.org/officeDocument/2006/relationships/image" Target="media/image14.png"/><Relationship Id="rId68" Type="http://schemas.openxmlformats.org/officeDocument/2006/relationships/image" Target="media/image15.png"/><Relationship Id="rId69" Type="http://schemas.openxmlformats.org/officeDocument/2006/relationships/image" Target="media/image16.png"/><Relationship Id="rId70" Type="http://schemas.openxmlformats.org/officeDocument/2006/relationships/image" Target="media/image17.png"/><Relationship Id="rId71" Type="http://schemas.openxmlformats.org/officeDocument/2006/relationships/image" Target="media/image18.png"/><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header" Target="header32.xml"/><Relationship Id="rId75" Type="http://schemas.openxmlformats.org/officeDocument/2006/relationships/header" Target="header33.xml"/><Relationship Id="rId76" Type="http://schemas.openxmlformats.org/officeDocument/2006/relationships/footer" Target="footer14.xml"/><Relationship Id="rId77" Type="http://schemas.openxmlformats.org/officeDocument/2006/relationships/image" Target="media/image21.png"/><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image" Target="media/image24.png"/><Relationship Id="rId81" Type="http://schemas.openxmlformats.org/officeDocument/2006/relationships/image" Target="media/image25.png"/><Relationship Id="rId82" Type="http://schemas.openxmlformats.org/officeDocument/2006/relationships/image" Target="media/image26.png"/><Relationship Id="rId83" Type="http://schemas.openxmlformats.org/officeDocument/2006/relationships/image" Target="media/image27.png"/><Relationship Id="rId84" Type="http://schemas.openxmlformats.org/officeDocument/2006/relationships/image" Target="media/image28.png"/><Relationship Id="rId85" Type="http://schemas.openxmlformats.org/officeDocument/2006/relationships/image" Target="media/image29.png"/><Relationship Id="rId86" Type="http://schemas.openxmlformats.org/officeDocument/2006/relationships/image" Target="media/image30.png"/><Relationship Id="rId87" Type="http://schemas.openxmlformats.org/officeDocument/2006/relationships/image" Target="media/image31.png"/><Relationship Id="rId88" Type="http://schemas.openxmlformats.org/officeDocument/2006/relationships/image" Target="media/image32.png"/><Relationship Id="rId89" Type="http://schemas.openxmlformats.org/officeDocument/2006/relationships/image" Target="media/image33.png"/><Relationship Id="rId90" Type="http://schemas.openxmlformats.org/officeDocument/2006/relationships/image" Target="media/image34.png"/><Relationship Id="rId91" Type="http://schemas.openxmlformats.org/officeDocument/2006/relationships/header" Target="header34.xml"/><Relationship Id="rId92" Type="http://schemas.openxmlformats.org/officeDocument/2006/relationships/header" Target="header35.xml"/><Relationship Id="rId93" Type="http://schemas.openxmlformats.org/officeDocument/2006/relationships/footer" Target="footer15.xml"/><Relationship Id="rId94" Type="http://schemas.openxmlformats.org/officeDocument/2006/relationships/image" Target="media/image35.png"/><Relationship Id="rId95" Type="http://schemas.openxmlformats.org/officeDocument/2006/relationships/image" Target="media/image36.png"/><Relationship Id="rId96" Type="http://schemas.openxmlformats.org/officeDocument/2006/relationships/image" Target="media/image37.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40.png"/><Relationship Id="rId100" Type="http://schemas.openxmlformats.org/officeDocument/2006/relationships/header" Target="header36.xml"/><Relationship Id="rId101" Type="http://schemas.openxmlformats.org/officeDocument/2006/relationships/header" Target="header37.xml"/><Relationship Id="rId102" Type="http://schemas.openxmlformats.org/officeDocument/2006/relationships/footer" Target="footer16.xml"/><Relationship Id="rId103" Type="http://schemas.openxmlformats.org/officeDocument/2006/relationships/image" Target="media/image41.png"/><Relationship Id="rId104" Type="http://schemas.openxmlformats.org/officeDocument/2006/relationships/image" Target="media/image42.png"/><Relationship Id="rId105" Type="http://schemas.openxmlformats.org/officeDocument/2006/relationships/image" Target="media/image43.png"/><Relationship Id="rId106" Type="http://schemas.openxmlformats.org/officeDocument/2006/relationships/image" Target="media/image44.png"/><Relationship Id="rId107" Type="http://schemas.openxmlformats.org/officeDocument/2006/relationships/image" Target="media/image45.png"/><Relationship Id="rId108" Type="http://schemas.openxmlformats.org/officeDocument/2006/relationships/image" Target="media/image46.png"/><Relationship Id="rId109" Type="http://schemas.openxmlformats.org/officeDocument/2006/relationships/image" Target="media/image47.png"/><Relationship Id="rId110" Type="http://schemas.openxmlformats.org/officeDocument/2006/relationships/image" Target="media/image48.png"/><Relationship Id="rId111" Type="http://schemas.openxmlformats.org/officeDocument/2006/relationships/image" Target="media/image49.png"/><Relationship Id="rId112" Type="http://schemas.openxmlformats.org/officeDocument/2006/relationships/header" Target="header38.xml"/><Relationship Id="rId113" Type="http://schemas.openxmlformats.org/officeDocument/2006/relationships/header" Target="header39.xml"/><Relationship Id="rId114" Type="http://schemas.openxmlformats.org/officeDocument/2006/relationships/footer" Target="footer17.xml"/><Relationship Id="rId115" Type="http://schemas.openxmlformats.org/officeDocument/2006/relationships/header" Target="header40.xml"/><Relationship Id="rId116" Type="http://schemas.openxmlformats.org/officeDocument/2006/relationships/header" Target="header41.xml"/><Relationship Id="rId117" Type="http://schemas.openxmlformats.org/officeDocument/2006/relationships/footer" Target="footer1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ICBCOA</Company>
  <Pages>26</Pages>
  <Words>2224</Words>
  <Characters>12683</Characters>
  <Lines>105</Lines>
  <Paragraphs>29</Paragraphs>
  <TotalTime>10</TotalTime>
  <ScaleCrop>false</ScaleCrop>
  <LinksUpToDate>false</LinksUpToDate>
  <CharactersWithSpaces>14878</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2023-09-05T10:13:00Z</dcterms:created>
  <dc:creator>ICBC</dc:creator>
  <cp:lastModifiedBy>时崎小三</cp:lastModifiedBy>
  <cp:lastPrinted>2009-09-04T14:51:00Z</cp:lastPrinted>
  <dcterms:modified xsi:type="dcterms:W3CDTF">2026-07-06T10:13:04Z</dcterms:modified>
  <dc:title>_x0001_</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KSORubyTemplateID">
    <vt:lpwstr>6</vt:lpwstr>
  </property>
  <property fmtid="{D5CDD505-2E9C-101B-9397-08002B2CF9AE}" pid="4" name="ICV">
    <vt:lpwstr>641226B28EFA7D54300F4B6AC420740D_43</vt:lpwstr>
  </property>
</Properties>
</file>