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Helvetica" w:hAnsi="Helvetica" w:cs="Helvetica"/>
          <w:b/>
          <w:sz w:val="40"/>
        </w:rPr>
      </w:pPr>
      <w:r>
        <w:rPr>
          <w:rFonts w:cs="Helvetica" w:ascii="Helvetica" w:hAnsi="Helvetica"/>
          <w:b/>
          <w:sz w:val="40"/>
        </w:rPr>
      </w:r>
    </w:p>
    <w:p>
      <w:pPr>
        <w:pStyle w:val="BodyText"/>
        <w:jc w:val="center"/>
        <w:rPr>
          <w:b/>
          <w:sz w:val="40"/>
        </w:rPr>
      </w:pPr>
      <w:r>
        <w:rPr>
          <w:b/>
          <w:sz w:val="40"/>
        </w:rPr>
        <w:t xml:space="preserve">TP S36 et S37 </w:t>
      </w:r>
    </w:p>
    <w:p>
      <w:pPr>
        <w:pStyle w:val="Normal"/>
        <w:spacing w:lineRule="auto" w:line="240" w:before="0" w:after="0"/>
        <w:jc w:val="center"/>
        <w:rPr>
          <w:rFonts w:ascii="Helvetica" w:hAnsi="Helvetica" w:cs="Helvetica"/>
          <w:sz w:val="32"/>
        </w:rPr>
      </w:pPr>
      <w:r>
        <w:rPr>
          <w:rFonts w:cs="Helvetica" w:ascii="Helvetica" w:hAnsi="Helvetica"/>
          <w:sz w:val="32"/>
        </w:rPr>
      </w:r>
    </w:p>
    <w:p>
      <w:pPr>
        <w:pStyle w:val="Normal"/>
        <w:spacing w:lineRule="auto" w:line="240" w:before="0" w:after="0"/>
        <w:jc w:val="center"/>
        <w:rPr>
          <w:rFonts w:ascii="Helvetica" w:hAnsi="Helvetica" w:cs="Helvetica"/>
          <w:sz w:val="32"/>
        </w:rPr>
      </w:pPr>
      <w:r>
        <w:rPr>
          <w:rFonts w:cs="Helvetica" w:ascii="Helvetica" w:hAnsi="Helvetica"/>
          <w:sz w:val="32"/>
        </w:rPr>
      </w:r>
    </w:p>
    <w:p>
      <w:pPr>
        <w:pStyle w:val="Normal"/>
        <w:spacing w:lineRule="auto" w:line="240" w:before="0" w:after="0"/>
        <w:jc w:val="center"/>
        <w:rPr>
          <w:rFonts w:ascii="Helvetica" w:hAnsi="Helvetica" w:cs="Helvetica"/>
          <w:sz w:val="32"/>
        </w:rPr>
      </w:pPr>
      <w:r>
        <w:rPr>
          <w:rFonts w:cs="Helvetica" w:ascii="Helvetica" w:hAnsi="Helvetica"/>
          <w:sz w:val="32"/>
        </w:rPr>
      </w:r>
    </w:p>
    <w:p>
      <w:pPr>
        <w:pStyle w:val="Normal"/>
        <w:spacing w:lineRule="auto" w:line="240" w:before="0" w:after="0"/>
        <w:jc w:val="center"/>
        <w:rPr>
          <w:rFonts w:ascii="Helvetica" w:hAnsi="Helvetica" w:cs="Helvetica"/>
          <w:sz w:val="40"/>
        </w:rPr>
      </w:pPr>
      <w:r>
        <w:rPr>
          <w:rFonts w:cs="Helvetica" w:ascii="Helvetica" w:hAnsi="Helvetica"/>
          <w:sz w:val="40"/>
        </w:rPr>
      </w:r>
    </w:p>
    <w:p>
      <w:pPr>
        <w:pStyle w:val="Subtitle"/>
        <w:jc w:val="center"/>
        <w:rPr>
          <w:color w:val="auto"/>
          <w:sz w:val="32"/>
        </w:rPr>
      </w:pPr>
      <w:r>
        <w:rPr>
          <w:color w:val="auto"/>
          <w:sz w:val="32"/>
        </w:rPr>
        <w:t>SYSTEME D’INFORMATION</w:t>
      </w:r>
    </w:p>
    <w:p>
      <w:pPr>
        <w:pStyle w:val="Subtitle"/>
        <w:jc w:val="center"/>
        <w:rPr>
          <w:color w:val="auto"/>
          <w:sz w:val="32"/>
        </w:rPr>
      </w:pPr>
      <w:r>
        <w:rPr>
          <w:color w:val="auto"/>
          <w:sz w:val="32"/>
        </w:rPr>
        <w:t>GEOGRAPHIQUE</w:t>
      </w:r>
    </w:p>
    <w:p>
      <w:pPr>
        <w:pStyle w:val="Normal"/>
        <w:spacing w:lineRule="auto" w:line="240" w:before="0" w:after="0"/>
        <w:jc w:val="center"/>
        <w:rPr>
          <w:rFonts w:ascii="Helvetica" w:hAnsi="Helvetica" w:cs="Helvetica"/>
          <w:sz w:val="40"/>
        </w:rPr>
      </w:pPr>
      <w:r>
        <w:rPr>
          <w:rFonts w:cs="Helvetica" w:ascii="Helvetica" w:hAnsi="Helvetica"/>
          <w:sz w:val="40"/>
        </w:rPr>
      </w:r>
    </w:p>
    <w:p>
      <w:pPr>
        <w:pStyle w:val="Normal"/>
        <w:spacing w:lineRule="auto" w:line="240" w:before="0" w:after="0"/>
        <w:jc w:val="center"/>
        <w:rPr>
          <w:rFonts w:ascii="Helvetica" w:hAnsi="Helvetica" w:cs="Helvetica"/>
          <w:sz w:val="40"/>
        </w:rPr>
      </w:pPr>
      <w:r>
        <w:rPr>
          <w:rFonts w:cs="Helvetica" w:ascii="Helvetica" w:hAnsi="Helvetica"/>
          <w:sz w:val="40"/>
        </w:rPr>
        <w:t>Projet de SIG pour la ville de Montauban</w:t>
      </w:r>
    </w:p>
    <w:p>
      <w:pPr>
        <w:pStyle w:val="Normal"/>
        <w:spacing w:lineRule="auto" w:line="240" w:before="0" w:after="0"/>
        <w:jc w:val="center"/>
        <w:rPr>
          <w:rFonts w:ascii="Helvetica" w:hAnsi="Helvetica" w:cs="Helvetica"/>
          <w:sz w:val="40"/>
        </w:rPr>
      </w:pPr>
      <w:r>
        <w:rPr>
          <w:rFonts w:cs="Helvetica" w:ascii="Helvetica" w:hAnsi="Helvetica"/>
          <w:sz w:val="40"/>
        </w:rPr>
      </w:r>
    </w:p>
    <w:p>
      <w:pPr>
        <w:pStyle w:val="Subtitle"/>
        <w:jc w:val="center"/>
        <w:rPr>
          <w:color w:val="auto"/>
          <w:sz w:val="32"/>
        </w:rPr>
      </w:pPr>
      <w:r>
        <w:rPr>
          <w:color w:val="auto"/>
          <w:sz w:val="32"/>
        </w:rPr>
        <w:t>Élaboration du Schéma Directeur du Système</w:t>
      </w:r>
    </w:p>
    <w:p>
      <w:pPr>
        <w:pStyle w:val="Subtitle"/>
        <w:jc w:val="center"/>
        <w:rPr>
          <w:color w:val="auto"/>
          <w:sz w:val="32"/>
        </w:rPr>
      </w:pPr>
      <w:r>
        <w:rPr>
          <w:color w:val="auto"/>
          <w:sz w:val="32"/>
        </w:rPr>
        <w:t xml:space="preserve">D’Information Géographique </w:t>
      </w:r>
    </w:p>
    <w:p>
      <w:pPr>
        <w:pStyle w:val="Normal"/>
        <w:spacing w:lineRule="auto" w:line="240" w:before="0" w:after="0"/>
        <w:jc w:val="center"/>
        <w:rPr>
          <w:rFonts w:ascii="Helvetica" w:hAnsi="Helvetica" w:cs="Helvetica"/>
          <w:sz w:val="40"/>
        </w:rPr>
      </w:pPr>
      <w:r>
        <w:rPr>
          <w:rFonts w:cs="Helvetica" w:ascii="Helvetica" w:hAnsi="Helvetica"/>
          <w:sz w:val="40"/>
        </w:rPr>
      </w:r>
    </w:p>
    <w:p>
      <w:pPr>
        <w:pStyle w:val="Normal"/>
        <w:spacing w:lineRule="auto" w:line="240" w:before="0" w:after="0"/>
        <w:jc w:val="center"/>
        <w:rPr>
          <w:rFonts w:ascii="Helvetica" w:hAnsi="Helvetica" w:cs="Helvetica"/>
          <w:sz w:val="40"/>
        </w:rPr>
      </w:pPr>
      <w:r>
        <w:rPr>
          <w:rFonts w:cs="Helvetica" w:ascii="Helvetica" w:hAnsi="Helvetica"/>
          <w:sz w:val="40"/>
        </w:rPr>
      </w:r>
    </w:p>
    <w:p>
      <w:pPr>
        <w:pStyle w:val="Normal"/>
        <w:spacing w:lineRule="auto" w:line="240" w:before="0" w:after="0"/>
        <w:jc w:val="center"/>
        <w:rPr>
          <w:rFonts w:ascii="Helvetica" w:hAnsi="Helvetica" w:cs="Helvetica"/>
          <w:sz w:val="40"/>
        </w:rPr>
      </w:pPr>
      <w:r>
        <w:rPr>
          <w:rFonts w:cs="Helvetica" w:ascii="Helvetica" w:hAnsi="Helvetica"/>
          <w:sz w:val="40"/>
        </w:rPr>
      </w:r>
    </w:p>
    <w:p>
      <w:pPr>
        <w:sectPr>
          <w:footerReference w:type="even" r:id="rId2"/>
          <w:footerReference w:type="default" r:id="rId3"/>
          <w:footerReference w:type="first" r:id="rId4"/>
          <w:type w:val="nextPage"/>
          <w:pgSz w:w="11906" w:h="16838"/>
          <w:pgMar w:left="1417" w:right="1417" w:gutter="0" w:header="0" w:top="1417" w:footer="708" w:bottom="1417"/>
          <w:pgNumType w:fmt="decimal"/>
          <w:formProt w:val="false"/>
          <w:textDirection w:val="lrTb"/>
          <w:docGrid w:type="default" w:linePitch="360" w:charSpace="4096"/>
        </w:sectPr>
        <w:pStyle w:val="Normal"/>
        <w:spacing w:lineRule="auto" w:line="240" w:before="0" w:after="0"/>
        <w:jc w:val="center"/>
        <w:rPr>
          <w:rFonts w:ascii="Helvetica" w:hAnsi="Helvetica" w:cs="Helvetica"/>
          <w:sz w:val="40"/>
        </w:rPr>
      </w:pPr>
      <w:r>
        <w:rPr>
          <w:rFonts w:cs="Helvetica" w:ascii="Helvetica" w:hAnsi="Helvetica"/>
          <w:sz w:val="40"/>
        </w:rPr>
      </w:r>
    </w:p>
    <w:p>
      <w:pPr>
        <w:pStyle w:val="Heading3"/>
        <w:rPr/>
      </w:pPr>
      <w:r>
        <w:rPr/>
        <w:t xml:space="preserve">Votre société à remporté un projet pour la ville de Montauban et vous a nommé chef du projet. </w:t>
      </w:r>
    </w:p>
    <w:p>
      <w:pPr>
        <w:pStyle w:val="Heading3"/>
        <w:rPr/>
      </w:pPr>
      <w:r>
        <w:rPr/>
        <w:t>Dans ce document, vous trouverez l’ensemble des éléments du projet vous permettant d’élaborer :</w:t>
      </w:r>
    </w:p>
    <w:p>
      <w:pPr>
        <w:pStyle w:val="ListParagraph"/>
        <w:numPr>
          <w:ilvl w:val="0"/>
          <w:numId w:val="7"/>
        </w:numPr>
        <w:rPr/>
      </w:pPr>
      <w:r>
        <w:rPr/>
        <w:t>La charte projet</w:t>
      </w:r>
    </w:p>
    <w:p>
      <w:pPr>
        <w:pStyle w:val="ListParagraph"/>
        <w:numPr>
          <w:ilvl w:val="0"/>
          <w:numId w:val="7"/>
        </w:numPr>
        <w:rPr/>
      </w:pPr>
      <w:r>
        <w:rPr/>
        <w:t>La matrice de risques</w:t>
      </w:r>
    </w:p>
    <w:p>
      <w:pPr>
        <w:pStyle w:val="ListParagraph"/>
        <w:numPr>
          <w:ilvl w:val="0"/>
          <w:numId w:val="7"/>
        </w:numPr>
        <w:rPr/>
      </w:pPr>
      <w:r>
        <w:rPr/>
        <w:t>Le WBS</w:t>
      </w:r>
    </w:p>
    <w:p>
      <w:pPr>
        <w:pStyle w:val="ListParagraph"/>
        <w:numPr>
          <w:ilvl w:val="0"/>
          <w:numId w:val="7"/>
        </w:numPr>
        <w:rPr/>
      </w:pPr>
      <w:r>
        <w:rPr/>
        <w:t>Le planning</w:t>
      </w:r>
    </w:p>
    <w:p>
      <w:pPr>
        <w:pStyle w:val="ListParagraph"/>
        <w:numPr>
          <w:ilvl w:val="0"/>
          <w:numId w:val="7"/>
        </w:numPr>
        <w:rPr/>
      </w:pPr>
      <w:r>
        <w:rPr/>
        <w:t>Et tout autre document demandé dans le TP</w:t>
      </w:r>
    </w:p>
    <w:p>
      <w:pPr>
        <w:pStyle w:val="Heading3"/>
        <w:rPr/>
      </w:pPr>
      <w:r>
        <w:rPr/>
      </w:r>
    </w:p>
    <w:p>
      <w:pPr>
        <w:pStyle w:val="Heading3"/>
        <w:rPr/>
      </w:pPr>
      <w:r>
        <w:rPr/>
        <w:t>PREAMBULE</w:t>
      </w:r>
    </w:p>
    <w:p>
      <w:pPr>
        <w:pStyle w:val="Heading1"/>
        <w:rPr/>
      </w:pPr>
      <w:r>
        <w:rPr/>
        <w:t>1 Territoire de compétence du SIG</w:t>
      </w:r>
    </w:p>
    <w:p>
      <w:pPr>
        <w:pStyle w:val="ListParagraph"/>
        <w:spacing w:lineRule="auto" w:line="240" w:before="0" w:after="0"/>
        <w:ind w:left="1416"/>
        <w:contextualSpacing/>
        <w:jc w:val="both"/>
        <w:rPr>
          <w:rFonts w:ascii="Helvetica" w:hAnsi="Helvetica" w:cs="Helvetica"/>
          <w:highlight w:val="yellow"/>
        </w:rPr>
      </w:pPr>
      <w:r>
        <w:rPr>
          <w:rFonts w:cs="Helvetica" w:ascii="Helvetica" w:hAnsi="Helvetica"/>
          <w:highlight w:val="yellow"/>
        </w:rPr>
      </w:r>
    </w:p>
    <w:p>
      <w:pPr>
        <w:pStyle w:val="BodyText"/>
        <w:jc w:val="both"/>
        <w:rPr/>
      </w:pPr>
      <w:r>
        <w:rPr/>
        <w:t>La Collectivité d’agglomération du Grand Montauban qui regroupe 11 communes, couvre 230 km² et représente 76 000 habitants.</w:t>
      </w:r>
    </w:p>
    <w:p>
      <w:pPr>
        <w:pStyle w:val="BodyText"/>
        <w:jc w:val="both"/>
        <w:rPr>
          <w:rFonts w:cs="Helvetica"/>
        </w:rPr>
      </w:pPr>
      <w:r>
        <w:rPr>
          <w:rFonts w:cs="Helvetica"/>
        </w:rPr>
        <w:t>La commune de Montauban couvre 135 km² et abrite 62 000 habitants.</w:t>
      </w:r>
    </w:p>
    <w:p>
      <w:pPr>
        <w:pStyle w:val="BodyText"/>
        <w:jc w:val="both"/>
        <w:rPr/>
      </w:pPr>
      <w:r>
        <w:rPr/>
        <w:t>Les services de l’agglomération et les services de la ville sont regroupés au sein d’un organigramme commun.</w:t>
      </w:r>
    </w:p>
    <w:p>
      <w:pPr>
        <w:pStyle w:val="BodyText"/>
        <w:jc w:val="both"/>
        <w:rPr/>
      </w:pPr>
      <w:r>
        <w:rPr/>
        <w:t>Les compétences exercées sont soit du ressort de la commune, soient de la collectivité soient mutualisées.</w:t>
      </w:r>
    </w:p>
    <w:p>
      <w:pPr>
        <w:pStyle w:val="Heading1"/>
        <w:rPr/>
      </w:pPr>
      <w:r>
        <w:rPr/>
        <w:t>2 Contexte : le SIG existant</w:t>
      </w:r>
    </w:p>
    <w:p>
      <w:pPr>
        <w:pStyle w:val="BodyText"/>
        <w:jc w:val="both"/>
        <w:rPr/>
      </w:pPr>
      <w:r>
        <w:rPr/>
        <w:t xml:space="preserve">Historiquement rattaché à la </w:t>
      </w:r>
      <w:r>
        <w:rPr>
          <w:shd w:fill="FFFF00" w:val="clear"/>
        </w:rPr>
        <w:t>direction de l’urbanisme, de l’aménagement et de la prospective</w:t>
      </w:r>
      <w:r>
        <w:rPr/>
        <w:t xml:space="preserve">, le service SIG est devenu une direction à part entière en juillet 2018, rattaché à la </w:t>
      </w:r>
      <w:r>
        <w:rPr>
          <w:shd w:fill="FFFF00" w:val="clear"/>
        </w:rPr>
        <w:t>Direction générale de l’Attractivité.</w:t>
      </w:r>
    </w:p>
    <w:p>
      <w:pPr>
        <w:pStyle w:val="Heading5"/>
        <w:jc w:val="both"/>
        <w:rPr/>
      </w:pPr>
      <w:r>
        <w:rPr/>
        <w:t xml:space="preserve">La direction de l’attractivité regroupe les directions </w:t>
      </w:r>
    </w:p>
    <w:p>
      <w:pPr>
        <w:pStyle w:val="ListParagraph"/>
        <w:numPr>
          <w:ilvl w:val="0"/>
          <w:numId w:val="1"/>
        </w:numPr>
        <w:spacing w:lineRule="auto" w:line="240" w:before="0" w:after="0"/>
        <w:contextualSpacing/>
        <w:jc w:val="both"/>
        <w:rPr>
          <w:rFonts w:cs="Helvetica"/>
        </w:rPr>
      </w:pPr>
      <w:r>
        <w:rPr>
          <w:rFonts w:cs="Helvetica"/>
        </w:rPr>
        <w:t>de l’économie et de l’emploi</w:t>
      </w:r>
    </w:p>
    <w:p>
      <w:pPr>
        <w:pStyle w:val="ListParagraph"/>
        <w:numPr>
          <w:ilvl w:val="0"/>
          <w:numId w:val="1"/>
        </w:numPr>
        <w:spacing w:lineRule="auto" w:line="240" w:before="0" w:after="0"/>
        <w:contextualSpacing/>
        <w:jc w:val="both"/>
        <w:rPr>
          <w:rFonts w:cs="Helvetica"/>
        </w:rPr>
      </w:pPr>
      <w:r>
        <w:rPr>
          <w:rFonts w:cs="Helvetica"/>
        </w:rPr>
        <w:t xml:space="preserve">du tourisme, </w:t>
      </w:r>
    </w:p>
    <w:p>
      <w:pPr>
        <w:pStyle w:val="ListParagraph"/>
        <w:numPr>
          <w:ilvl w:val="0"/>
          <w:numId w:val="1"/>
        </w:numPr>
        <w:spacing w:lineRule="auto" w:line="240" w:before="0" w:after="0"/>
        <w:contextualSpacing/>
        <w:jc w:val="both"/>
        <w:rPr>
          <w:rFonts w:cs="Helvetica"/>
        </w:rPr>
      </w:pPr>
      <w:r>
        <w:rPr>
          <w:rFonts w:cs="Helvetica"/>
        </w:rPr>
        <w:t>du développement culturel et du patrimoine</w:t>
      </w:r>
    </w:p>
    <w:p>
      <w:pPr>
        <w:pStyle w:val="ListParagraph"/>
        <w:numPr>
          <w:ilvl w:val="0"/>
          <w:numId w:val="1"/>
        </w:numPr>
        <w:spacing w:lineRule="auto" w:line="240" w:before="0" w:after="0"/>
        <w:contextualSpacing/>
        <w:jc w:val="both"/>
        <w:rPr>
          <w:rFonts w:cs="Helvetica"/>
        </w:rPr>
      </w:pPr>
      <w:r>
        <w:rPr>
          <w:rFonts w:cs="Helvetica"/>
        </w:rPr>
        <w:t>des projets urbains</w:t>
      </w:r>
    </w:p>
    <w:p>
      <w:pPr>
        <w:pStyle w:val="ListParagraph"/>
        <w:numPr>
          <w:ilvl w:val="0"/>
          <w:numId w:val="1"/>
        </w:numPr>
        <w:spacing w:lineRule="auto" w:line="240" w:before="0" w:after="0"/>
        <w:contextualSpacing/>
        <w:jc w:val="both"/>
        <w:rPr>
          <w:rFonts w:cs="Helvetica"/>
        </w:rPr>
      </w:pPr>
      <w:r>
        <w:rPr>
          <w:rFonts w:cs="Helvetica"/>
        </w:rPr>
        <w:t>de l’urbanisme, de l’aménagement et de la prospective</w:t>
      </w:r>
    </w:p>
    <w:p>
      <w:pPr>
        <w:pStyle w:val="Normal"/>
        <w:spacing w:lineRule="auto" w:line="240" w:before="0" w:after="0"/>
        <w:jc w:val="both"/>
        <w:rPr>
          <w:rFonts w:ascii="Helvetica" w:hAnsi="Helvetica" w:cs="Helvetica"/>
        </w:rPr>
      </w:pPr>
      <w:r>
        <w:rPr>
          <w:rFonts w:cs="Helvetica" w:ascii="Helvetica" w:hAnsi="Helvetica"/>
        </w:rPr>
      </w:r>
    </w:p>
    <w:p>
      <w:pPr>
        <w:pStyle w:val="BodyText"/>
        <w:jc w:val="both"/>
        <w:rPr/>
      </w:pPr>
      <w:r>
        <w:rPr/>
        <w:t>Le SIG n’est pas une compétence communautaire et intervient en appui de l’ensemble des directions générales adjointes et des directions qui les composent quelle que soit leurs collectivités de rattachement</w:t>
      </w:r>
    </w:p>
    <w:p>
      <w:pPr>
        <w:pStyle w:val="Normal"/>
        <w:jc w:val="both"/>
        <w:rPr/>
      </w:pPr>
      <w:r>
        <w:rPr/>
        <w:t>Actuellement un seul agent est en charge du SIG.</w:t>
      </w:r>
    </w:p>
    <w:p>
      <w:pPr>
        <w:pStyle w:val="Normal"/>
        <w:jc w:val="both"/>
        <w:rPr>
          <w:highlight w:val="none"/>
          <w:shd w:fill="FFFF00" w:val="clear"/>
        </w:rPr>
      </w:pPr>
      <w:r>
        <w:rPr>
          <w:shd w:fill="FFFF00" w:val="clear"/>
        </w:rPr>
        <w:t xml:space="preserve">Il a été réalisé en interne un audit des besoins qu’il est nécessaire de </w:t>
      </w:r>
      <w:r>
        <w:rPr>
          <w:shd w:fill="00A933" w:val="clear"/>
        </w:rPr>
        <w:t>compléter</w:t>
      </w:r>
      <w:r>
        <w:rPr>
          <w:shd w:fill="FFFF00" w:val="clear"/>
        </w:rPr>
        <w:t xml:space="preserve">. </w:t>
      </w:r>
    </w:p>
    <w:p>
      <w:pPr>
        <w:pStyle w:val="BodyText"/>
        <w:jc w:val="both"/>
        <w:rPr/>
      </w:pPr>
      <w:r>
        <w:rPr/>
        <w:t xml:space="preserve">Il détaille les aspects administratifs, techniques, données, matériel, diffusion des données et retour sur investissement pour le SIG, mais reste à approfondir et à compléter. </w:t>
      </w:r>
    </w:p>
    <w:p>
      <w:pPr>
        <w:pStyle w:val="ListParagraph"/>
        <w:numPr>
          <w:ilvl w:val="0"/>
          <w:numId w:val="2"/>
        </w:numPr>
        <w:spacing w:lineRule="auto" w:line="240" w:before="0" w:after="0"/>
        <w:contextualSpacing/>
        <w:jc w:val="both"/>
        <w:rPr>
          <w:rFonts w:ascii="Arial Black" w:hAnsi="Arial Black" w:cs="Helvetica"/>
          <w:b/>
        </w:rPr>
      </w:pPr>
      <w:r>
        <w:rPr>
          <w:rFonts w:cs="Helvetica" w:ascii="Arial Black" w:hAnsi="Arial Black"/>
          <w:b/>
        </w:rPr>
        <w:t>Les outils</w:t>
      </w:r>
    </w:p>
    <w:p>
      <w:pPr>
        <w:pStyle w:val="BodyText"/>
        <w:jc w:val="both"/>
        <w:rPr/>
      </w:pPr>
      <w:r>
        <w:rPr/>
        <w:t>Actuellement il existe un Web SIG géré en sous traitance.</w:t>
      </w:r>
    </w:p>
    <w:p>
      <w:pPr>
        <w:pStyle w:val="BodyText"/>
        <w:jc w:val="both"/>
        <w:rPr/>
      </w:pPr>
      <w:r>
        <w:rPr/>
        <w:t>Ce web SIG est utilisé par les services de l’agglomération, de la ville mais également des communes membres du GMCA ainsi que les communes de la CCCPPL.</w:t>
      </w:r>
    </w:p>
    <w:p>
      <w:pPr>
        <w:pStyle w:val="BodyText"/>
        <w:jc w:val="both"/>
        <w:rPr/>
      </w:pPr>
      <w:r>
        <w:rPr/>
        <w:t>Au final plus de 250 comptes utilisateurs existent sur cette application.</w:t>
      </w:r>
    </w:p>
    <w:p>
      <w:pPr>
        <w:pStyle w:val="BodyText"/>
        <w:jc w:val="both"/>
        <w:rPr/>
      </w:pPr>
      <w:r>
        <w:rPr/>
        <w:t xml:space="preserve">Les données du Web SIG sont </w:t>
      </w:r>
      <w:r>
        <w:rPr>
          <w:shd w:fill="FF0000" w:val="clear"/>
        </w:rPr>
        <w:t>dupliquées</w:t>
      </w:r>
      <w:r>
        <w:rPr/>
        <w:t xml:space="preserve"> quotidiennement dans une base de données interne </w:t>
      </w:r>
      <w:r>
        <w:rPr>
          <w:shd w:fill="FFFF00" w:val="clear"/>
        </w:rPr>
        <w:t>POSTGRE/POST GIS</w:t>
      </w:r>
      <w:r>
        <w:rPr/>
        <w:t xml:space="preserve"> et sont accessibles principalement à l’agent du SIG.</w:t>
      </w:r>
    </w:p>
    <w:p>
      <w:pPr>
        <w:pStyle w:val="BodyText"/>
        <w:jc w:val="both"/>
        <w:rPr/>
      </w:pPr>
      <w:r>
        <w:rPr/>
        <w:t xml:space="preserve">Par ailleurs il existe </w:t>
      </w:r>
      <w:r>
        <w:rPr>
          <w:shd w:fill="FF0000" w:val="clear"/>
        </w:rPr>
        <w:t>différentes versions de Qgis</w:t>
      </w:r>
      <w:r>
        <w:rPr/>
        <w:t xml:space="preserve"> installées, au cas par cas, sans stratégie de déploiement, soit directement par les services soit par l’agent en charge du SIG.</w:t>
      </w:r>
    </w:p>
    <w:p>
      <w:pPr>
        <w:pStyle w:val="BodyText"/>
        <w:jc w:val="both"/>
        <w:rPr/>
      </w:pPr>
      <w:r>
        <w:rPr/>
        <w:t xml:space="preserve">Au-delà de la pluralité des outils utilisés, on constate des </w:t>
      </w:r>
      <w:r>
        <w:rPr>
          <w:shd w:fill="FF0000" w:val="clear"/>
        </w:rPr>
        <w:t>problèmes d’interopérabilité</w:t>
      </w:r>
      <w:r>
        <w:rPr/>
        <w:t xml:space="preserve"> avec des systèmes informations </w:t>
      </w:r>
      <w:r>
        <w:rPr>
          <w:shd w:fill="FF0000" w:val="clear"/>
        </w:rPr>
        <w:t>plus ou moins déconnecté</w:t>
      </w:r>
      <w:r>
        <w:rPr/>
        <w:t xml:space="preserve"> du SIG (ADS, DIA, ANC).</w:t>
      </w:r>
    </w:p>
    <w:p>
      <w:pPr>
        <w:pStyle w:val="BodyText"/>
        <w:jc w:val="both"/>
        <w:rPr/>
      </w:pPr>
      <w:r>
        <w:rPr/>
        <w:t xml:space="preserve">Ce schéma directeur SIG s’inscrira pleinement dans la politique informatique de la collectivité et de la Direction des systèmes d’informations </w:t>
      </w:r>
      <w:r>
        <w:rPr>
          <w:shd w:fill="FF0000" w:val="clear"/>
        </w:rPr>
        <w:t>(DSI)</w:t>
      </w:r>
      <w:r>
        <w:rPr/>
        <w:t xml:space="preserve"> ainsi que la stratégie de </w:t>
      </w:r>
      <w:r>
        <w:rPr>
          <w:b/>
          <w:shd w:fill="FF0000" w:val="clear"/>
        </w:rPr>
        <w:t>Smart City</w:t>
      </w:r>
      <w:r>
        <w:rPr/>
        <w:t xml:space="preserve"> que la collectivité développe.</w:t>
      </w:r>
    </w:p>
    <w:p>
      <w:pPr>
        <w:pStyle w:val="ListParagraph"/>
        <w:numPr>
          <w:ilvl w:val="0"/>
          <w:numId w:val="2"/>
        </w:numPr>
        <w:spacing w:lineRule="auto" w:line="240" w:before="0" w:after="0"/>
        <w:contextualSpacing/>
        <w:jc w:val="both"/>
        <w:rPr>
          <w:rFonts w:ascii="Arial Black" w:hAnsi="Arial Black" w:cs="Helvetica"/>
          <w:b/>
        </w:rPr>
      </w:pPr>
      <w:r>
        <w:rPr>
          <w:rFonts w:cs="Helvetica" w:ascii="Arial Black" w:hAnsi="Arial Black"/>
          <w:b/>
        </w:rPr>
        <w:t>Les données</w:t>
      </w:r>
    </w:p>
    <w:p>
      <w:pPr>
        <w:pStyle w:val="BodyText"/>
        <w:jc w:val="both"/>
        <w:rPr>
          <w:highlight w:val="none"/>
          <w:shd w:fill="FF0000" w:val="clear"/>
        </w:rPr>
      </w:pPr>
      <w:r>
        <w:rPr>
          <w:shd w:fill="FF0000" w:val="clear"/>
        </w:rPr>
        <w:t>Une information géographique très inégale selon les services, de nombreuses données, sont de simples documents DAO/CAO , ou sous format papier, ou sont inexistantes matériellement et reposent sur la mémoire d’agents au sein des services.</w:t>
      </w:r>
    </w:p>
    <w:p>
      <w:pPr>
        <w:pStyle w:val="BodyText"/>
        <w:jc w:val="both"/>
        <w:rPr/>
      </w:pPr>
      <w:r>
        <w:rPr/>
        <w:t xml:space="preserve">Les données concernant les recollements sont </w:t>
      </w:r>
      <w:r>
        <w:rPr>
          <w:shd w:fill="FF0000" w:val="clear"/>
        </w:rPr>
        <w:t>très hétérogènes</w:t>
      </w:r>
      <w:r>
        <w:rPr/>
        <w:t xml:space="preserve"> selon les bureaux d’étude et les demandes des services utilisateurs. Ces derniers ayant peu de connaissance sur les formats géographiques nécessaires à l’information géographique. </w:t>
      </w:r>
      <w:r>
        <w:rPr>
          <w:shd w:fill="FF0000" w:val="clear"/>
        </w:rPr>
        <w:t>Le schéma directeur devra couvrir l’ensemble des données géographiques ainsi que celle relevant du volet CAO/DAO</w:t>
      </w:r>
      <w:r>
        <w:rPr/>
        <w:t>.</w:t>
      </w:r>
    </w:p>
    <w:p>
      <w:pPr>
        <w:pStyle w:val="BodyText"/>
        <w:jc w:val="both"/>
        <w:rPr/>
      </w:pPr>
      <w:r>
        <w:rPr/>
        <w:t xml:space="preserve">La rareté des outils ne favorise pas le porté à connaissance, auprès de tous, des données existantes sur le territoire de la collectivité. </w:t>
      </w:r>
      <w:r>
        <w:rPr>
          <w:shd w:fill="FF0000" w:val="clear"/>
        </w:rPr>
        <w:t>Le futur SIG doit donc apporter une solution cohérente et facilitatrice pour la gestion et la diffusion des métadonnées et des données en interne comme à l’extérieur</w:t>
      </w:r>
      <w:r>
        <w:rPr/>
        <w:t>.</w:t>
      </w:r>
    </w:p>
    <w:p>
      <w:pPr>
        <w:pStyle w:val="BodyText"/>
        <w:jc w:val="both"/>
        <w:rPr/>
      </w:pPr>
      <w:r>
        <w:rPr/>
        <w:t xml:space="preserve">Le schéma directeur devra préconiser un </w:t>
      </w:r>
      <w:r>
        <w:rPr>
          <w:b/>
          <w:u w:val="single"/>
          <w:shd w:fill="FF0000" w:val="clear"/>
        </w:rPr>
        <w:t>mode de gestion des données</w:t>
      </w:r>
      <w:r>
        <w:rPr/>
        <w:t xml:space="preserve">, que ce soient des données de </w:t>
      </w:r>
      <w:r>
        <w:rPr>
          <w:shd w:fill="FF0000" w:val="clear"/>
        </w:rPr>
        <w:t>référence</w:t>
      </w:r>
      <w:r>
        <w:rPr/>
        <w:t xml:space="preserve"> (cadastre, orthophotos, PLU, …) ou des données </w:t>
      </w:r>
      <w:r>
        <w:rPr>
          <w:shd w:fill="FF0000" w:val="clear"/>
        </w:rPr>
        <w:t>métiers</w:t>
      </w:r>
      <w:r>
        <w:rPr/>
        <w:t xml:space="preserve"> (inventaires,…) ainsi que leurs méthodologies d’actualisation via un cycle de vie des données pour chaque grande famille.</w:t>
      </w:r>
    </w:p>
    <w:p>
      <w:pPr>
        <w:pStyle w:val="BodyText"/>
        <w:jc w:val="both"/>
        <w:rPr/>
      </w:pPr>
      <w:r>
        <w:rPr/>
        <w:t>La collectivité doit faire face à des obligations règlementaires liées à ses compétences (PLU, PLH, DT/DICT, PCRS, plan de sauvegarde, …) tant dans le suivi de documents cadres que dans la diffusion de ces derniers.</w:t>
      </w:r>
    </w:p>
    <w:p>
      <w:pPr>
        <w:pStyle w:val="BodyText"/>
        <w:jc w:val="both"/>
        <w:rPr/>
      </w:pPr>
      <w:r>
        <w:rPr/>
        <w:t xml:space="preserve">Enfin, le SIG actuel n’est pas en prise avec nos obligations </w:t>
      </w:r>
      <w:r>
        <w:rPr>
          <w:shd w:fill="FF0000" w:val="clear"/>
        </w:rPr>
        <w:t>INSPIRE</w:t>
      </w:r>
      <w:r>
        <w:rPr/>
        <w:t xml:space="preserve"> et assure peu voire pas du tout la </w:t>
      </w:r>
      <w:r>
        <w:rPr>
          <w:shd w:fill="FF0000" w:val="clear"/>
        </w:rPr>
        <w:t>diffusion de la donnée</w:t>
      </w:r>
      <w:r>
        <w:rPr/>
        <w:t>.</w:t>
      </w:r>
    </w:p>
    <w:p>
      <w:pPr>
        <w:pStyle w:val="BodyText"/>
        <w:jc w:val="both"/>
        <w:rPr/>
      </w:pPr>
      <w:r>
        <w:rPr/>
        <w:t xml:space="preserve">Seules certaines thématiques sont aujourd’hui valorisées par les services (PLH, urbanisme) </w:t>
      </w:r>
    </w:p>
    <w:p>
      <w:pPr>
        <w:pStyle w:val="BodyText"/>
        <w:jc w:val="both"/>
        <w:rPr/>
      </w:pPr>
      <w:r>
        <w:rPr/>
        <w:t>Les domaines de la 3D, Atlas, Cartes, schémas directeurs thématiques, analyses sectorielles sont encore inexistants.</w:t>
      </w:r>
    </w:p>
    <w:p>
      <w:pPr>
        <w:pStyle w:val="ListParagraph"/>
        <w:numPr>
          <w:ilvl w:val="0"/>
          <w:numId w:val="2"/>
        </w:numPr>
        <w:spacing w:lineRule="auto" w:line="240" w:before="0" w:after="0"/>
        <w:contextualSpacing/>
        <w:jc w:val="both"/>
        <w:rPr>
          <w:rFonts w:ascii="Arial Black" w:hAnsi="Arial Black" w:cs="Helvetica"/>
          <w:b/>
        </w:rPr>
      </w:pPr>
      <w:r>
        <w:rPr>
          <w:rFonts w:cs="Helvetica" w:ascii="Arial Black" w:hAnsi="Arial Black"/>
          <w:b/>
        </w:rPr>
        <w:t>Les ressources</w:t>
      </w:r>
    </w:p>
    <w:p>
      <w:pPr>
        <w:pStyle w:val="BodyText"/>
        <w:jc w:val="both"/>
        <w:rPr/>
      </w:pPr>
      <w:r>
        <w:rPr/>
        <w:t xml:space="preserve">Les ressources internes SIG existantes étant assez limitées, le service s’appuie sur son prestataire. </w:t>
      </w:r>
    </w:p>
    <w:p>
      <w:pPr>
        <w:pStyle w:val="BodyText"/>
        <w:jc w:val="both"/>
        <w:rPr>
          <w:i/>
          <w:i/>
        </w:rPr>
      </w:pPr>
      <w:r>
        <w:rPr>
          <w:i/>
        </w:rPr>
        <w:t>La continuité de service du SIG est aujourd’hui précaire.</w:t>
      </w:r>
    </w:p>
    <w:p>
      <w:pPr>
        <w:pStyle w:val="ListParagraph"/>
        <w:numPr>
          <w:ilvl w:val="0"/>
          <w:numId w:val="2"/>
        </w:numPr>
        <w:spacing w:lineRule="auto" w:line="240" w:before="0" w:after="0"/>
        <w:contextualSpacing/>
        <w:jc w:val="both"/>
        <w:rPr>
          <w:rFonts w:ascii="Arial Black" w:hAnsi="Arial Black" w:cs="Helvetica"/>
          <w:b/>
        </w:rPr>
      </w:pPr>
      <w:r>
        <w:rPr>
          <w:rFonts w:cs="Helvetica" w:ascii="Arial Black" w:hAnsi="Arial Black"/>
          <w:b/>
        </w:rPr>
        <w:t>La relation aux communes</w:t>
      </w:r>
    </w:p>
    <w:p>
      <w:pPr>
        <w:pStyle w:val="BodyText"/>
        <w:jc w:val="both"/>
        <w:rPr>
          <w:highlight w:val="none"/>
          <w:shd w:fill="FF8000" w:val="clear"/>
        </w:rPr>
      </w:pPr>
      <w:r>
        <w:rPr>
          <w:shd w:fill="FFFF00" w:val="clear"/>
        </w:rPr>
        <w:t>L’outil de webSIG mis en place est mis à disposition des communes qui peuvent consulter les données.</w:t>
      </w:r>
      <w:r>
        <w:rPr>
          <w:shd w:fill="FF8000" w:val="clear"/>
        </w:rPr>
        <w:t xml:space="preserve"> </w:t>
      </w:r>
      <w:r>
        <w:rPr>
          <w:shd w:fill="FF0000" w:val="clear"/>
        </w:rPr>
        <w:t>Il n’y a pas de mise en œuvre d’un véritable service commun à destination des communes.</w:t>
      </w:r>
    </w:p>
    <w:p>
      <w:pPr>
        <w:pStyle w:val="Normal"/>
        <w:spacing w:lineRule="auto" w:line="240" w:before="0" w:after="0"/>
        <w:jc w:val="both"/>
        <w:rPr>
          <w:rFonts w:ascii="Helvetica" w:hAnsi="Helvetica" w:cs="Helvetica"/>
          <w:highlight w:val="yellow"/>
        </w:rPr>
      </w:pPr>
      <w:r>
        <w:rPr>
          <w:rFonts w:cs="Helvetica" w:ascii="Helvetica" w:hAnsi="Helvetica"/>
          <w:highlight w:val="yellow"/>
        </w:rPr>
      </w:r>
    </w:p>
    <w:p>
      <w:pPr>
        <w:pStyle w:val="Heading1"/>
        <w:rPr/>
      </w:pPr>
      <w:r>
        <w:rPr/>
      </w:r>
    </w:p>
    <w:p>
      <w:pPr>
        <w:pStyle w:val="Heading1"/>
        <w:rPr/>
      </w:pPr>
      <w:r>
        <w:rPr/>
        <w:t>3 Le projet à réaliser</w:t>
      </w:r>
    </w:p>
    <w:p>
      <w:pPr>
        <w:pStyle w:val="BodyText"/>
        <w:jc w:val="both"/>
        <w:rPr/>
      </w:pPr>
      <w:r>
        <w:rPr>
          <w:shd w:fill="8D1D75" w:val="clear"/>
        </w:rPr>
        <w:t>La collectivité</w:t>
      </w:r>
      <w:r>
        <w:rPr/>
        <w:t xml:space="preserve"> a décidé l’élaboration du « Schéma Directeur du Système d’Information Géographique».</w:t>
      </w:r>
    </w:p>
    <w:p>
      <w:pPr>
        <w:pStyle w:val="BodyText"/>
        <w:jc w:val="both"/>
        <w:rPr/>
      </w:pPr>
      <w:r>
        <w:rPr/>
        <w:t>Le projet de schéma directeur s’inscrit dans le cadre d’un besoin d’évolution du SIG vers une nouvelle architecture tant technique que méthodologique, homogène et intégrant des nouveaux besoins et contraintes méthodologiques, légales, législatives et normatives auxquels la collectivité doit se conformer.</w:t>
      </w:r>
    </w:p>
    <w:p>
      <w:pPr>
        <w:pStyle w:val="BodyText"/>
        <w:jc w:val="both"/>
        <w:rPr/>
      </w:pPr>
      <w:r>
        <w:rPr/>
        <w:t xml:space="preserve">Le schéma directeur doit aboutir à la définition du futur SIG de nos collectivités, avec la prise en compte des enjeux d’homogénéisation, de capitalisation et valorisation, de partage et de diffusion de l’information géographique. </w:t>
      </w:r>
    </w:p>
    <w:p>
      <w:pPr>
        <w:pStyle w:val="BodyText"/>
        <w:jc w:val="both"/>
        <w:rPr/>
      </w:pPr>
      <w:r>
        <w:rPr/>
        <w:t xml:space="preserve">Ce partage se fait sur 3 plans : </w:t>
      </w:r>
    </w:p>
    <w:p>
      <w:pPr>
        <w:pStyle w:val="ListParagraph"/>
        <w:numPr>
          <w:ilvl w:val="0"/>
          <w:numId w:val="2"/>
        </w:numPr>
        <w:spacing w:lineRule="auto" w:line="240" w:before="0" w:after="0"/>
        <w:contextualSpacing/>
        <w:jc w:val="both"/>
        <w:rPr>
          <w:rFonts w:cs="Helvetica"/>
        </w:rPr>
      </w:pPr>
      <w:r>
        <w:rPr>
          <w:rFonts w:cs="Helvetica"/>
        </w:rPr>
        <w:t xml:space="preserve">en interne en directions des différents services, </w:t>
      </w:r>
    </w:p>
    <w:p>
      <w:pPr>
        <w:pStyle w:val="ListParagraph"/>
        <w:numPr>
          <w:ilvl w:val="0"/>
          <w:numId w:val="2"/>
        </w:numPr>
        <w:spacing w:lineRule="auto" w:line="240" w:before="0" w:after="0"/>
        <w:contextualSpacing/>
        <w:jc w:val="both"/>
        <w:rPr>
          <w:rFonts w:cs="Helvetica"/>
        </w:rPr>
      </w:pPr>
      <w:r>
        <w:rPr>
          <w:rFonts w:cs="Helvetica"/>
        </w:rPr>
        <w:t>en partenariat avec les communes membres, et les autres institutions et les partenaires (institutions, gestionnaires de réseaux, DSP, …)</w:t>
      </w:r>
    </w:p>
    <w:p>
      <w:pPr>
        <w:pStyle w:val="ListParagraph"/>
        <w:numPr>
          <w:ilvl w:val="0"/>
          <w:numId w:val="2"/>
        </w:numPr>
        <w:spacing w:lineRule="auto" w:line="240" w:before="0" w:after="0"/>
        <w:contextualSpacing/>
        <w:jc w:val="both"/>
        <w:rPr>
          <w:rFonts w:cs="Helvetica"/>
        </w:rPr>
      </w:pPr>
      <w:r>
        <w:rPr>
          <w:rFonts w:cs="Helvetica"/>
        </w:rPr>
        <w:t>en externe à destination des administrés d’une part et des citoyens d’autre part.</w:t>
      </w:r>
    </w:p>
    <w:p>
      <w:pPr>
        <w:pStyle w:val="Normal"/>
        <w:spacing w:lineRule="auto" w:line="240" w:before="0" w:after="0"/>
        <w:jc w:val="both"/>
        <w:rPr>
          <w:rFonts w:ascii="Helvetica" w:hAnsi="Helvetica" w:cs="Helvetica"/>
        </w:rPr>
      </w:pPr>
      <w:r>
        <w:rPr>
          <w:rFonts w:cs="Helvetica" w:ascii="Helvetica" w:hAnsi="Helvetica"/>
        </w:rPr>
      </w:r>
    </w:p>
    <w:p>
      <w:pPr>
        <w:pStyle w:val="BodyText"/>
        <w:jc w:val="both"/>
        <w:rPr/>
      </w:pPr>
      <w:r>
        <w:rPr/>
        <w:t xml:space="preserve">Il donne les voies et les moyens pour atteindre cet objectif à partir d’un scénario choisi se basant sur l’analyse des systèmes existants, sur un recueil identifiant les utilisateurs, leurs attentes et fléchant les besoins émergents et futurs et sur les choix des politiques publiques que les élus font. </w:t>
      </w:r>
    </w:p>
    <w:p>
      <w:pPr>
        <w:pStyle w:val="BodyText"/>
        <w:jc w:val="both"/>
        <w:rPr/>
      </w:pPr>
      <w:r>
        <w:rPr/>
        <w:t xml:space="preserve">Ce projet doit éclairer sur les arbitrages fondamentaux en réalisant une </w:t>
      </w:r>
      <w:r>
        <w:rPr>
          <w:shd w:fill="FF0000" w:val="clear"/>
        </w:rPr>
        <w:t>synthèse des enjeux et des éléments de contexte</w:t>
      </w:r>
      <w:r>
        <w:rPr/>
        <w:t xml:space="preserve">. En se basant sur les échanges avec les </w:t>
      </w:r>
      <w:r>
        <w:rPr>
          <w:shd w:fill="8D1D75" w:val="clear"/>
        </w:rPr>
        <w:t>agents de la collectivité</w:t>
      </w:r>
      <w:r>
        <w:rPr/>
        <w:t>, le retour d’expérience d’autres collectivité de taille similaire et l’expertise propre du prestataire.</w:t>
      </w:r>
    </w:p>
    <w:p>
      <w:pPr>
        <w:pStyle w:val="BodyText"/>
        <w:jc w:val="both"/>
        <w:rPr/>
      </w:pPr>
      <w:r>
        <w:rPr/>
        <w:t>Ce travail constitue un préalable à la seconde étape, la refonte du SIG au travers du choix de nouveaux outils.</w:t>
      </w:r>
    </w:p>
    <w:p>
      <w:pPr>
        <w:pStyle w:val="Normal"/>
        <w:rPr/>
      </w:pPr>
      <w:r>
        <w:rPr/>
      </w:r>
      <w:r>
        <w:br w:type="page"/>
      </w:r>
    </w:p>
    <w:p>
      <w:pPr>
        <w:pStyle w:val="BodyText"/>
        <w:spacing w:before="0" w:after="120"/>
        <w:jc w:val="both"/>
        <w:rPr/>
      </w:pPr>
      <w:r>
        <w:rPr/>
      </w:r>
    </w:p>
    <w:p>
      <w:pPr>
        <w:pStyle w:val="Heading1"/>
        <w:rPr/>
      </w:pPr>
      <w:r>
        <w:rPr/>
        <w:t>4 Déroulement du Projet</w:t>
      </w:r>
    </w:p>
    <w:p>
      <w:pPr>
        <w:pStyle w:val="BodyText"/>
        <w:jc w:val="both"/>
        <w:rPr/>
      </w:pPr>
      <w:r>
        <w:rPr/>
        <w:t>Le projet se découpe en 3 phases. Chacune d’elles donne lieu à la livraison d’un rapport détaillé.</w:t>
      </w:r>
    </w:p>
    <w:p>
      <w:pPr>
        <w:pStyle w:val="Heading5"/>
        <w:jc w:val="both"/>
        <w:rPr/>
      </w:pPr>
      <w:r>
        <w:rPr/>
        <w:t>Durée du projet</w:t>
      </w:r>
    </w:p>
    <w:p>
      <w:pPr>
        <w:pStyle w:val="BodyText"/>
        <w:jc w:val="both"/>
        <w:rPr/>
      </w:pPr>
      <w:r>
        <w:rPr/>
        <w:t xml:space="preserve">Le délai d’exécution de la prestation est de </w:t>
      </w:r>
      <w:r>
        <w:rPr>
          <w:rFonts w:cs="Helvetica-Bold" w:ascii="Helvetica-Bold" w:hAnsi="Helvetica-Bold"/>
          <w:b/>
          <w:bCs/>
        </w:rPr>
        <w:t xml:space="preserve">5 mois </w:t>
      </w:r>
      <w:r>
        <w:rPr/>
        <w:t xml:space="preserve">à compter de la notification du marché. </w:t>
      </w:r>
    </w:p>
    <w:p>
      <w:pPr>
        <w:pStyle w:val="BodyText"/>
        <w:jc w:val="both"/>
        <w:rPr/>
      </w:pPr>
      <w:r>
        <w:rPr/>
        <w:t xml:space="preserve">Le calendrier envisagé est le suivant </w:t>
      </w:r>
    </w:p>
    <w:p>
      <w:pPr>
        <w:pStyle w:val="BodyText"/>
        <w:jc w:val="both"/>
        <w:rPr/>
      </w:pPr>
      <w:r>
        <w:rPr>
          <w:rFonts w:cs="Helvetica" w:ascii="Helvetica" w:hAnsi="Helvetica"/>
          <w:b/>
        </w:rPr>
        <w:t xml:space="preserve">Phase 1 </w:t>
        <w:tab/>
        <w:t>Audit de l’existant et recensement des besoins</w:t>
      </w:r>
      <w:r>
        <w:rPr/>
        <w:t xml:space="preserve"> </w:t>
        <w:tab/>
        <w:t>août-septembre 2022</w:t>
      </w:r>
    </w:p>
    <w:p>
      <w:pPr>
        <w:pStyle w:val="BodyText"/>
        <w:jc w:val="both"/>
        <w:rPr/>
      </w:pPr>
      <w:r>
        <w:rPr/>
        <w:t>En se basant sur le «</w:t>
      </w:r>
      <w:r>
        <w:rPr>
          <w:shd w:fill="00A933" w:val="clear"/>
        </w:rPr>
        <w:t> </w:t>
      </w:r>
      <w:r>
        <w:rPr>
          <w:i/>
          <w:shd w:fill="00A933" w:val="clear"/>
        </w:rPr>
        <w:t>pré schéma directeur</w:t>
      </w:r>
      <w:r>
        <w:rPr>
          <w:shd w:fill="00A933" w:val="clear"/>
        </w:rPr>
        <w:t> </w:t>
      </w:r>
      <w:r>
        <w:rPr/>
        <w:t xml:space="preserve">» existant et en </w:t>
      </w:r>
      <w:r>
        <w:rPr>
          <w:shd w:fill="00A933" w:val="clear"/>
        </w:rPr>
        <w:t>complétant</w:t>
      </w:r>
      <w:r>
        <w:rPr/>
        <w:t xml:space="preserve"> les éléments manquants au regard de </w:t>
      </w:r>
      <w:r>
        <w:rPr>
          <w:shd w:fill="00A933" w:val="clear"/>
        </w:rPr>
        <w:t>l’expertise du prestataire.</w:t>
      </w:r>
    </w:p>
    <w:p>
      <w:pPr>
        <w:pStyle w:val="BodyText"/>
        <w:jc w:val="both"/>
        <w:rPr/>
      </w:pPr>
      <w:r>
        <w:rPr/>
        <w:t>Une attention particulière sera apportée sur un bilan des obligations légales/réglementaires à remplir par la collectivité</w:t>
      </w:r>
    </w:p>
    <w:p>
      <w:pPr>
        <w:pStyle w:val="Normal"/>
        <w:spacing w:lineRule="auto" w:line="240" w:before="0" w:after="0"/>
        <w:rPr>
          <w:rFonts w:ascii="Helvetica" w:hAnsi="Helvetica" w:cs="Helvetica"/>
        </w:rPr>
      </w:pPr>
      <w:r>
        <w:rPr>
          <w:rFonts w:cs="Helvetica" w:ascii="Helvetica" w:hAnsi="Helvetica"/>
          <w:b/>
        </w:rPr>
        <w:t>Phase 2</w:t>
        <w:tab/>
        <w:t>Diagnostic et proposition de scenario</w:t>
      </w:r>
      <w:r>
        <w:rPr>
          <w:rFonts w:cs="Helvetica" w:ascii="Helvetica" w:hAnsi="Helvetica"/>
        </w:rPr>
        <w:t xml:space="preserve"> </w:t>
        <w:tab/>
        <w:tab/>
        <w:tab/>
        <w:t>octobre 2022</w:t>
      </w:r>
    </w:p>
    <w:p>
      <w:pPr>
        <w:pStyle w:val="Normal"/>
        <w:spacing w:lineRule="auto" w:line="240" w:before="0" w:after="0"/>
        <w:rPr>
          <w:rFonts w:ascii="Helvetica" w:hAnsi="Helvetica" w:cs="Helvetica"/>
        </w:rPr>
      </w:pPr>
      <w:r>
        <w:rPr>
          <w:rFonts w:cs="Helvetica" w:ascii="Helvetica" w:hAnsi="Helvetica"/>
          <w:b/>
        </w:rPr>
        <w:t xml:space="preserve">Phase 3 </w:t>
        <w:tab/>
        <w:t>Elaboration du schéma directeur du SIG</w:t>
      </w:r>
      <w:r>
        <w:rPr>
          <w:rFonts w:cs="Helvetica" w:ascii="Helvetica" w:hAnsi="Helvetica"/>
        </w:rPr>
        <w:tab/>
        <w:tab/>
        <w:tab/>
        <w:t xml:space="preserve"> novembre 2022</w:t>
      </w:r>
    </w:p>
    <w:p>
      <w:pPr>
        <w:pStyle w:val="Normal"/>
        <w:spacing w:lineRule="auto" w:line="240" w:before="0" w:after="0"/>
        <w:jc w:val="both"/>
        <w:rPr>
          <w:rFonts w:ascii="Helvetica" w:hAnsi="Helvetica" w:cs="Helvetica"/>
          <w:b/>
        </w:rPr>
      </w:pPr>
      <w:r>
        <w:rPr>
          <w:rFonts w:cs="Helvetica" w:ascii="Helvetica" w:hAnsi="Helvetica"/>
          <w:b/>
        </w:rPr>
      </w:r>
    </w:p>
    <w:p>
      <w:pPr>
        <w:pStyle w:val="Heading6"/>
        <w:rPr/>
      </w:pPr>
      <w:r>
        <w:rPr/>
        <w:t>Suivi du projet</w:t>
      </w:r>
    </w:p>
    <w:p>
      <w:pPr>
        <w:pStyle w:val="BodyText"/>
        <w:jc w:val="both"/>
        <w:rPr>
          <w:b/>
          <w:u w:val="single"/>
        </w:rPr>
      </w:pPr>
      <w:r>
        <w:rPr>
          <w:rFonts w:cs="Courier" w:ascii="Courier" w:hAnsi="Courier"/>
          <w:b/>
          <w:u w:val="single"/>
        </w:rPr>
        <w:t xml:space="preserve">o </w:t>
      </w:r>
      <w:r>
        <w:rPr>
          <w:b/>
          <w:u w:val="single"/>
        </w:rPr>
        <w:t>Le Comité de Pilotage (COPIL)</w:t>
      </w:r>
    </w:p>
    <w:p>
      <w:pPr>
        <w:pStyle w:val="BodyText"/>
        <w:jc w:val="both"/>
        <w:rPr/>
      </w:pPr>
      <w:r>
        <w:rPr/>
        <w:t>Il a pour mission d’arbitrer et de valider les propositions faites par l’équipe projet en examinant les orientations techniques, fonctionnelles et organisationnelles proposées au regard des orientations générales de la collectivité.</w:t>
      </w:r>
    </w:p>
    <w:p>
      <w:pPr>
        <w:pStyle w:val="BodyText"/>
        <w:jc w:val="both"/>
        <w:rPr/>
      </w:pPr>
      <w:r>
        <w:rPr/>
        <w:t>Le comité de pilotage sera, à minima, composé de :</w:t>
      </w:r>
    </w:p>
    <w:p>
      <w:pPr>
        <w:pStyle w:val="ListBullet"/>
        <w:numPr>
          <w:ilvl w:val="0"/>
          <w:numId w:val="3"/>
        </w:numPr>
        <w:jc w:val="both"/>
        <w:rPr/>
      </w:pPr>
      <w:r>
        <w:rPr/>
        <w:t>Un élu</w:t>
      </w:r>
    </w:p>
    <w:p>
      <w:pPr>
        <w:pStyle w:val="ListBullet"/>
        <w:numPr>
          <w:ilvl w:val="0"/>
          <w:numId w:val="3"/>
        </w:numPr>
        <w:jc w:val="both"/>
        <w:rPr/>
      </w:pPr>
      <w:r>
        <w:rPr/>
        <w:t>La Direction Générale (1 DGS + 5 DGA)</w:t>
      </w:r>
    </w:p>
    <w:p>
      <w:pPr>
        <w:pStyle w:val="Normal"/>
        <w:spacing w:lineRule="auto" w:line="240" w:before="0" w:after="0"/>
        <w:jc w:val="both"/>
        <w:rPr>
          <w:rFonts w:ascii="Helvetica" w:hAnsi="Helvetica" w:cs="Helvetica"/>
          <w:highlight w:val="yellow"/>
        </w:rPr>
      </w:pPr>
      <w:r>
        <w:rPr>
          <w:rFonts w:cs="Helvetica" w:ascii="Helvetica" w:hAnsi="Helvetica"/>
          <w:highlight w:val="yellow"/>
        </w:rPr>
      </w:r>
    </w:p>
    <w:p>
      <w:pPr>
        <w:pStyle w:val="BodyText"/>
        <w:rPr>
          <w:b/>
          <w:u w:val="single"/>
        </w:rPr>
      </w:pPr>
      <w:r>
        <w:rPr>
          <w:b/>
          <w:u w:val="single"/>
        </w:rPr>
        <w:t>o Le Groupe projet ou COTECH</w:t>
      </w:r>
    </w:p>
    <w:p>
      <w:pPr>
        <w:pStyle w:val="BodyText"/>
        <w:jc w:val="both"/>
        <w:rPr/>
      </w:pPr>
      <w:r>
        <w:rPr/>
        <w:t>Sa mission est d’assurer le pilotage opérationnel du projet. Il assure le relai entre le soumissionnaire et les différents services de la collectivité. Il valide les documents produits et est force de proposition auprès du COPIL.</w:t>
      </w:r>
    </w:p>
    <w:p>
      <w:pPr>
        <w:pStyle w:val="BodyText"/>
        <w:jc w:val="both"/>
        <w:rPr/>
      </w:pPr>
      <w:r>
        <w:rPr/>
        <w:t>A géométrie variable, le groupe projet est composé par :</w:t>
      </w:r>
    </w:p>
    <w:p>
      <w:pPr>
        <w:pStyle w:val="ListBullet"/>
        <w:numPr>
          <w:ilvl w:val="0"/>
          <w:numId w:val="3"/>
        </w:numPr>
        <w:jc w:val="both"/>
        <w:rPr/>
      </w:pPr>
      <w:r>
        <w:rPr/>
        <w:t>Directeur du SIG</w:t>
      </w:r>
    </w:p>
    <w:p>
      <w:pPr>
        <w:pStyle w:val="ListBullet"/>
        <w:numPr>
          <w:ilvl w:val="0"/>
          <w:numId w:val="3"/>
        </w:numPr>
        <w:jc w:val="both"/>
        <w:rPr/>
      </w:pPr>
      <w:r>
        <w:rPr/>
        <w:t>Groupe d’expertise technique composé, selon les thématiques abordées, de référents au sein des Direction générales, de la Direction des systèmes d’information et complété par les référents des services concernés</w:t>
      </w:r>
    </w:p>
    <w:p>
      <w:pPr>
        <w:pStyle w:val="Normal"/>
        <w:rPr>
          <w:rFonts w:ascii="Helvetica" w:hAnsi="Helvetica" w:cs="Helvetica"/>
          <w:highlight w:val="yellow"/>
        </w:rPr>
      </w:pPr>
      <w:r>
        <w:rPr>
          <w:rFonts w:cs="Helvetica" w:ascii="Helvetica" w:hAnsi="Helvetica"/>
          <w:highlight w:val="yellow"/>
        </w:rPr>
      </w:r>
      <w:r>
        <w:br w:type="page"/>
      </w:r>
    </w:p>
    <w:p>
      <w:pPr>
        <w:pStyle w:val="Normal"/>
        <w:spacing w:lineRule="auto" w:line="240" w:before="0" w:after="0"/>
        <w:jc w:val="both"/>
        <w:rPr>
          <w:rFonts w:ascii="Helvetica" w:hAnsi="Helvetica" w:cs="Helvetica"/>
          <w:highlight w:val="yellow"/>
        </w:rPr>
      </w:pPr>
      <w:r>
        <w:rPr>
          <w:rFonts w:cs="Helvetica" w:ascii="Helvetica" w:hAnsi="Helvetica"/>
          <w:highlight w:val="yellow"/>
        </w:rPr>
      </w:r>
    </w:p>
    <w:p>
      <w:pPr>
        <w:pStyle w:val="Heading6"/>
        <w:jc w:val="both"/>
        <w:rPr/>
      </w:pPr>
      <w:r>
        <w:rPr/>
        <w:t>Méthode de travail</w:t>
      </w:r>
    </w:p>
    <w:p>
      <w:pPr>
        <w:pStyle w:val="BodyText"/>
        <w:jc w:val="both"/>
        <w:rPr/>
      </w:pPr>
      <w:r>
        <w:rPr/>
        <w:t>Les travaux de l’étude seront coordonnés par l’équipe projet du prestataire, qui travaillera de façon permanente en liaison avec les services du maître d’ouvrage.</w:t>
      </w:r>
    </w:p>
    <w:p>
      <w:pPr>
        <w:pStyle w:val="BodyText"/>
        <w:jc w:val="both"/>
        <w:rPr/>
      </w:pPr>
      <w:r>
        <w:rPr/>
        <w:t>Le prestataire a la charge de la préparation et l’animation des réunions de travail et des COPIL, il sera autonome dans la réalisation des entretiens.</w:t>
      </w:r>
    </w:p>
    <w:p>
      <w:pPr>
        <w:pStyle w:val="BodyText"/>
        <w:jc w:val="both"/>
        <w:rPr/>
      </w:pPr>
      <w:r>
        <w:rPr/>
        <w:t>Tous les contacts utiles seront facilités par les services du maître d’ouvrage.</w:t>
      </w:r>
    </w:p>
    <w:p>
      <w:pPr>
        <w:pStyle w:val="Heading6"/>
        <w:jc w:val="both"/>
        <w:rPr/>
      </w:pPr>
      <w:r>
        <w:rPr/>
        <w:t>Modalités de remise des documents</w:t>
      </w:r>
    </w:p>
    <w:p>
      <w:pPr>
        <w:pStyle w:val="BodyText"/>
        <w:jc w:val="both"/>
        <w:rPr/>
      </w:pPr>
      <w:r>
        <w:rPr/>
        <w:t xml:space="preserve">Avant tout COPIL et COTECH, le prestataire devra établir un </w:t>
      </w:r>
      <w:r>
        <w:rPr>
          <w:u w:val="single"/>
        </w:rPr>
        <w:t>support de présentation</w:t>
      </w:r>
      <w:r>
        <w:rPr/>
        <w:t xml:space="preserve"> provisoire pour le soumettre au directeur du SIG qui émettra ses recommandations.</w:t>
      </w:r>
    </w:p>
    <w:p>
      <w:pPr>
        <w:pStyle w:val="BodyText"/>
        <w:jc w:val="both"/>
        <w:rPr/>
      </w:pPr>
      <w:r>
        <w:rPr/>
        <w:t xml:space="preserve">Chaque phase fera de plus l’objet de la rédaction d’une </w:t>
      </w:r>
      <w:r>
        <w:rPr>
          <w:u w:val="single"/>
        </w:rPr>
        <w:t>note synthétique</w:t>
      </w:r>
      <w:r>
        <w:rPr/>
        <w:t xml:space="preserve"> ayant pour objet l’information des membres du COPIL.</w:t>
      </w:r>
    </w:p>
    <w:p>
      <w:pPr>
        <w:pStyle w:val="BodyText"/>
        <w:jc w:val="both"/>
        <w:rPr/>
      </w:pPr>
      <w:r>
        <w:rPr/>
        <w:t xml:space="preserve">D’une manière générale chaque réunion fera systématiquement l’objet d’un </w:t>
      </w:r>
      <w:r>
        <w:rPr>
          <w:u w:val="single"/>
        </w:rPr>
        <w:t>compte-rendu</w:t>
      </w:r>
      <w:r>
        <w:rPr/>
        <w:t xml:space="preserve"> rédigé et transmis pour validation au maître d’ouvrage sous 10 jours ouvrés. Ces comptes rendus seront diffusés par le chef projet du prestataire aux membres du COPIL et du Groupe Projet.</w:t>
      </w:r>
    </w:p>
    <w:p>
      <w:pPr>
        <w:pStyle w:val="Normal"/>
        <w:spacing w:lineRule="auto" w:line="240" w:before="0" w:after="0"/>
        <w:jc w:val="both"/>
        <w:rPr/>
      </w:pPr>
      <w:r>
        <w:rPr/>
        <w:t>Les livrables seront envoyés par voie électronique dans un format bureautique classiques modifiables et une version PDF.</w:t>
      </w:r>
    </w:p>
    <w:p>
      <w:pPr>
        <w:pStyle w:val="Normal"/>
        <w:spacing w:lineRule="auto" w:line="240" w:before="0" w:after="0"/>
        <w:jc w:val="both"/>
        <w:rPr/>
      </w:pPr>
      <w:r>
        <w:rPr/>
      </w:r>
    </w:p>
    <w:p>
      <w:pPr>
        <w:pStyle w:val="Normal"/>
        <w:spacing w:lineRule="auto" w:line="240" w:before="0" w:after="0"/>
        <w:jc w:val="both"/>
        <w:rPr/>
      </w:pPr>
      <w:r>
        <w:rPr/>
        <w:t>L’ensemble des livrables devra contenir à minima les informations suivantes :</w:t>
      </w:r>
    </w:p>
    <w:p>
      <w:pPr>
        <w:pStyle w:val="Normal"/>
        <w:spacing w:lineRule="auto" w:line="240" w:before="0" w:after="0"/>
        <w:ind w:left="708"/>
        <w:jc w:val="both"/>
        <w:rPr/>
      </w:pPr>
      <w:r>
        <w:rPr/>
        <w:t>- Rédacteur : personne en charge de la rédaction du livrable</w:t>
      </w:r>
    </w:p>
    <w:p>
      <w:pPr>
        <w:pStyle w:val="Normal"/>
        <w:spacing w:lineRule="auto" w:line="240" w:before="0" w:after="0"/>
        <w:ind w:left="708"/>
        <w:jc w:val="both"/>
        <w:rPr/>
      </w:pPr>
      <w:r>
        <w:rPr/>
        <w:t xml:space="preserve">- Destinataires : personnes destinataires du livrable </w:t>
      </w:r>
    </w:p>
    <w:p>
      <w:pPr>
        <w:pStyle w:val="Normal"/>
        <w:spacing w:lineRule="auto" w:line="240" w:before="0" w:after="0"/>
        <w:ind w:left="708"/>
        <w:jc w:val="both"/>
        <w:rPr/>
      </w:pPr>
      <w:r>
        <w:rPr/>
        <w:t>- Date de création du livrable</w:t>
      </w:r>
    </w:p>
    <w:p>
      <w:pPr>
        <w:pStyle w:val="Normal"/>
        <w:spacing w:lineRule="auto" w:line="240" w:before="0" w:after="0"/>
        <w:ind w:left="708"/>
        <w:jc w:val="both"/>
        <w:rPr/>
      </w:pPr>
      <w:r>
        <w:rPr/>
        <w:t>- Tableau de suivi des mises à jour apportées au livrable</w:t>
      </w:r>
    </w:p>
    <w:p>
      <w:pPr>
        <w:pStyle w:val="Normal"/>
        <w:spacing w:lineRule="auto" w:line="240" w:before="0" w:after="0"/>
        <w:ind w:left="708"/>
        <w:jc w:val="both"/>
        <w:rPr/>
      </w:pPr>
      <w:r>
        <w:rPr/>
        <w:t>- Dernière date de modification du livrable</w:t>
      </w:r>
    </w:p>
    <w:p>
      <w:pPr>
        <w:pStyle w:val="Normal"/>
        <w:spacing w:lineRule="auto" w:line="240" w:before="0" w:after="0"/>
        <w:ind w:left="708"/>
        <w:jc w:val="both"/>
        <w:rPr/>
      </w:pPr>
      <w:r>
        <w:rPr/>
        <w:t>- Logo de la collectivité</w:t>
      </w:r>
    </w:p>
    <w:p>
      <w:pPr>
        <w:pStyle w:val="Normal"/>
        <w:spacing w:lineRule="auto" w:line="240" w:before="0" w:after="0"/>
        <w:ind w:left="708"/>
        <w:jc w:val="both"/>
        <w:rPr/>
      </w:pPr>
      <w:r>
        <w:rPr/>
        <w:t>- Numéro de version : les numéros de version devront respecter la forme « classique » telle que :</w:t>
      </w:r>
    </w:p>
    <w:p>
      <w:pPr>
        <w:pStyle w:val="Normal"/>
        <w:spacing w:lineRule="auto" w:line="240" w:before="0" w:after="0"/>
        <w:ind w:left="1416"/>
        <w:jc w:val="both"/>
        <w:rPr/>
      </w:pPr>
      <w:r>
        <w:rPr/>
        <w:t>- V0.x : où x représente le numéro de version du livrable en phase de rédaction</w:t>
      </w:r>
    </w:p>
    <w:p>
      <w:pPr>
        <w:pStyle w:val="Normal"/>
        <w:spacing w:lineRule="auto" w:line="240" w:before="0" w:after="0"/>
        <w:ind w:left="1416"/>
        <w:jc w:val="both"/>
        <w:rPr/>
      </w:pPr>
      <w:r>
        <w:rPr/>
        <w:t>- V1.x : où x représente le numéro de version du livrable en phase de validation</w:t>
      </w:r>
    </w:p>
    <w:p>
      <w:pPr>
        <w:pStyle w:val="Normal"/>
        <w:jc w:val="both"/>
        <w:rPr>
          <w:rFonts w:ascii="Helvetica" w:hAnsi="Helvetica" w:cs="Helvetica"/>
        </w:rPr>
      </w:pPr>
      <w:r>
        <w:rPr>
          <w:rFonts w:cs="Helvetica" w:ascii="Helvetica" w:hAnsi="Helvetica"/>
        </w:rPr>
      </w:r>
    </w:p>
    <w:p>
      <w:pPr>
        <w:pStyle w:val="Normal"/>
        <w:jc w:val="both"/>
        <w:rPr>
          <w:u w:val="single"/>
        </w:rPr>
      </w:pPr>
      <w:r>
        <w:rPr>
          <w:u w:val="single"/>
        </w:rPr>
        <w:t xml:space="preserve">Voici la liste des membres pressentis du COTECH </w:t>
      </w:r>
    </w:p>
    <w:p>
      <w:pPr>
        <w:pStyle w:val="ListParagraph"/>
        <w:ind w:hanging="360" w:left="720"/>
        <w:rPr/>
      </w:pPr>
      <w:r>
        <w:rPr>
          <w:rFonts w:ascii="Symbol" w:hAnsi="Symbol"/>
        </w:rPr>
        <w:t></w:t>
      </w:r>
      <w:r>
        <w:rPr>
          <w:rFonts w:ascii="Times New Roman" w:hAnsi="Times New Roman"/>
          <w:sz w:val="14"/>
          <w:szCs w:val="14"/>
        </w:rPr>
        <w:t xml:space="preserve">         </w:t>
      </w:r>
      <w:r>
        <w:rPr/>
        <w:t>Développement durable.</w:t>
      </w:r>
    </w:p>
    <w:p>
      <w:pPr>
        <w:pStyle w:val="ListParagraph"/>
        <w:ind w:hanging="360" w:left="720"/>
        <w:rPr/>
      </w:pPr>
      <w:r>
        <w:rPr>
          <w:rFonts w:ascii="Symbol" w:hAnsi="Symbol"/>
        </w:rPr>
        <w:t></w:t>
      </w:r>
      <w:r>
        <w:rPr>
          <w:rFonts w:ascii="Times New Roman" w:hAnsi="Times New Roman"/>
          <w:sz w:val="14"/>
          <w:szCs w:val="14"/>
        </w:rPr>
        <w:t xml:space="preserve">         </w:t>
      </w:r>
      <w:r>
        <w:rPr>
          <w:rFonts w:ascii="Times New Roman" w:hAnsi="Times New Roman"/>
          <w:sz w:val="14"/>
          <w:szCs w:val="14"/>
        </w:rPr>
        <w:t>C</w:t>
      </w:r>
      <w:r>
        <w:rPr/>
        <w:t>ommunication</w:t>
      </w:r>
    </w:p>
    <w:p>
      <w:pPr>
        <w:pStyle w:val="Normal"/>
        <w:spacing w:before="0" w:after="120"/>
        <w:rPr/>
      </w:pPr>
      <w:r>
        <w:rPr/>
        <w:t> </w:t>
      </w:r>
      <w:r>
        <w:rPr>
          <w:rFonts w:ascii="Symbol" w:hAnsi="Symbol"/>
        </w:rPr>
        <w:t></w:t>
      </w:r>
      <w:r>
        <w:rPr>
          <w:rFonts w:ascii="Times New Roman" w:hAnsi="Times New Roman"/>
          <w:sz w:val="14"/>
          <w:szCs w:val="14"/>
        </w:rPr>
        <w:t xml:space="preserve">         </w:t>
      </w:r>
      <w:r>
        <w:rPr/>
        <w:t>Direction ressources</w:t>
      </w:r>
    </w:p>
    <w:p>
      <w:pPr>
        <w:pStyle w:val="ListParagraph"/>
        <w:ind w:hanging="360" w:left="1068"/>
        <w:rPr/>
      </w:pPr>
      <w:r>
        <w:rPr>
          <w:rFonts w:ascii="Wingdings" w:hAnsi="Wingdings"/>
        </w:rPr>
        <w:t></w:t>
      </w:r>
      <w:r>
        <w:rPr>
          <w:rFonts w:ascii="Times New Roman" w:hAnsi="Times New Roman"/>
          <w:sz w:val="14"/>
          <w:szCs w:val="14"/>
        </w:rPr>
        <w:t xml:space="preserve">  </w:t>
      </w:r>
      <w:r>
        <w:rPr/>
        <w:t>DRH, à minima le service formation.</w:t>
      </w:r>
    </w:p>
    <w:p>
      <w:pPr>
        <w:pStyle w:val="ListParagraph"/>
        <w:ind w:hanging="360" w:left="1068"/>
        <w:rPr/>
      </w:pPr>
      <w:r>
        <w:rPr>
          <w:rFonts w:ascii="Wingdings" w:hAnsi="Wingdings"/>
        </w:rPr>
        <w:t></w:t>
      </w:r>
      <w:r>
        <w:rPr>
          <w:rFonts w:ascii="Times New Roman" w:hAnsi="Times New Roman"/>
          <w:sz w:val="14"/>
          <w:szCs w:val="14"/>
        </w:rPr>
        <w:t xml:space="preserve">  </w:t>
      </w:r>
      <w:r>
        <w:rPr/>
        <w:t xml:space="preserve">DAJPA : </w:t>
      </w:r>
    </w:p>
    <w:p>
      <w:pPr>
        <w:pStyle w:val="ListParagraph"/>
        <w:ind w:hanging="360" w:left="1068"/>
        <w:rPr/>
      </w:pPr>
      <w:r>
        <w:rPr>
          <w:rFonts w:ascii="Wingdings" w:hAnsi="Wingdings"/>
        </w:rPr>
        <w:t></w:t>
      </w:r>
      <w:r>
        <w:rPr>
          <w:rFonts w:ascii="Times New Roman" w:hAnsi="Times New Roman"/>
          <w:sz w:val="14"/>
          <w:szCs w:val="14"/>
        </w:rPr>
        <w:t xml:space="preserve">  </w:t>
      </w:r>
      <w:r>
        <w:rPr/>
        <w:t>DSI</w:t>
      </w:r>
    </w:p>
    <w:p>
      <w:pPr>
        <w:pStyle w:val="ListParagraph"/>
        <w:ind w:hanging="360" w:left="1068"/>
        <w:rPr/>
      </w:pPr>
      <w:r>
        <w:rPr>
          <w:rFonts w:ascii="Wingdings" w:hAnsi="Wingdings"/>
        </w:rPr>
        <w:t></w:t>
      </w:r>
      <w:r>
        <w:rPr>
          <w:rFonts w:ascii="Times New Roman" w:hAnsi="Times New Roman"/>
          <w:sz w:val="14"/>
          <w:szCs w:val="14"/>
        </w:rPr>
        <w:t xml:space="preserve">  </w:t>
      </w:r>
      <w:r>
        <w:rPr/>
        <w:t>Finances</w:t>
      </w:r>
    </w:p>
    <w:p>
      <w:pPr>
        <w:pStyle w:val="Normal"/>
        <w:spacing w:before="0" w:after="120"/>
        <w:rPr/>
      </w:pPr>
      <w:r>
        <w:rPr/>
        <w:t> </w:t>
      </w:r>
      <w:r>
        <w:rPr>
          <w:rFonts w:ascii="Symbol" w:hAnsi="Symbol"/>
        </w:rPr>
        <w:t></w:t>
      </w:r>
      <w:r>
        <w:rPr>
          <w:rFonts w:ascii="Times New Roman" w:hAnsi="Times New Roman"/>
          <w:sz w:val="14"/>
          <w:szCs w:val="14"/>
        </w:rPr>
        <w:t xml:space="preserve">         </w:t>
      </w:r>
      <w:r>
        <w:rPr/>
        <w:t>Direction Attractivité</w:t>
      </w:r>
    </w:p>
    <w:p>
      <w:pPr>
        <w:pStyle w:val="ListParagraph"/>
        <w:ind w:hanging="360" w:left="1068"/>
        <w:rPr/>
      </w:pPr>
      <w:r>
        <w:rPr>
          <w:rFonts w:ascii="Wingdings" w:hAnsi="Wingdings"/>
        </w:rPr>
        <w:t></w:t>
      </w:r>
      <w:r>
        <w:rPr>
          <w:rFonts w:ascii="Times New Roman" w:hAnsi="Times New Roman"/>
          <w:sz w:val="14"/>
          <w:szCs w:val="14"/>
        </w:rPr>
        <w:t xml:space="preserve">  </w:t>
      </w:r>
      <w:r>
        <w:rPr/>
        <w:t>SUAP</w:t>
      </w:r>
    </w:p>
    <w:p>
      <w:pPr>
        <w:pStyle w:val="ListParagraph"/>
        <w:ind w:hanging="360" w:left="1068"/>
        <w:rPr/>
      </w:pPr>
      <w:r>
        <w:rPr>
          <w:rFonts w:ascii="Wingdings" w:hAnsi="Wingdings"/>
        </w:rPr>
        <w:t></w:t>
      </w:r>
      <w:r>
        <w:rPr>
          <w:rFonts w:ascii="Times New Roman" w:hAnsi="Times New Roman"/>
          <w:sz w:val="14"/>
          <w:szCs w:val="14"/>
        </w:rPr>
        <w:t xml:space="preserve">  </w:t>
      </w:r>
      <w:r>
        <w:rPr/>
        <w:t>Economie</w:t>
      </w:r>
    </w:p>
    <w:p>
      <w:pPr>
        <w:pStyle w:val="ListParagraph"/>
        <w:ind w:hanging="360" w:left="1068"/>
        <w:rPr/>
      </w:pPr>
      <w:r>
        <w:rPr>
          <w:rFonts w:ascii="Wingdings" w:hAnsi="Wingdings"/>
        </w:rPr>
        <w:t></w:t>
      </w:r>
      <w:r>
        <w:rPr>
          <w:rFonts w:ascii="Times New Roman" w:hAnsi="Times New Roman"/>
          <w:sz w:val="14"/>
          <w:szCs w:val="14"/>
        </w:rPr>
        <w:t xml:space="preserve">  </w:t>
      </w:r>
      <w:r>
        <w:rPr/>
        <w:t>Office du Tourisme</w:t>
      </w:r>
    </w:p>
    <w:p>
      <w:pPr>
        <w:pStyle w:val="ListParagraph"/>
        <w:numPr>
          <w:ilvl w:val="0"/>
          <w:numId w:val="5"/>
        </w:numPr>
        <w:spacing w:lineRule="auto" w:line="240" w:before="0" w:after="0"/>
        <w:contextualSpacing w:val="false"/>
        <w:rPr/>
      </w:pPr>
      <w:r>
        <w:rPr/>
        <w:t>Culture</w:t>
      </w:r>
    </w:p>
    <w:p>
      <w:pPr>
        <w:pStyle w:val="ListParagraph"/>
        <w:spacing w:lineRule="auto" w:line="240" w:before="0" w:after="0"/>
        <w:ind w:left="1080"/>
        <w:contextualSpacing w:val="false"/>
        <w:rPr/>
      </w:pPr>
      <w:r>
        <w:rPr/>
      </w:r>
    </w:p>
    <w:p>
      <w:pPr>
        <w:pStyle w:val="Normal"/>
        <w:spacing w:before="0" w:after="120"/>
        <w:rPr/>
      </w:pPr>
      <w:r>
        <w:rPr/>
        <w:t> </w:t>
      </w:r>
      <w:r>
        <w:rPr>
          <w:rFonts w:ascii="Symbol" w:hAnsi="Symbol"/>
        </w:rPr>
        <w:t></w:t>
      </w:r>
      <w:r>
        <w:rPr>
          <w:rFonts w:ascii="Times New Roman" w:hAnsi="Times New Roman"/>
          <w:sz w:val="14"/>
          <w:szCs w:val="14"/>
        </w:rPr>
        <w:t xml:space="preserve">         </w:t>
      </w:r>
      <w:r>
        <w:rPr/>
        <w:t>Direction Services technique</w:t>
      </w:r>
    </w:p>
    <w:p>
      <w:pPr>
        <w:pStyle w:val="ListParagraph"/>
        <w:ind w:hanging="360" w:left="1068"/>
        <w:rPr/>
      </w:pPr>
      <w:r>
        <w:rPr>
          <w:rFonts w:ascii="Wingdings" w:hAnsi="Wingdings"/>
        </w:rPr>
        <w:t></w:t>
      </w:r>
      <w:r>
        <w:rPr>
          <w:rFonts w:ascii="Times New Roman" w:hAnsi="Times New Roman"/>
          <w:sz w:val="14"/>
          <w:szCs w:val="14"/>
        </w:rPr>
        <w:t xml:space="preserve">  </w:t>
      </w:r>
      <w:r>
        <w:rPr/>
        <w:t xml:space="preserve">Bâtiment : BE Eclairage public </w:t>
      </w:r>
    </w:p>
    <w:p>
      <w:pPr>
        <w:pStyle w:val="ListParagraph"/>
        <w:ind w:hanging="360" w:left="1068"/>
        <w:rPr/>
      </w:pPr>
      <w:r>
        <w:rPr>
          <w:rFonts w:ascii="Wingdings" w:hAnsi="Wingdings"/>
        </w:rPr>
        <w:t></w:t>
      </w:r>
      <w:r>
        <w:rPr>
          <w:rFonts w:ascii="Times New Roman" w:hAnsi="Times New Roman"/>
          <w:sz w:val="14"/>
          <w:szCs w:val="14"/>
        </w:rPr>
        <w:t xml:space="preserve">  </w:t>
      </w:r>
      <w:r>
        <w:rPr/>
        <w:t xml:space="preserve">Cycle de l’eau </w:t>
      </w:r>
    </w:p>
    <w:p>
      <w:pPr>
        <w:pStyle w:val="ListParagraph"/>
        <w:ind w:hanging="360" w:left="1068"/>
        <w:rPr/>
      </w:pPr>
      <w:r>
        <w:rPr>
          <w:rFonts w:ascii="Wingdings" w:hAnsi="Wingdings"/>
        </w:rPr>
        <w:t></w:t>
      </w:r>
      <w:r>
        <w:rPr>
          <w:rFonts w:ascii="Times New Roman" w:hAnsi="Times New Roman"/>
          <w:sz w:val="14"/>
          <w:szCs w:val="14"/>
        </w:rPr>
        <w:t xml:space="preserve">  </w:t>
      </w:r>
      <w:r>
        <w:rPr/>
        <w:t>DVI</w:t>
      </w:r>
    </w:p>
    <w:p>
      <w:pPr>
        <w:pStyle w:val="ListParagraph"/>
        <w:ind w:hanging="360" w:left="1068"/>
        <w:rPr/>
      </w:pPr>
      <w:r>
        <w:rPr>
          <w:rFonts w:ascii="Wingdings" w:hAnsi="Wingdings"/>
        </w:rPr>
        <w:t></w:t>
      </w:r>
      <w:r>
        <w:rPr>
          <w:rFonts w:ascii="Times New Roman" w:hAnsi="Times New Roman"/>
          <w:sz w:val="14"/>
          <w:szCs w:val="14"/>
        </w:rPr>
        <w:t xml:space="preserve">  </w:t>
      </w:r>
      <w:r>
        <w:rPr/>
        <w:t xml:space="preserve">Espace vert </w:t>
      </w:r>
    </w:p>
    <w:p>
      <w:pPr>
        <w:pStyle w:val="Normal"/>
        <w:spacing w:before="0" w:after="120"/>
        <w:rPr/>
      </w:pPr>
      <w:r>
        <w:rPr/>
        <w:t> </w:t>
      </w:r>
      <w:r>
        <w:rPr>
          <w:rFonts w:ascii="Symbol" w:hAnsi="Symbol"/>
        </w:rPr>
        <w:t></w:t>
      </w:r>
      <w:r>
        <w:rPr>
          <w:rFonts w:ascii="Times New Roman" w:hAnsi="Times New Roman"/>
          <w:sz w:val="14"/>
          <w:szCs w:val="14"/>
        </w:rPr>
        <w:t xml:space="preserve">         </w:t>
      </w:r>
      <w:r>
        <w:rPr/>
        <w:t>Direction Solidarité et action sociale</w:t>
      </w:r>
    </w:p>
    <w:p>
      <w:pPr>
        <w:pStyle w:val="ListParagraph"/>
        <w:ind w:hanging="360" w:left="1068"/>
        <w:rPr/>
      </w:pPr>
      <w:r>
        <w:rPr>
          <w:rFonts w:ascii="Wingdings" w:hAnsi="Wingdings"/>
        </w:rPr>
        <w:t></w:t>
      </w:r>
      <w:r>
        <w:rPr>
          <w:rFonts w:ascii="Times New Roman" w:hAnsi="Times New Roman"/>
          <w:sz w:val="14"/>
          <w:szCs w:val="14"/>
        </w:rPr>
        <w:t xml:space="preserve">  </w:t>
      </w:r>
      <w:r>
        <w:rPr/>
        <w:t>Développement social</w:t>
      </w:r>
    </w:p>
    <w:p>
      <w:pPr>
        <w:pStyle w:val="ListParagraph"/>
        <w:ind w:hanging="360" w:left="1068"/>
        <w:rPr/>
      </w:pPr>
      <w:r>
        <w:rPr>
          <w:rFonts w:ascii="Wingdings" w:hAnsi="Wingdings"/>
        </w:rPr>
        <w:t></w:t>
      </w:r>
      <w:r>
        <w:rPr>
          <w:rFonts w:ascii="Times New Roman" w:hAnsi="Times New Roman"/>
          <w:sz w:val="14"/>
          <w:szCs w:val="14"/>
        </w:rPr>
        <w:t xml:space="preserve">  </w:t>
      </w:r>
      <w:r>
        <w:rPr/>
        <w:t>Habitat</w:t>
      </w:r>
    </w:p>
    <w:p>
      <w:pPr>
        <w:pStyle w:val="Normal"/>
        <w:spacing w:before="0" w:after="120"/>
        <w:rPr/>
      </w:pPr>
      <w:r>
        <w:rPr/>
        <w:t> </w:t>
      </w:r>
      <w:r>
        <w:rPr>
          <w:rFonts w:ascii="Symbol" w:hAnsi="Symbol"/>
        </w:rPr>
        <w:t></w:t>
      </w:r>
      <w:r>
        <w:rPr>
          <w:rFonts w:ascii="Times New Roman" w:hAnsi="Times New Roman"/>
          <w:sz w:val="14"/>
          <w:szCs w:val="14"/>
        </w:rPr>
        <w:t xml:space="preserve">         </w:t>
      </w:r>
      <w:r>
        <w:rPr/>
        <w:t>Direction service à la population</w:t>
      </w:r>
    </w:p>
    <w:p>
      <w:pPr>
        <w:pStyle w:val="ListParagraph"/>
        <w:ind w:hanging="360" w:left="1068"/>
        <w:rPr/>
      </w:pPr>
      <w:r>
        <w:rPr>
          <w:rFonts w:ascii="Wingdings" w:hAnsi="Wingdings"/>
        </w:rPr>
        <w:t></w:t>
      </w:r>
      <w:r>
        <w:rPr>
          <w:rFonts w:ascii="Times New Roman" w:hAnsi="Times New Roman"/>
          <w:sz w:val="14"/>
          <w:szCs w:val="14"/>
        </w:rPr>
        <w:t xml:space="preserve">  </w:t>
      </w:r>
      <w:r>
        <w:rPr/>
        <w:t>Vie civile et citoyenne</w:t>
      </w:r>
    </w:p>
    <w:p>
      <w:pPr>
        <w:pStyle w:val="ListParagraph"/>
        <w:ind w:hanging="360" w:left="1068"/>
        <w:rPr/>
      </w:pPr>
      <w:r>
        <w:rPr>
          <w:rFonts w:ascii="Wingdings" w:hAnsi="Wingdings"/>
        </w:rPr>
        <w:t></w:t>
      </w:r>
      <w:r>
        <w:rPr>
          <w:rFonts w:ascii="Times New Roman" w:hAnsi="Times New Roman"/>
          <w:sz w:val="14"/>
          <w:szCs w:val="14"/>
        </w:rPr>
        <w:t xml:space="preserve">  </w:t>
      </w:r>
      <w:r>
        <w:rPr/>
        <w:t>Vie des quartiers</w:t>
      </w:r>
    </w:p>
    <w:p>
      <w:pPr>
        <w:pStyle w:val="Normal"/>
        <w:jc w:val="both"/>
        <w:rPr>
          <w:u w:val="single"/>
        </w:rPr>
      </w:pPr>
      <w:r>
        <w:rPr>
          <w:u w:val="single"/>
        </w:rPr>
        <w:t xml:space="preserve">Voici la liste des membres pressentis du COPIL </w:t>
      </w:r>
    </w:p>
    <w:p>
      <w:pPr>
        <w:pStyle w:val="ListParagraph"/>
        <w:numPr>
          <w:ilvl w:val="0"/>
          <w:numId w:val="6"/>
        </w:numPr>
        <w:jc w:val="both"/>
        <w:rPr/>
      </w:pPr>
      <w:r>
        <w:rPr/>
        <w:t xml:space="preserve">Elu </w:t>
      </w:r>
      <w:r>
        <w:rPr>
          <w:i/>
          <w:iCs/>
        </w:rPr>
        <w:t>Chargé de l’aménagement – prospectives et patrimoine</w:t>
      </w:r>
    </w:p>
    <w:p>
      <w:pPr>
        <w:pStyle w:val="ListParagraph"/>
        <w:numPr>
          <w:ilvl w:val="0"/>
          <w:numId w:val="6"/>
        </w:numPr>
        <w:jc w:val="both"/>
        <w:rPr/>
      </w:pPr>
      <w:r>
        <w:rPr/>
        <w:t xml:space="preserve">Elue </w:t>
      </w:r>
      <w:r>
        <w:rPr>
          <w:i/>
          <w:iCs/>
        </w:rPr>
        <w:t>Chargée du développement durable, de l’environnement, des réseaux publics et des parcs et jardins</w:t>
      </w:r>
    </w:p>
    <w:p>
      <w:pPr>
        <w:pStyle w:val="ListParagraph"/>
        <w:numPr>
          <w:ilvl w:val="0"/>
          <w:numId w:val="6"/>
        </w:numPr>
        <w:jc w:val="both"/>
        <w:rPr>
          <w:i/>
          <w:i/>
          <w:iCs/>
        </w:rPr>
      </w:pPr>
      <w:r>
        <w:rPr/>
        <w:t xml:space="preserve">Elu </w:t>
      </w:r>
      <w:r>
        <w:rPr>
          <w:i/>
          <w:iCs/>
        </w:rPr>
        <w:t>Chargé de la voirie, des espaces publics, du stationnement et des déplacements doux.</w:t>
      </w:r>
    </w:p>
    <w:p>
      <w:pPr>
        <w:pStyle w:val="ListParagraph"/>
        <w:numPr>
          <w:ilvl w:val="0"/>
          <w:numId w:val="6"/>
        </w:numPr>
        <w:jc w:val="both"/>
        <w:rPr/>
      </w:pPr>
      <w:r>
        <w:rPr>
          <w:i/>
          <w:iCs/>
        </w:rPr>
        <w:t xml:space="preserve">Le DGS </w:t>
      </w:r>
    </w:p>
    <w:p>
      <w:pPr>
        <w:pStyle w:val="ListParagraph"/>
        <w:numPr>
          <w:ilvl w:val="0"/>
          <w:numId w:val="6"/>
        </w:numPr>
        <w:jc w:val="both"/>
        <w:rPr/>
      </w:pPr>
      <w:r>
        <w:rPr>
          <w:i/>
          <w:iCs/>
        </w:rPr>
        <w:t>Les 5 DGA</w:t>
      </w:r>
    </w:p>
    <w:p>
      <w:pPr>
        <w:pStyle w:val="ListParagraph"/>
        <w:spacing w:before="0" w:after="200"/>
        <w:contextualSpacing/>
        <w:jc w:val="both"/>
        <w:rPr/>
      </w:pPr>
      <w:r>
        <w:rPr/>
      </w:r>
    </w:p>
    <w:sectPr>
      <w:footerReference w:type="even" r:id="rId5"/>
      <w:footerReference w:type="default" r:id="rId6"/>
      <w:footerReference w:type="first" r:id="rId7"/>
      <w:type w:val="nextPage"/>
      <w:pgSz w:w="11906" w:h="16838"/>
      <w:pgMar w:left="1417" w:right="1417" w:gutter="0" w:header="0" w:top="1417" w:footer="708" w:bottom="113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Black">
    <w:charset w:val="00"/>
    <w:family w:val="roman"/>
    <w:pitch w:val="variable"/>
  </w:font>
  <w:font w:name="Helvetica-Bold">
    <w:charset w:val="00"/>
    <w:family w:val="roman"/>
    <w:pitch w:val="variable"/>
  </w:font>
  <w:font w:name="Courier">
    <w:altName w:val="Courier New"/>
    <w:charset w:val="00"/>
    <w:family w:val="roman"/>
    <w:pitch w:val="variable"/>
  </w:font>
  <w:font w:name="Symbo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8825"/>
      <w:gridCol w:w="246"/>
    </w:tblGrid>
    <w:tr>
      <w:trPr/>
      <w:tc>
        <w:tcPr>
          <w:tcW w:w="8825" w:type="dxa"/>
          <w:tcBorders>
            <w:top w:val="single" w:sz="18" w:space="0" w:color="808080"/>
            <w:right w:val="single" w:sz="18" w:space="0" w:color="808080"/>
          </w:tcBorders>
        </w:tcPr>
        <w:p>
          <w:pPr>
            <w:pStyle w:val="Footer"/>
            <w:jc w:val="right"/>
            <w:rPr>
              <w:bCs/>
              <w:color w:themeColor="accent1" w:val="4F81BD"/>
              <w:sz w:val="32"/>
              <w:szCs w:val="32"/>
              <w14:numForm w14:val="oldStyle"/>
            </w:rPr>
          </w:pPr>
          <w:r>
            <w:rPr>
              <w:bCs/>
              <w:color w:themeColor="accent1" w:val="4F81BD"/>
              <w:sz w:val="32"/>
              <w:szCs w:val="32"/>
              <w14:numForm w14:val="oldStyle"/>
            </w:rPr>
          </w:r>
        </w:p>
      </w:tc>
      <w:tc>
        <w:tcPr>
          <w:tcW w:w="246" w:type="dxa"/>
          <w:tcBorders>
            <w:top w:val="single" w:sz="18" w:space="0" w:color="808080"/>
            <w:left w:val="single" w:sz="18" w:space="0" w:color="808080"/>
          </w:tcBorders>
        </w:tcPr>
        <w:p>
          <w:pPr>
            <w:pStyle w:val="Footer"/>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8825"/>
      <w:gridCol w:w="246"/>
    </w:tblGrid>
    <w:tr>
      <w:trPr/>
      <w:tc>
        <w:tcPr>
          <w:tcW w:w="8825" w:type="dxa"/>
          <w:tcBorders>
            <w:top w:val="single" w:sz="18" w:space="0" w:color="808080"/>
            <w:right w:val="single" w:sz="18" w:space="0" w:color="808080"/>
          </w:tcBorders>
        </w:tcPr>
        <w:p>
          <w:pPr>
            <w:pStyle w:val="Footer"/>
            <w:jc w:val="right"/>
            <w:rPr>
              <w:bCs/>
              <w:color w:themeColor="accent1" w:val="4F81BD"/>
              <w:sz w:val="32"/>
              <w:szCs w:val="32"/>
              <w14:numForm w14:val="oldStyle"/>
            </w:rPr>
          </w:pPr>
          <w:r>
            <w:rPr>
              <w:bCs/>
              <w:color w:themeColor="accent1" w:val="4F81BD"/>
              <w:sz w:val="32"/>
              <w:szCs w:val="32"/>
              <w14:numForm w14:val="oldStyle"/>
            </w:rPr>
          </w:r>
        </w:p>
      </w:tc>
      <w:tc>
        <w:tcPr>
          <w:tcW w:w="246" w:type="dxa"/>
          <w:tcBorders>
            <w:top w:val="single" w:sz="18" w:space="0" w:color="808080"/>
            <w:left w:val="single" w:sz="18" w:space="0" w:color="808080"/>
          </w:tcBorders>
        </w:tcPr>
        <w:p>
          <w:pPr>
            <w:pStyle w:val="Footer"/>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2" wp14:anchorId="3E99DD5D">
              <wp:simplePos x="0" y="0"/>
              <wp:positionH relativeFrom="rightMargin">
                <wp:align>center</wp:align>
              </wp:positionH>
              <wp:positionV relativeFrom="bottomMargin">
                <wp:align>top</wp:align>
              </wp:positionV>
              <wp:extent cx="546100" cy="273050"/>
              <wp:effectExtent l="0" t="0" r="0" b="0"/>
              <wp:wrapNone/>
              <wp:docPr id="1" name="Rectangle 11"/>
              <a:graphic xmlns:a="http://schemas.openxmlformats.org/drawingml/2006/main">
                <a:graphicData uri="http://schemas.microsoft.com/office/word/2010/wordprocessingShape">
                  <wps:wsp>
                    <wps:cNvSpPr/>
                    <wps:spPr>
                      <a:xfrm>
                        <a:off x="0" y="0"/>
                        <a:ext cx="546120" cy="272880"/>
                      </a:xfrm>
                      <a:prstGeom prst="rect">
                        <a:avLst/>
                      </a:prstGeom>
                      <a:solidFill>
                        <a:srgbClr val="ffffff"/>
                      </a:solidFill>
                      <a:ln w="0">
                        <a:noFill/>
                      </a:ln>
                    </wps:spPr>
                    <wps:style>
                      <a:lnRef idx="0"/>
                      <a:fillRef idx="0"/>
                      <a:effectRef idx="0"/>
                      <a:fontRef idx="minor"/>
                    </wps:style>
                    <wps:txbx>
                      <w:txbxContent>
                        <w:p>
                          <w:pPr>
                            <w:pStyle w:val="Contenudecadre"/>
                            <w:spacing w:before="0" w:after="200"/>
                            <w:jc w:val="center"/>
                            <w:rPr>
                              <w:rFonts w:ascii="Cambria" w:hAnsi="Cambria" w:eastAsia="" w:cs="" w:asciiTheme="majorHAnsi" w:cstheme="majorBidi" w:eastAsiaTheme="majorEastAsia" w:hAnsiTheme="majorHAnsi"/>
                              <w:sz w:val="28"/>
                              <w:szCs w:val="48"/>
                            </w:rPr>
                          </w:pPr>
                          <w:sdt>
                            <w:sdtPr>
                              <w:id w:val="-1102874984"/>
                            </w:sdtPr>
                            <w:sdtContent>
                              <w:r>
                                <w:rPr>
                                  <w:rFonts w:eastAsia="" w:cs="" w:ascii="Cambria" w:hAnsi="Cambria"/>
                                  <w:sz w:val="28"/>
                                  <w:szCs w:val="48"/>
                                </w:rPr>
                              </w:r>
                              <w:r>
                                <w:rPr>
                                  <w:rFonts w:eastAsia="" w:cs="" w:ascii="Cambria" w:hAnsi="Cambria"/>
                                  <w:sz w:val="28"/>
                                  <w:szCs w:val="48"/>
                                </w:rPr>
                                <w:fldChar w:fldCharType="begin"/>
                              </w:r>
                              <w:r>
                                <w:rPr>
                                  <w:sz w:val="28"/>
                                  <w:szCs w:val="48"/>
                                  <w:rFonts w:eastAsia="" w:cs="" w:ascii="Cambria" w:hAnsi="Cambria"/>
                                </w:rPr>
                                <w:instrText xml:space="preserve"> PAGE </w:instrText>
                              </w:r>
                              <w:r>
                                <w:rPr>
                                  <w:sz w:val="28"/>
                                  <w:szCs w:val="48"/>
                                  <w:rFonts w:eastAsia="" w:cs="" w:ascii="Cambria" w:hAnsi="Cambria"/>
                                </w:rPr>
                                <w:fldChar w:fldCharType="separate"/>
                              </w:r>
                              <w:r>
                                <w:rPr>
                                  <w:sz w:val="28"/>
                                  <w:szCs w:val="48"/>
                                  <w:rFonts w:eastAsia="" w:cs="" w:ascii="Cambria" w:hAnsi="Cambria"/>
                                </w:rPr>
                                <w:t>6</w:t>
                              </w:r>
                              <w:r>
                                <w:rPr>
                                  <w:sz w:val="28"/>
                                  <w:szCs w:val="48"/>
                                  <w:rFonts w:eastAsia="" w:cs="" w:ascii="Cambria" w:hAnsi="Cambria"/>
                                </w:rPr>
                                <w:fldChar w:fldCharType="end"/>
                              </w:r>
                              <w:r>
                                <w:rPr>
                                  <w:rFonts w:eastAsia="" w:cs="" w:ascii="Cambria" w:hAnsi="Cambria"/>
                                  <w:sz w:val="28"/>
                                  <w:szCs w:val="48"/>
                                </w:rPr>
                              </w:r>
                            </w:sdtContent>
                          </w:sdt>
                        </w:p>
                      </w:txbxContent>
                    </wps:txbx>
                    <wps:bodyPr anchor="t" upright="1">
                      <a:noAutofit/>
                    </wps:bodyPr>
                  </wps:wsp>
                </a:graphicData>
              </a:graphic>
            </wp:anchor>
          </w:drawing>
        </mc:Choice>
        <mc:Fallback>
          <w:pict>
            <v:rect id="shape_0" ID="Rectangle 11" path="m0,0l-2147483645,0l-2147483645,-2147483646l0,-2147483646xe" fillcolor="white" stroked="f" o:allowincell="f" style="position:absolute;margin-left:13.9pt;margin-top:0pt;width:42.95pt;height:21.45pt;mso-wrap-style:square;v-text-anchor:top;mso-position-horizontal:center;mso-position-horizontal-relative:page;mso-position-vertical:top" wp14:anchorId="3E99DD5D">
              <v:fill o:detectmouseclick="t" type="solid" color2="black"/>
              <v:stroke color="#3465a4" joinstyle="round" endcap="flat"/>
              <v:textbox>
                <w:txbxContent>
                  <w:p>
                    <w:pPr>
                      <w:pStyle w:val="Contenudecadre"/>
                      <w:spacing w:before="0" w:after="200"/>
                      <w:jc w:val="center"/>
                      <w:rPr>
                        <w:rFonts w:ascii="Cambria" w:hAnsi="Cambria" w:eastAsia="" w:cs="" w:asciiTheme="majorHAnsi" w:cstheme="majorBidi" w:eastAsiaTheme="majorEastAsia" w:hAnsiTheme="majorHAnsi"/>
                        <w:sz w:val="28"/>
                        <w:szCs w:val="48"/>
                      </w:rPr>
                    </w:pPr>
                    <w:sdt>
                      <w:sdtPr>
                        <w:id w:val="-1102874984"/>
                      </w:sdtPr>
                      <w:sdtContent>
                        <w:r>
                          <w:rPr>
                            <w:rFonts w:eastAsia="" w:cs="" w:ascii="Cambria" w:hAnsi="Cambria"/>
                            <w:sz w:val="28"/>
                            <w:szCs w:val="48"/>
                          </w:rPr>
                        </w:r>
                        <w:r>
                          <w:rPr>
                            <w:rFonts w:eastAsia="" w:cs="" w:ascii="Cambria" w:hAnsi="Cambria"/>
                            <w:sz w:val="28"/>
                            <w:szCs w:val="48"/>
                          </w:rPr>
                          <w:fldChar w:fldCharType="begin"/>
                        </w:r>
                        <w:r>
                          <w:rPr>
                            <w:sz w:val="28"/>
                            <w:szCs w:val="48"/>
                            <w:rFonts w:eastAsia="" w:cs="" w:ascii="Cambria" w:hAnsi="Cambria"/>
                          </w:rPr>
                          <w:instrText xml:space="preserve"> PAGE </w:instrText>
                        </w:r>
                        <w:r>
                          <w:rPr>
                            <w:sz w:val="28"/>
                            <w:szCs w:val="48"/>
                            <w:rFonts w:eastAsia="" w:cs="" w:ascii="Cambria" w:hAnsi="Cambria"/>
                          </w:rPr>
                          <w:fldChar w:fldCharType="separate"/>
                        </w:r>
                        <w:r>
                          <w:rPr>
                            <w:sz w:val="28"/>
                            <w:szCs w:val="48"/>
                            <w:rFonts w:eastAsia="" w:cs="" w:ascii="Cambria" w:hAnsi="Cambria"/>
                          </w:rPr>
                          <w:t>6</w:t>
                        </w:r>
                        <w:r>
                          <w:rPr>
                            <w:sz w:val="28"/>
                            <w:szCs w:val="48"/>
                            <w:rFonts w:eastAsia="" w:cs="" w:ascii="Cambria" w:hAnsi="Cambria"/>
                          </w:rPr>
                          <w:fldChar w:fldCharType="end"/>
                        </w:r>
                        <w:r>
                          <w:rPr>
                            <w:rFonts w:eastAsia="" w:cs="" w:ascii="Cambria" w:hAnsi="Cambria"/>
                            <w:sz w:val="28"/>
                            <w:szCs w:val="48"/>
                          </w:rPr>
                        </w:r>
                      </w:sdtContent>
                    </w:sdt>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2" wp14:anchorId="3E99DD5D">
              <wp:simplePos x="0" y="0"/>
              <wp:positionH relativeFrom="rightMargin">
                <wp:align>center</wp:align>
              </wp:positionH>
              <wp:positionV relativeFrom="bottomMargin">
                <wp:align>top</wp:align>
              </wp:positionV>
              <wp:extent cx="546100" cy="273050"/>
              <wp:effectExtent l="0" t="0" r="0" b="0"/>
              <wp:wrapNone/>
              <wp:docPr id="2" name="Rectangle 11"/>
              <a:graphic xmlns:a="http://schemas.openxmlformats.org/drawingml/2006/main">
                <a:graphicData uri="http://schemas.microsoft.com/office/word/2010/wordprocessingShape">
                  <wps:wsp>
                    <wps:cNvSpPr/>
                    <wps:spPr>
                      <a:xfrm>
                        <a:off x="0" y="0"/>
                        <a:ext cx="546120" cy="272880"/>
                      </a:xfrm>
                      <a:prstGeom prst="rect">
                        <a:avLst/>
                      </a:prstGeom>
                      <a:solidFill>
                        <a:srgbClr val="ffffff"/>
                      </a:solidFill>
                      <a:ln w="0">
                        <a:noFill/>
                      </a:ln>
                    </wps:spPr>
                    <wps:style>
                      <a:lnRef idx="0"/>
                      <a:fillRef idx="0"/>
                      <a:effectRef idx="0"/>
                      <a:fontRef idx="minor"/>
                    </wps:style>
                    <wps:txbx>
                      <w:txbxContent>
                        <w:p>
                          <w:pPr>
                            <w:pStyle w:val="Contenudecadre"/>
                            <w:spacing w:before="0" w:after="200"/>
                            <w:jc w:val="center"/>
                            <w:rPr>
                              <w:rFonts w:ascii="Cambria" w:hAnsi="Cambria" w:eastAsia="" w:cs="" w:asciiTheme="majorHAnsi" w:cstheme="majorBidi" w:eastAsiaTheme="majorEastAsia" w:hAnsiTheme="majorHAnsi"/>
                              <w:sz w:val="28"/>
                              <w:szCs w:val="48"/>
                            </w:rPr>
                          </w:pPr>
                          <w:sdt>
                            <w:sdtPr>
                              <w:id w:val="-1102874984"/>
                            </w:sdtPr>
                            <w:sdtContent>
                              <w:r>
                                <w:rPr>
                                  <w:rFonts w:eastAsia="" w:cs="" w:ascii="Cambria" w:hAnsi="Cambria"/>
                                  <w:sz w:val="28"/>
                                  <w:szCs w:val="48"/>
                                </w:rPr>
                              </w:r>
                              <w:r>
                                <w:rPr>
                                  <w:rFonts w:eastAsia="" w:cs="" w:ascii="Cambria" w:hAnsi="Cambria"/>
                                  <w:sz w:val="28"/>
                                  <w:szCs w:val="48"/>
                                </w:rPr>
                                <w:fldChar w:fldCharType="begin"/>
                              </w:r>
                              <w:r>
                                <w:rPr>
                                  <w:sz w:val="28"/>
                                  <w:szCs w:val="48"/>
                                  <w:rFonts w:eastAsia="" w:cs="" w:ascii="Cambria" w:hAnsi="Cambria"/>
                                </w:rPr>
                                <w:instrText xml:space="preserve"> PAGE </w:instrText>
                              </w:r>
                              <w:r>
                                <w:rPr>
                                  <w:sz w:val="28"/>
                                  <w:szCs w:val="48"/>
                                  <w:rFonts w:eastAsia="" w:cs="" w:ascii="Cambria" w:hAnsi="Cambria"/>
                                </w:rPr>
                                <w:fldChar w:fldCharType="separate"/>
                              </w:r>
                              <w:r>
                                <w:rPr>
                                  <w:sz w:val="28"/>
                                  <w:szCs w:val="48"/>
                                  <w:rFonts w:eastAsia="" w:cs="" w:ascii="Cambria" w:hAnsi="Cambria"/>
                                </w:rPr>
                                <w:t>6</w:t>
                              </w:r>
                              <w:r>
                                <w:rPr>
                                  <w:sz w:val="28"/>
                                  <w:szCs w:val="48"/>
                                  <w:rFonts w:eastAsia="" w:cs="" w:ascii="Cambria" w:hAnsi="Cambria"/>
                                </w:rPr>
                                <w:fldChar w:fldCharType="end"/>
                              </w:r>
                              <w:r>
                                <w:rPr>
                                  <w:rFonts w:eastAsia="" w:cs="" w:ascii="Cambria" w:hAnsi="Cambria"/>
                                  <w:sz w:val="28"/>
                                  <w:szCs w:val="48"/>
                                </w:rPr>
                              </w:r>
                            </w:sdtContent>
                          </w:sdt>
                        </w:p>
                      </w:txbxContent>
                    </wps:txbx>
                    <wps:bodyPr anchor="t" upright="1">
                      <a:noAutofit/>
                    </wps:bodyPr>
                  </wps:wsp>
                </a:graphicData>
              </a:graphic>
            </wp:anchor>
          </w:drawing>
        </mc:Choice>
        <mc:Fallback>
          <w:pict>
            <v:rect id="shape_0" ID="Rectangle 11" path="m0,0l-2147483645,0l-2147483645,-2147483646l0,-2147483646xe" fillcolor="white" stroked="f" o:allowincell="f" style="position:absolute;margin-left:13.9pt;margin-top:0pt;width:42.95pt;height:21.45pt;mso-wrap-style:square;v-text-anchor:top;mso-position-horizontal:center;mso-position-horizontal-relative:page;mso-position-vertical:top" wp14:anchorId="3E99DD5D">
              <v:fill o:detectmouseclick="t" type="solid" color2="black"/>
              <v:stroke color="#3465a4" joinstyle="round" endcap="flat"/>
              <v:textbox>
                <w:txbxContent>
                  <w:p>
                    <w:pPr>
                      <w:pStyle w:val="Contenudecadre"/>
                      <w:spacing w:before="0" w:after="200"/>
                      <w:jc w:val="center"/>
                      <w:rPr>
                        <w:rFonts w:ascii="Cambria" w:hAnsi="Cambria" w:eastAsia="" w:cs="" w:asciiTheme="majorHAnsi" w:cstheme="majorBidi" w:eastAsiaTheme="majorEastAsia" w:hAnsiTheme="majorHAnsi"/>
                        <w:sz w:val="28"/>
                        <w:szCs w:val="48"/>
                      </w:rPr>
                    </w:pPr>
                    <w:sdt>
                      <w:sdtPr>
                        <w:id w:val="-1102874984"/>
                      </w:sdtPr>
                      <w:sdtContent>
                        <w:r>
                          <w:rPr>
                            <w:rFonts w:eastAsia="" w:cs="" w:ascii="Cambria" w:hAnsi="Cambria"/>
                            <w:sz w:val="28"/>
                            <w:szCs w:val="48"/>
                          </w:rPr>
                        </w:r>
                        <w:r>
                          <w:rPr>
                            <w:rFonts w:eastAsia="" w:cs="" w:ascii="Cambria" w:hAnsi="Cambria"/>
                            <w:sz w:val="28"/>
                            <w:szCs w:val="48"/>
                          </w:rPr>
                          <w:fldChar w:fldCharType="begin"/>
                        </w:r>
                        <w:r>
                          <w:rPr>
                            <w:sz w:val="28"/>
                            <w:szCs w:val="48"/>
                            <w:rFonts w:eastAsia="" w:cs="" w:ascii="Cambria" w:hAnsi="Cambria"/>
                          </w:rPr>
                          <w:instrText xml:space="preserve"> PAGE </w:instrText>
                        </w:r>
                        <w:r>
                          <w:rPr>
                            <w:sz w:val="28"/>
                            <w:szCs w:val="48"/>
                            <w:rFonts w:eastAsia="" w:cs="" w:ascii="Cambria" w:hAnsi="Cambria"/>
                          </w:rPr>
                          <w:fldChar w:fldCharType="separate"/>
                        </w:r>
                        <w:r>
                          <w:rPr>
                            <w:sz w:val="28"/>
                            <w:szCs w:val="48"/>
                            <w:rFonts w:eastAsia="" w:cs="" w:ascii="Cambria" w:hAnsi="Cambria"/>
                          </w:rPr>
                          <w:t>6</w:t>
                        </w:r>
                        <w:r>
                          <w:rPr>
                            <w:sz w:val="28"/>
                            <w:szCs w:val="48"/>
                            <w:rFonts w:eastAsia="" w:cs="" w:ascii="Cambria" w:hAnsi="Cambria"/>
                          </w:rPr>
                          <w:fldChar w:fldCharType="end"/>
                        </w:r>
                        <w:r>
                          <w:rPr>
                            <w:rFonts w:eastAsia="" w:cs="" w:ascii="Cambria" w:hAnsi="Cambria"/>
                            <w:sz w:val="28"/>
                            <w:szCs w:val="48"/>
                          </w:rPr>
                        </w:r>
                      </w:sdtContent>
                    </w:sdt>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Batang" w:cs="" w:asciiTheme="minorHAnsi" w:cstheme="minorBid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Batang" w:cs="" w:asciiTheme="minorHAnsi" w:cstheme="minorBid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580c8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b86722"/>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c07cf9"/>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636caf"/>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unhideWhenUsed/>
    <w:qFormat/>
    <w:rsid w:val="00c243b3"/>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unhideWhenUsed/>
    <w:qFormat/>
    <w:rsid w:val="00c243b3"/>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unhideWhenUsed/>
    <w:qFormat/>
    <w:rsid w:val="00c243b3"/>
    <w:pPr>
      <w:keepNext w:val="true"/>
      <w:keepLines/>
      <w:spacing w:before="200" w:after="0"/>
      <w:outlineLvl w:val="6"/>
    </w:pPr>
    <w:rPr>
      <w:rFonts w:ascii="Cambria" w:hAnsi="Cambria" w:eastAsia="" w:cs=""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4b2810"/>
    <w:rPr>
      <w:rFonts w:ascii="Tahoma" w:hAnsi="Tahoma" w:cs="Tahoma"/>
      <w:sz w:val="16"/>
      <w:szCs w:val="16"/>
    </w:rPr>
  </w:style>
  <w:style w:type="character" w:styleId="Titre1Car" w:customStyle="1">
    <w:name w:val="Titre 1 Car"/>
    <w:basedOn w:val="DefaultParagraphFont"/>
    <w:uiPriority w:val="9"/>
    <w:qFormat/>
    <w:rsid w:val="00580c8a"/>
    <w:rPr>
      <w:rFonts w:ascii="Cambria" w:hAnsi="Cambria" w:eastAsia="" w:cs="" w:asciiTheme="majorHAnsi" w:cstheme="majorBidi" w:eastAsiaTheme="majorEastAsia" w:hAnsiTheme="majorHAnsi"/>
      <w:b/>
      <w:bCs/>
      <w:color w:themeColor="accent1" w:themeShade="bf" w:val="365F91"/>
      <w:sz w:val="28"/>
      <w:szCs w:val="28"/>
    </w:rPr>
  </w:style>
  <w:style w:type="character" w:styleId="En-tteCar" w:customStyle="1">
    <w:name w:val="En-tête Car"/>
    <w:basedOn w:val="DefaultParagraphFont"/>
    <w:uiPriority w:val="99"/>
    <w:qFormat/>
    <w:rsid w:val="00580c8a"/>
    <w:rPr/>
  </w:style>
  <w:style w:type="character" w:styleId="PieddepageCar" w:customStyle="1">
    <w:name w:val="Pied de page Car"/>
    <w:basedOn w:val="DefaultParagraphFont"/>
    <w:uiPriority w:val="99"/>
    <w:qFormat/>
    <w:rsid w:val="00580c8a"/>
    <w:rPr/>
  </w:style>
  <w:style w:type="character" w:styleId="Titre2Car" w:customStyle="1">
    <w:name w:val="Titre 2 Car"/>
    <w:basedOn w:val="DefaultParagraphFont"/>
    <w:uiPriority w:val="9"/>
    <w:qFormat/>
    <w:rsid w:val="00b86722"/>
    <w:rPr>
      <w:rFonts w:ascii="Cambria" w:hAnsi="Cambria" w:eastAsia=""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uiPriority w:val="9"/>
    <w:qFormat/>
    <w:rsid w:val="00c07cf9"/>
    <w:rPr>
      <w:rFonts w:ascii="Cambria" w:hAnsi="Cambria" w:eastAsia="" w:cs="" w:asciiTheme="majorHAnsi" w:cstheme="majorBidi" w:eastAsiaTheme="majorEastAsia" w:hAnsiTheme="majorHAnsi"/>
      <w:b/>
      <w:bCs/>
      <w:color w:themeColor="accent1" w:val="4F81BD"/>
    </w:rPr>
  </w:style>
  <w:style w:type="character" w:styleId="Titre4Car" w:customStyle="1">
    <w:name w:val="Titre 4 Car"/>
    <w:basedOn w:val="DefaultParagraphFont"/>
    <w:uiPriority w:val="9"/>
    <w:semiHidden/>
    <w:qFormat/>
    <w:rsid w:val="00636caf"/>
    <w:rPr>
      <w:rFonts w:ascii="Cambria" w:hAnsi="Cambria" w:eastAsia="" w:cs="" w:asciiTheme="majorHAnsi" w:cstheme="majorBidi" w:eastAsiaTheme="majorEastAsia" w:hAnsiTheme="majorHAnsi"/>
      <w:b/>
      <w:bCs/>
      <w:i/>
      <w:iCs/>
      <w:color w:themeColor="accent1" w:val="4F81BD"/>
    </w:rPr>
  </w:style>
  <w:style w:type="character" w:styleId="NotedebasdepageCar" w:customStyle="1">
    <w:name w:val="Note de bas de page Car"/>
    <w:basedOn w:val="DefaultParagraphFont"/>
    <w:semiHidden/>
    <w:qFormat/>
    <w:rsid w:val="00636caf"/>
    <w:rPr>
      <w:rFonts w:ascii="Times New Roman" w:hAnsi="Times New Roman" w:eastAsia="Times New Roman" w:cs="Times New Roman"/>
      <w:sz w:val="20"/>
      <w:szCs w:val="20"/>
      <w:lang w:eastAsia="fr-FR"/>
    </w:rPr>
  </w:style>
  <w:style w:type="character" w:styleId="Annotationreference">
    <w:name w:val="annotation reference"/>
    <w:semiHidden/>
    <w:qFormat/>
    <w:rsid w:val="00636caf"/>
    <w:rPr>
      <w:sz w:val="16"/>
      <w:szCs w:val="16"/>
    </w:rPr>
  </w:style>
  <w:style w:type="character" w:styleId="CommentaireCar" w:customStyle="1">
    <w:name w:val="Commentaire Car"/>
    <w:basedOn w:val="DefaultParagraphFont"/>
    <w:link w:val="Annotationtext"/>
    <w:semiHidden/>
    <w:qFormat/>
    <w:rsid w:val="00636caf"/>
    <w:rPr>
      <w:rFonts w:ascii="Times New Roman" w:hAnsi="Times New Roman" w:eastAsia="Times New Roman" w:cs="Times New Roman"/>
      <w:sz w:val="20"/>
      <w:szCs w:val="20"/>
      <w:lang w:eastAsia="fr-FR"/>
    </w:rPr>
  </w:style>
  <w:style w:type="character" w:styleId="Corpsdetexte2Car" w:customStyle="1">
    <w:name w:val="Corps de texte 2 Car"/>
    <w:basedOn w:val="DefaultParagraphFont"/>
    <w:link w:val="BodyText2"/>
    <w:semiHidden/>
    <w:qFormat/>
    <w:rsid w:val="00636caf"/>
    <w:rPr>
      <w:rFonts w:ascii="Arial" w:hAnsi="Arial" w:eastAsia="Times New Roman" w:cs="Arial"/>
      <w:szCs w:val="24"/>
      <w:lang w:eastAsia="fr-FR"/>
    </w:rPr>
  </w:style>
  <w:style w:type="character" w:styleId="Titre5Car" w:customStyle="1">
    <w:name w:val="Titre 5 Car"/>
    <w:basedOn w:val="DefaultParagraphFont"/>
    <w:uiPriority w:val="9"/>
    <w:qFormat/>
    <w:rsid w:val="00c243b3"/>
    <w:rPr>
      <w:rFonts w:ascii="Cambria" w:hAnsi="Cambria" w:eastAsia="" w:cs="" w:asciiTheme="majorHAnsi" w:cstheme="majorBidi" w:eastAsiaTheme="majorEastAsia" w:hAnsiTheme="majorHAnsi"/>
      <w:color w:themeColor="accent1" w:themeShade="7f" w:val="243F60"/>
    </w:rPr>
  </w:style>
  <w:style w:type="character" w:styleId="Titre6Car" w:customStyle="1">
    <w:name w:val="Titre 6 Car"/>
    <w:basedOn w:val="DefaultParagraphFont"/>
    <w:uiPriority w:val="9"/>
    <w:qFormat/>
    <w:rsid w:val="00c243b3"/>
    <w:rPr>
      <w:rFonts w:ascii="Cambria" w:hAnsi="Cambria" w:eastAsia="" w:cs="" w:asciiTheme="majorHAnsi" w:cstheme="majorBidi" w:eastAsiaTheme="majorEastAsia" w:hAnsiTheme="majorHAnsi"/>
      <w:i/>
      <w:iCs/>
      <w:color w:themeColor="accent1" w:themeShade="7f" w:val="243F60"/>
    </w:rPr>
  </w:style>
  <w:style w:type="character" w:styleId="Titre7Car" w:customStyle="1">
    <w:name w:val="Titre 7 Car"/>
    <w:basedOn w:val="DefaultParagraphFont"/>
    <w:uiPriority w:val="9"/>
    <w:qFormat/>
    <w:rsid w:val="00c243b3"/>
    <w:rPr>
      <w:rFonts w:ascii="Cambria" w:hAnsi="Cambria" w:eastAsia="" w:cs="" w:asciiTheme="majorHAnsi" w:cstheme="majorBidi" w:eastAsiaTheme="majorEastAsia" w:hAnsiTheme="majorHAnsi"/>
      <w:i/>
      <w:iCs/>
      <w:color w:themeColor="text1" w:themeTint="bf" w:val="404040"/>
    </w:rPr>
  </w:style>
  <w:style w:type="character" w:styleId="TitreCar" w:customStyle="1">
    <w:name w:val="Titre Car"/>
    <w:basedOn w:val="DefaultParagraphFont"/>
    <w:uiPriority w:val="10"/>
    <w:qFormat/>
    <w:rsid w:val="00c243b3"/>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CorpsdetexteCar" w:customStyle="1">
    <w:name w:val="Corps de texte Car"/>
    <w:basedOn w:val="DefaultParagraphFont"/>
    <w:uiPriority w:val="99"/>
    <w:qFormat/>
    <w:rsid w:val="00c243b3"/>
    <w:rPr/>
  </w:style>
  <w:style w:type="character" w:styleId="Sous-titreCar" w:customStyle="1">
    <w:name w:val="Sous-titre Car"/>
    <w:basedOn w:val="DefaultParagraphFont"/>
    <w:uiPriority w:val="11"/>
    <w:qFormat/>
    <w:rsid w:val="00c243b3"/>
    <w:rPr>
      <w:rFonts w:ascii="Cambria" w:hAnsi="Cambria" w:eastAsia="" w:cs="" w:asciiTheme="majorHAnsi" w:cstheme="majorBidi" w:eastAsiaTheme="majorEastAsia" w:hAnsiTheme="majorHAnsi"/>
      <w:i/>
      <w:iCs/>
      <w:color w:themeColor="accent1" w:val="4F81BD"/>
      <w:spacing w:val="15"/>
      <w:sz w:val="24"/>
      <w:szCs w:val="24"/>
    </w:rPr>
  </w:style>
  <w:style w:type="character" w:styleId="RetraitcorpsdetexteCar" w:customStyle="1">
    <w:name w:val="Retrait corps de texte Car"/>
    <w:basedOn w:val="DefaultParagraphFont"/>
    <w:uiPriority w:val="99"/>
    <w:semiHidden/>
    <w:qFormat/>
    <w:rsid w:val="00c243b3"/>
    <w:rPr/>
  </w:style>
  <w:style w:type="character" w:styleId="Retraitcorpset1religCar" w:customStyle="1">
    <w:name w:val="Retrait corps et 1re lig. Car"/>
    <w:basedOn w:val="RetraitcorpsdetexteCar"/>
    <w:link w:val="BodyTextFirstIndent2"/>
    <w:uiPriority w:val="99"/>
    <w:qFormat/>
    <w:rsid w:val="00c243b3"/>
    <w:rPr/>
  </w:style>
  <w:style w:type="character" w:styleId="Emphasis">
    <w:name w:val="Emphasis"/>
    <w:basedOn w:val="DefaultParagraphFont"/>
    <w:uiPriority w:val="20"/>
    <w:qFormat/>
    <w:rsid w:val="003f65ae"/>
    <w:rPr>
      <w:i/>
      <w:i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uiPriority w:val="99"/>
    <w:unhideWhenUsed/>
    <w:rsid w:val="00c243b3"/>
    <w:pPr>
      <w:spacing w:before="0" w:after="120"/>
    </w:pPr>
    <w:rPr/>
  </w:style>
  <w:style w:type="paragraph" w:styleId="List">
    <w:name w:val="List"/>
    <w:basedOn w:val="Normal"/>
    <w:uiPriority w:val="99"/>
    <w:unhideWhenUsed/>
    <w:rsid w:val="00c243b3"/>
    <w:pPr>
      <w:spacing w:before="0" w:after="200"/>
      <w:ind w:hanging="283" w:left="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f1e96"/>
    <w:pPr>
      <w:spacing w:before="0" w:after="200"/>
      <w:ind w:left="720"/>
      <w:contextualSpacing/>
    </w:pPr>
    <w:rPr/>
  </w:style>
  <w:style w:type="paragraph" w:styleId="BalloonText">
    <w:name w:val="Balloon Text"/>
    <w:basedOn w:val="Normal"/>
    <w:link w:val="TextedebullesCar"/>
    <w:uiPriority w:val="99"/>
    <w:semiHidden/>
    <w:unhideWhenUsed/>
    <w:qFormat/>
    <w:rsid w:val="004b2810"/>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580c8a"/>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580c8a"/>
    <w:pPr>
      <w:tabs>
        <w:tab w:val="clear" w:pos="708"/>
        <w:tab w:val="center" w:pos="4536" w:leader="none"/>
        <w:tab w:val="right" w:pos="9072" w:leader="none"/>
      </w:tabs>
      <w:spacing w:lineRule="auto" w:line="240" w:before="0" w:after="0"/>
    </w:pPr>
    <w:rPr/>
  </w:style>
  <w:style w:type="paragraph" w:styleId="FootnoteText">
    <w:name w:val="Footnote Text"/>
    <w:basedOn w:val="Normal"/>
    <w:link w:val="NotedebasdepageCar"/>
    <w:semiHidden/>
    <w:rsid w:val="00636caf"/>
    <w:pPr>
      <w:overflowPunct w:val="false"/>
      <w:spacing w:lineRule="auto" w:line="240" w:before="0" w:after="0"/>
      <w:textAlignment w:val="baseline"/>
    </w:pPr>
    <w:rPr>
      <w:rFonts w:ascii="Times New Roman" w:hAnsi="Times New Roman" w:eastAsia="Times New Roman" w:cs="Times New Roman"/>
      <w:sz w:val="20"/>
      <w:szCs w:val="20"/>
      <w:lang w:eastAsia="fr-FR"/>
    </w:rPr>
  </w:style>
  <w:style w:type="paragraph" w:styleId="Annotationtext">
    <w:name w:val="annotation text"/>
    <w:basedOn w:val="Normal"/>
    <w:link w:val="CommentaireCar"/>
    <w:semiHidden/>
    <w:qFormat/>
    <w:rsid w:val="00636caf"/>
    <w:pPr>
      <w:overflowPunct w:val="false"/>
      <w:spacing w:lineRule="auto" w:line="240" w:before="0" w:after="0"/>
      <w:textAlignment w:val="baseline"/>
    </w:pPr>
    <w:rPr>
      <w:rFonts w:ascii="Times New Roman" w:hAnsi="Times New Roman" w:eastAsia="Times New Roman" w:cs="Times New Roman"/>
      <w:sz w:val="20"/>
      <w:szCs w:val="20"/>
      <w:lang w:eastAsia="fr-FR"/>
    </w:rPr>
  </w:style>
  <w:style w:type="paragraph" w:styleId="BodyText2">
    <w:name w:val="Body Text 2"/>
    <w:basedOn w:val="Normal"/>
    <w:link w:val="Corpsdetexte2Car"/>
    <w:semiHidden/>
    <w:qFormat/>
    <w:rsid w:val="00636caf"/>
    <w:pPr>
      <w:spacing w:lineRule="auto" w:line="240" w:before="0" w:after="0"/>
      <w:jc w:val="both"/>
    </w:pPr>
    <w:rPr>
      <w:rFonts w:ascii="Arial" w:hAnsi="Arial" w:eastAsia="Times New Roman" w:cs="Arial"/>
      <w:szCs w:val="24"/>
      <w:lang w:eastAsia="fr-FR"/>
    </w:rPr>
  </w:style>
  <w:style w:type="paragraph" w:styleId="List2">
    <w:name w:val="List 2"/>
    <w:basedOn w:val="Normal"/>
    <w:uiPriority w:val="99"/>
    <w:unhideWhenUsed/>
    <w:qFormat/>
    <w:rsid w:val="00c243b3"/>
    <w:pPr>
      <w:spacing w:before="0" w:after="200"/>
      <w:ind w:hanging="283" w:left="566"/>
      <w:contextualSpacing/>
    </w:pPr>
    <w:rPr/>
  </w:style>
  <w:style w:type="paragraph" w:styleId="ListBullet">
    <w:name w:val="List Bullet"/>
    <w:basedOn w:val="Normal"/>
    <w:uiPriority w:val="99"/>
    <w:unhideWhenUsed/>
    <w:rsid w:val="00c243b3"/>
    <w:pPr>
      <w:numPr>
        <w:ilvl w:val="0"/>
        <w:numId w:val="3"/>
      </w:numPr>
      <w:spacing w:before="0" w:after="200"/>
      <w:contextualSpacing/>
    </w:pPr>
    <w:rPr/>
  </w:style>
  <w:style w:type="paragraph" w:styleId="ListBullet2">
    <w:name w:val="List Bullet 2"/>
    <w:basedOn w:val="Normal"/>
    <w:uiPriority w:val="99"/>
    <w:unhideWhenUsed/>
    <w:rsid w:val="00c243b3"/>
    <w:pPr>
      <w:numPr>
        <w:ilvl w:val="0"/>
        <w:numId w:val="4"/>
      </w:numPr>
      <w:spacing w:before="0" w:after="200"/>
      <w:contextualSpacing/>
    </w:pPr>
    <w:rPr/>
  </w:style>
  <w:style w:type="paragraph" w:styleId="ListContinue">
    <w:name w:val="List Continue"/>
    <w:basedOn w:val="Normal"/>
    <w:uiPriority w:val="99"/>
    <w:unhideWhenUsed/>
    <w:rsid w:val="00c243b3"/>
    <w:pPr>
      <w:spacing w:before="0" w:after="120"/>
      <w:ind w:left="283"/>
      <w:contextualSpacing/>
    </w:pPr>
    <w:rPr/>
  </w:style>
  <w:style w:type="paragraph" w:styleId="Title">
    <w:name w:val="Title"/>
    <w:basedOn w:val="Normal"/>
    <w:next w:val="Normal"/>
    <w:link w:val="TitreCar"/>
    <w:uiPriority w:val="10"/>
    <w:qFormat/>
    <w:rsid w:val="00c243b3"/>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c243b3"/>
    <w:pPr/>
    <w:rPr>
      <w:rFonts w:ascii="Cambria" w:hAnsi="Cambria" w:eastAsia="" w:cs="" w:asciiTheme="majorHAnsi" w:cstheme="majorBidi" w:eastAsiaTheme="majorEastAsia" w:hAnsiTheme="majorHAnsi"/>
      <w:i/>
      <w:iCs/>
      <w:color w:themeColor="accent1" w:val="4F81BD"/>
      <w:spacing w:val="15"/>
      <w:sz w:val="24"/>
      <w:szCs w:val="24"/>
    </w:rPr>
  </w:style>
  <w:style w:type="paragraph" w:styleId="BodyTextIndent">
    <w:name w:val="Body Text Indent"/>
    <w:basedOn w:val="Normal"/>
    <w:link w:val="RetraitcorpsdetexteCar"/>
    <w:uiPriority w:val="99"/>
    <w:semiHidden/>
    <w:unhideWhenUsed/>
    <w:rsid w:val="00c243b3"/>
    <w:pPr>
      <w:spacing w:before="0" w:after="120"/>
      <w:ind w:left="283"/>
    </w:pPr>
    <w:rPr/>
  </w:style>
  <w:style w:type="paragraph" w:styleId="BodyTextFirstIndent2">
    <w:name w:val="Body Text First Indent 2"/>
    <w:basedOn w:val="BodyTextIndent"/>
    <w:link w:val="Retraitcorpset1religCar"/>
    <w:uiPriority w:val="99"/>
    <w:unhideWhenUsed/>
    <w:qFormat/>
    <w:rsid w:val="00c243b3"/>
    <w:pPr>
      <w:spacing w:before="0" w:after="200"/>
      <w:ind w:firstLine="360" w:left="36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E7937-32DE-430F-86C4-BE76B4BE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LibreOffice/24.2.2.2$Windows_X86_64 LibreOffice_project/d56cc158d8a96260b836f100ef4b4ef25d6f1a01</Application>
  <AppVersion>15.0000</AppVersion>
  <Pages>11</Pages>
  <Words>1739</Words>
  <Characters>9234</Characters>
  <CharactersWithSpaces>10919</CharactersWithSpaces>
  <Paragraphs>136</Paragraphs>
  <Company>Mairie de Montauban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2021-05-16T06:05:00Z</dcterms:created>
  <dc:creator>Sidgwick, Jonathan</dc:creator>
  <dc:description/>
  <dc:language>fr-FR</dc:language>
  <cp:lastModifiedBy/>
  <cp:lastPrinted>2019-06-20T09:47:00Z</cp:lastPrinted>
  <dcterms:modified xsi:type="dcterms:W3CDTF">2024-12-12T17:00:59Z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