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5409A6">
      <w:pPr>
        <w:spacing w:before="800" w:after="320"/>
        <w:jc w:val="center"/>
      </w:pPr>
      <w:r>
        <w:rPr>
          <w:rFonts w:ascii="Times New Roman" w:hAnsi="Times New Roman" w:eastAsia="Noto Sans CJK SC" w:cs="Times New Roman"/>
          <w:b/>
          <w:i w:val="0"/>
          <w:color w:val="1F1F1F"/>
          <w:sz w:val="44"/>
        </w:rPr>
        <w:t>项目方案书</w:t>
      </w:r>
    </w:p>
    <w:p w14:paraId="16CBE300">
      <w:pPr>
        <w:spacing w:after="200"/>
        <w:jc w:val="center"/>
      </w:pPr>
      <w:r>
        <w:rPr>
          <w:rFonts w:ascii="Times New Roman" w:hAnsi="Times New Roman" w:eastAsia="Noto Sans CJK SC" w:cs="Times New Roman"/>
          <w:b/>
          <w:i w:val="0"/>
          <w:color w:val="203864"/>
          <w:sz w:val="36"/>
        </w:rPr>
        <w:t>基于 STM32G4 的工业定长送料与定位执行单元</w:t>
      </w:r>
    </w:p>
    <w:p w14:paraId="61436FDE">
      <w:pPr>
        <w:spacing w:after="520"/>
        <w:jc w:val="center"/>
      </w:pPr>
      <w:r>
        <w:rPr>
          <w:rFonts w:ascii="Times New Roman" w:hAnsi="Times New Roman" w:eastAsia="Noto Serif CJK SC" w:cs="Times New Roman"/>
          <w:b w:val="0"/>
          <w:i w:val="0"/>
          <w:color w:val="4F4F4F"/>
          <w:sz w:val="22"/>
        </w:rPr>
        <w:t>参赛方向：工业4.0 / 智能运动控制系统</w:t>
      </w:r>
    </w:p>
    <w:p w14:paraId="49BB5312">
      <w:pPr>
        <w:pBdr>
          <w:top w:val="single" w:color="D9E2F3" w:sz="8" w:space="6"/>
          <w:left w:val="single" w:color="D9E2F3" w:sz="8" w:space="6"/>
          <w:bottom w:val="single" w:color="D9E2F3" w:sz="8" w:space="6"/>
          <w:right w:val="single" w:color="D9E2F3" w:sz="8" w:space="6"/>
        </w:pBdr>
        <w:shd w:val="clear" w:fill="F7FAFF"/>
        <w:spacing w:before="200" w:after="160" w:line="372" w:lineRule="auto"/>
        <w:ind w:left="340" w:right="340" w:firstLine="0"/>
      </w:pPr>
      <w:r>
        <w:rPr>
          <w:rFonts w:ascii="Times New Roman" w:hAnsi="Times New Roman" w:eastAsia="Noto Serif CJK SC" w:cs="Times New Roman"/>
          <w:b w:val="0"/>
          <w:i w:val="0"/>
          <w:sz w:val="24"/>
        </w:rPr>
        <w:t>本方案以现有丝杆滑台和电机闭环控制为基础，不再额外引入激光、视觉或测量探头等高风险模块，重点把系统做成一个可直接嵌入轻量自动化工位的单轴执行单元。整体目标不是追求“功能堆得多”，而是把送料、定位、保护、交互和运行统计这几件事做完整、做扎实。</w:t>
      </w:r>
    </w:p>
    <w:tbl>
      <w:tblPr>
        <w:tblStyle w:val="32"/>
        <w:tblW w:w="0" w:type="auto"/>
        <w:jc w:val="center"/>
        <w:tblBorders>
          <w:top w:val="single" w:color="C7D3E3" w:sz="8" w:space="0"/>
          <w:left w:val="single" w:color="C7D3E3" w:sz="8" w:space="0"/>
          <w:bottom w:val="single" w:color="C7D3E3" w:sz="8" w:space="0"/>
          <w:right w:val="single" w:color="C7D3E3" w:sz="8" w:space="0"/>
          <w:insideH w:val="single" w:color="C7D3E3" w:sz="8" w:space="0"/>
          <w:insideV w:val="single" w:color="C7D3E3" w:sz="8" w:space="0"/>
        </w:tblBorders>
        <w:tblLayout w:type="fixed"/>
        <w:tblCellMar>
          <w:top w:w="0" w:type="dxa"/>
          <w:left w:w="108" w:type="dxa"/>
          <w:bottom w:w="0" w:type="dxa"/>
          <w:right w:w="108" w:type="dxa"/>
        </w:tblCellMar>
      </w:tblPr>
      <w:tblGrid>
        <w:gridCol w:w="4649"/>
        <w:gridCol w:w="4649"/>
      </w:tblGrid>
      <w:tr w14:paraId="47C9D1C8">
        <w:tblPrEx>
          <w:tblBorders>
            <w:top w:val="single" w:color="C7D3E3" w:sz="8" w:space="0"/>
            <w:left w:val="single" w:color="C7D3E3" w:sz="8" w:space="0"/>
            <w:bottom w:val="single" w:color="C7D3E3" w:sz="8" w:space="0"/>
            <w:right w:val="single" w:color="C7D3E3" w:sz="8" w:space="0"/>
            <w:insideH w:val="single" w:color="C7D3E3" w:sz="8" w:space="0"/>
            <w:insideV w:val="single" w:color="C7D3E3" w:sz="8" w:space="0"/>
          </w:tblBorders>
        </w:tblPrEx>
        <w:trPr>
          <w:cantSplit/>
          <w:tblHeader/>
          <w:jc w:val="center"/>
        </w:trPr>
        <w:tc>
          <w:tcPr>
            <w:tcW w:w="1871" w:type="dxa"/>
            <w:shd w:val="clear" w:color="auto" w:fill="EAF1FB"/>
            <w:vAlign w:val="center"/>
          </w:tcPr>
          <w:p w14:paraId="247228E4">
            <w:pPr>
              <w:spacing w:before="40" w:after="40" w:line="288" w:lineRule="auto"/>
              <w:jc w:val="center"/>
            </w:pPr>
            <w:r>
              <w:rPr>
                <w:rFonts w:ascii="Times New Roman" w:hAnsi="Times New Roman" w:eastAsia="Noto Serif CJK SC" w:cs="Times New Roman"/>
                <w:b/>
                <w:i w:val="0"/>
                <w:color w:val="203864"/>
                <w:sz w:val="21"/>
              </w:rPr>
              <w:t>项目定位</w:t>
            </w:r>
          </w:p>
        </w:tc>
        <w:tc>
          <w:tcPr>
            <w:tcW w:w="7200" w:type="dxa"/>
            <w:vAlign w:val="center"/>
          </w:tcPr>
          <w:p w14:paraId="2E6A941D">
            <w:pPr>
              <w:spacing w:before="40" w:after="40" w:line="288" w:lineRule="auto"/>
              <w:jc w:val="left"/>
            </w:pPr>
            <w:r>
              <w:rPr>
                <w:rFonts w:ascii="Times New Roman" w:hAnsi="Times New Roman" w:eastAsia="Noto Serif CJK SC" w:cs="Times New Roman"/>
                <w:b w:val="0"/>
                <w:i w:val="0"/>
                <w:sz w:val="21"/>
              </w:rPr>
              <w:t>面向贴标、分切、送样等前端工位的单轴送料与定位执行模块</w:t>
            </w:r>
          </w:p>
        </w:tc>
      </w:tr>
      <w:tr w14:paraId="4F6EB867">
        <w:tblPrEx>
          <w:tblBorders>
            <w:top w:val="single" w:color="C7D3E3" w:sz="8" w:space="0"/>
            <w:left w:val="single" w:color="C7D3E3" w:sz="8" w:space="0"/>
            <w:bottom w:val="single" w:color="C7D3E3" w:sz="8" w:space="0"/>
            <w:right w:val="single" w:color="C7D3E3" w:sz="8" w:space="0"/>
            <w:insideH w:val="single" w:color="C7D3E3" w:sz="8" w:space="0"/>
            <w:insideV w:val="single" w:color="C7D3E3" w:sz="8" w:space="0"/>
          </w:tblBorders>
          <w:tblCellMar>
            <w:top w:w="0" w:type="dxa"/>
            <w:left w:w="108" w:type="dxa"/>
            <w:bottom w:w="0" w:type="dxa"/>
            <w:right w:w="108" w:type="dxa"/>
          </w:tblCellMar>
        </w:tblPrEx>
        <w:trPr>
          <w:cantSplit/>
          <w:jc w:val="center"/>
        </w:trPr>
        <w:tc>
          <w:tcPr>
            <w:tcW w:w="1871" w:type="dxa"/>
            <w:shd w:val="clear" w:color="auto" w:fill="EAF1FB"/>
            <w:vAlign w:val="center"/>
          </w:tcPr>
          <w:p w14:paraId="63C43223">
            <w:pPr>
              <w:spacing w:before="40" w:after="40" w:line="288" w:lineRule="auto"/>
              <w:jc w:val="center"/>
            </w:pPr>
            <w:r>
              <w:rPr>
                <w:rFonts w:ascii="Times New Roman" w:hAnsi="Times New Roman" w:eastAsia="Noto Serif CJK SC" w:cs="Times New Roman"/>
                <w:b/>
                <w:i w:val="0"/>
                <w:color w:val="203864"/>
                <w:sz w:val="21"/>
              </w:rPr>
              <w:t>现有基础</w:t>
            </w:r>
          </w:p>
        </w:tc>
        <w:tc>
          <w:tcPr>
            <w:tcW w:w="7200" w:type="dxa"/>
            <w:vAlign w:val="center"/>
          </w:tcPr>
          <w:p w14:paraId="441D13FB">
            <w:pPr>
              <w:spacing w:before="40" w:after="40" w:line="288" w:lineRule="auto"/>
              <w:jc w:val="left"/>
            </w:pPr>
            <w:r>
              <w:rPr>
                <w:rFonts w:ascii="Times New Roman" w:hAnsi="Times New Roman" w:eastAsia="Noto Serif CJK SC" w:cs="Times New Roman"/>
                <w:b w:val="0"/>
                <w:i w:val="0"/>
                <w:sz w:val="21"/>
              </w:rPr>
              <w:t>已完成丝杆滑台本体与电机闭环控制，可在此基础上继续完善工程功能</w:t>
            </w:r>
          </w:p>
        </w:tc>
      </w:tr>
      <w:tr w14:paraId="2053033B">
        <w:tblPrEx>
          <w:tblBorders>
            <w:top w:val="single" w:color="C7D3E3" w:sz="8" w:space="0"/>
            <w:left w:val="single" w:color="C7D3E3" w:sz="8" w:space="0"/>
            <w:bottom w:val="single" w:color="C7D3E3" w:sz="8" w:space="0"/>
            <w:right w:val="single" w:color="C7D3E3" w:sz="8" w:space="0"/>
            <w:insideH w:val="single" w:color="C7D3E3" w:sz="8" w:space="0"/>
            <w:insideV w:val="single" w:color="C7D3E3" w:sz="8" w:space="0"/>
          </w:tblBorders>
          <w:tblCellMar>
            <w:top w:w="0" w:type="dxa"/>
            <w:left w:w="108" w:type="dxa"/>
            <w:bottom w:w="0" w:type="dxa"/>
            <w:right w:w="108" w:type="dxa"/>
          </w:tblCellMar>
        </w:tblPrEx>
        <w:trPr>
          <w:cantSplit/>
          <w:jc w:val="center"/>
        </w:trPr>
        <w:tc>
          <w:tcPr>
            <w:tcW w:w="1871" w:type="dxa"/>
            <w:shd w:val="clear" w:color="auto" w:fill="EAF1FB"/>
            <w:vAlign w:val="center"/>
          </w:tcPr>
          <w:p w14:paraId="358327DC">
            <w:pPr>
              <w:spacing w:before="40" w:after="40" w:line="288" w:lineRule="auto"/>
              <w:jc w:val="center"/>
            </w:pPr>
            <w:r>
              <w:rPr>
                <w:rFonts w:ascii="Times New Roman" w:hAnsi="Times New Roman" w:eastAsia="Noto Serif CJK SC" w:cs="Times New Roman"/>
                <w:b/>
                <w:i w:val="0"/>
                <w:color w:val="203864"/>
                <w:sz w:val="21"/>
              </w:rPr>
              <w:t>主控建议</w:t>
            </w:r>
          </w:p>
        </w:tc>
        <w:tc>
          <w:tcPr>
            <w:tcW w:w="7200" w:type="dxa"/>
            <w:vAlign w:val="center"/>
          </w:tcPr>
          <w:p w14:paraId="50A80C87">
            <w:pPr>
              <w:spacing w:before="40" w:after="40" w:line="288" w:lineRule="auto"/>
              <w:jc w:val="left"/>
            </w:pPr>
            <w:r>
              <w:rPr>
                <w:rFonts w:ascii="Times New Roman" w:hAnsi="Times New Roman" w:eastAsia="Noto Serif CJK SC" w:cs="Times New Roman"/>
                <w:b w:val="0"/>
                <w:i w:val="0"/>
                <w:sz w:val="21"/>
              </w:rPr>
              <w:t>STM32G4 系列，保留后续扩展到图形界面或轻量智能功能的余量</w:t>
            </w:r>
          </w:p>
        </w:tc>
      </w:tr>
      <w:tr w14:paraId="03906753">
        <w:tblPrEx>
          <w:tblBorders>
            <w:top w:val="single" w:color="C7D3E3" w:sz="8" w:space="0"/>
            <w:left w:val="single" w:color="C7D3E3" w:sz="8" w:space="0"/>
            <w:bottom w:val="single" w:color="C7D3E3" w:sz="8" w:space="0"/>
            <w:right w:val="single" w:color="C7D3E3" w:sz="8" w:space="0"/>
            <w:insideH w:val="single" w:color="C7D3E3" w:sz="8" w:space="0"/>
            <w:insideV w:val="single" w:color="C7D3E3" w:sz="8" w:space="0"/>
          </w:tblBorders>
          <w:tblCellMar>
            <w:top w:w="0" w:type="dxa"/>
            <w:left w:w="108" w:type="dxa"/>
            <w:bottom w:w="0" w:type="dxa"/>
            <w:right w:w="108" w:type="dxa"/>
          </w:tblCellMar>
        </w:tblPrEx>
        <w:trPr>
          <w:cantSplit/>
          <w:jc w:val="center"/>
        </w:trPr>
        <w:tc>
          <w:tcPr>
            <w:tcW w:w="1871" w:type="dxa"/>
            <w:shd w:val="clear" w:color="auto" w:fill="EAF1FB"/>
            <w:vAlign w:val="center"/>
          </w:tcPr>
          <w:p w14:paraId="08023FFC">
            <w:pPr>
              <w:spacing w:before="40" w:after="40" w:line="288" w:lineRule="auto"/>
              <w:jc w:val="center"/>
            </w:pPr>
            <w:r>
              <w:rPr>
                <w:rFonts w:ascii="Times New Roman" w:hAnsi="Times New Roman" w:eastAsia="Noto Serif CJK SC" w:cs="Times New Roman"/>
                <w:b/>
                <w:i w:val="0"/>
                <w:color w:val="203864"/>
                <w:sz w:val="21"/>
              </w:rPr>
              <w:t>方案原则</w:t>
            </w:r>
          </w:p>
        </w:tc>
        <w:tc>
          <w:tcPr>
            <w:tcW w:w="7200" w:type="dxa"/>
            <w:vAlign w:val="center"/>
          </w:tcPr>
          <w:p w14:paraId="5460F061">
            <w:pPr>
              <w:spacing w:before="40" w:after="40" w:line="288" w:lineRule="auto"/>
              <w:jc w:val="left"/>
            </w:pPr>
            <w:r>
              <w:rPr>
                <w:rFonts w:ascii="Times New Roman" w:hAnsi="Times New Roman" w:eastAsia="Noto Serif CJK SC" w:cs="Times New Roman"/>
                <w:b w:val="0"/>
                <w:i w:val="0"/>
                <w:sz w:val="21"/>
              </w:rPr>
              <w:t>尽量复用现有硬件，不额外引入高成本和高风险模块，优先保证完整度与稳定性</w:t>
            </w:r>
          </w:p>
        </w:tc>
      </w:tr>
    </w:tbl>
    <w:p w14:paraId="730E050F"/>
    <w:p w14:paraId="72877163">
      <w:pPr>
        <w:spacing w:before="200" w:after="120" w:line="288" w:lineRule="auto"/>
      </w:pPr>
      <w:r>
        <w:rPr>
          <w:rFonts w:ascii="Times New Roman" w:hAnsi="Times New Roman" w:eastAsia="Noto Sans CJK SC" w:cs="Times New Roman"/>
          <w:b/>
          <w:i w:val="0"/>
          <w:color w:val="203864"/>
          <w:sz w:val="30"/>
        </w:rPr>
        <w:t>一、项目背景与立项目的</w:t>
      </w:r>
    </w:p>
    <w:p w14:paraId="044FC1DD">
      <w:pPr>
        <w:spacing w:before="0" w:after="160" w:line="360" w:lineRule="auto"/>
        <w:ind w:firstLine="480"/>
      </w:pPr>
      <w:r>
        <w:rPr>
          <w:rFonts w:ascii="Times New Roman" w:hAnsi="Times New Roman" w:eastAsia="Noto Serif CJK SC" w:cs="Times New Roman"/>
          <w:b w:val="0"/>
          <w:i w:val="0"/>
          <w:sz w:val="24"/>
        </w:rPr>
        <w:t>对于贴标、分切、检测前送等轻量自动化工位来说，前端执行模块最基本的要求并不是“轴越多越好”，而是动作要准、节拍要稳、故障要能及时停下、参数要能方便调整。许多学生作品容易停留在“电机能跑、滑台能动”这一层，而真正接近工业使用场景的系统，还需要补上回零、配方管理、异常保护、数据记录和连续运行能力。</w:t>
      </w:r>
    </w:p>
    <w:p w14:paraId="352B7D4F">
      <w:pPr>
        <w:spacing w:before="0" w:after="160" w:line="360" w:lineRule="auto"/>
        <w:ind w:firstLine="480"/>
      </w:pPr>
      <w:r>
        <w:rPr>
          <w:rFonts w:ascii="Times New Roman" w:hAnsi="Times New Roman" w:eastAsia="Noto Serif CJK SC" w:cs="Times New Roman"/>
          <w:b w:val="0"/>
          <w:i w:val="0"/>
          <w:sz w:val="24"/>
        </w:rPr>
        <w:t>基于这一考虑，本项目不再追求扩展激光、视觉或测量探头等高风险模块，而是围绕现有单轴滑台，做一套面向工位使用的定长送料与定位执行单元。它既可以承担简单的材料定长输送，也可以承担多工位点位切换和节拍式往返动作，适合被包装为一类轻量工业自动化基础模块。</w:t>
      </w:r>
    </w:p>
    <w:p w14:paraId="45CFC5B4">
      <w:pPr>
        <w:spacing w:before="0" w:after="160" w:line="360" w:lineRule="auto"/>
        <w:ind w:firstLine="480"/>
      </w:pPr>
      <w:r>
        <w:rPr>
          <w:rFonts w:ascii="Times New Roman" w:hAnsi="Times New Roman" w:eastAsia="Noto Serif CJK SC" w:cs="Times New Roman"/>
          <w:b w:val="0"/>
          <w:i w:val="0"/>
          <w:sz w:val="24"/>
        </w:rPr>
        <w:t>从比赛角度看，这样的题目更加务实。它既保留了运动控制这条主线，又能通过保护机制、上位机交互、日志追溯和运行统计体现工程完成度，更符合“控制性能和系统完整度并重”的评审思路。</w:t>
      </w:r>
    </w:p>
    <w:p w14:paraId="5758A0EB">
      <w:pPr>
        <w:spacing w:before="200" w:after="120" w:line="288" w:lineRule="auto"/>
      </w:pPr>
      <w:r>
        <w:rPr>
          <w:rFonts w:ascii="Times New Roman" w:hAnsi="Times New Roman" w:eastAsia="Noto Sans CJK SC" w:cs="Times New Roman"/>
          <w:b/>
          <w:i w:val="0"/>
          <w:color w:val="203864"/>
          <w:sz w:val="30"/>
        </w:rPr>
        <w:t>二、项目总体思路</w:t>
      </w:r>
    </w:p>
    <w:p w14:paraId="2235ED1F">
      <w:pPr>
        <w:spacing w:before="0" w:after="160" w:line="360" w:lineRule="auto"/>
        <w:ind w:firstLine="480"/>
      </w:pPr>
      <w:r>
        <w:rPr>
          <w:rFonts w:ascii="Times New Roman" w:hAnsi="Times New Roman" w:eastAsia="Noto Serif CJK SC" w:cs="Times New Roman"/>
          <w:b w:val="0"/>
          <w:i w:val="0"/>
          <w:sz w:val="24"/>
        </w:rPr>
        <w:t>本项目采用“现有滑台继续复用，功能层向上补齐”的做法。底层继续沿用现有的丝杆滑台、电机驱动与位置闭环控制，中间层加入回零、定长送料、多工位切换和循环运行等工艺动作，上层再补上限位、堵转、过流、过温和超差等保护逻辑，同时通过上位机完成参数设置、曲线显示、日志记录和运行统计。</w:t>
      </w:r>
    </w:p>
    <w:p w14:paraId="473A143B">
      <w:pPr>
        <w:spacing w:before="0" w:after="160" w:line="360" w:lineRule="auto"/>
        <w:ind w:firstLine="480"/>
      </w:pPr>
      <w:r>
        <w:rPr>
          <w:rFonts w:ascii="Times New Roman" w:hAnsi="Times New Roman" w:eastAsia="Noto Serif CJK SC" w:cs="Times New Roman"/>
          <w:b w:val="0"/>
          <w:i w:val="0"/>
          <w:sz w:val="24"/>
        </w:rPr>
        <w:t>换句话说，本方案不再把系统看成“一个控制板驱动一个电机”，而是把它看成“一个可以直接嵌入轻量产线工位的执行单元”。这样做的好处是方向明确，工作量可控，两个成员也更容易分工。</w:t>
      </w:r>
    </w:p>
    <w:p w14:paraId="4A0BFEF2">
      <w:pPr>
        <w:spacing w:before="200" w:after="120" w:line="288" w:lineRule="auto"/>
      </w:pPr>
      <w:r>
        <w:rPr>
          <w:rFonts w:ascii="Times New Roman" w:hAnsi="Times New Roman" w:eastAsia="Noto Sans CJK SC" w:cs="Times New Roman"/>
          <w:b/>
          <w:i w:val="0"/>
          <w:color w:val="203864"/>
          <w:sz w:val="30"/>
        </w:rPr>
        <w:t>三、应用场景与使用方式</w:t>
      </w:r>
    </w:p>
    <w:p w14:paraId="5BA1FDAA">
      <w:pPr>
        <w:spacing w:before="0" w:after="160" w:line="360" w:lineRule="auto"/>
        <w:ind w:firstLine="480"/>
      </w:pPr>
      <w:r>
        <w:rPr>
          <w:rFonts w:ascii="Times New Roman" w:hAnsi="Times New Roman" w:eastAsia="Noto Serif CJK SC" w:cs="Times New Roman"/>
          <w:b w:val="0"/>
          <w:i w:val="0"/>
          <w:sz w:val="24"/>
        </w:rPr>
        <w:t>在应用层面，本系统主要对应三类场景。第一类是贴标或分切前端的定长送料，即滑台按设定长度把材料送到下一工位，重点考察送料长度一致性和节拍稳定性；第二类是检测前送样，即滑台把待检对象移动到指定位置，重点考察定位精度和重复性；第三类是节拍式往返工位，即滑台在两个固定位置之间持续运行，重点考察连续运行稳定性和故障恢复能力。</w:t>
      </w:r>
    </w:p>
    <w:p w14:paraId="261F2B76">
      <w:pPr>
        <w:spacing w:before="0" w:after="160" w:line="360" w:lineRule="auto"/>
        <w:ind w:firstLine="480"/>
      </w:pPr>
      <w:r>
        <w:rPr>
          <w:rFonts w:ascii="Times New Roman" w:hAnsi="Times New Roman" w:eastAsia="Noto Serif CJK SC" w:cs="Times New Roman"/>
          <w:b w:val="0"/>
          <w:i w:val="0"/>
          <w:sz w:val="24"/>
        </w:rPr>
        <w:t>用户的使用方式应尽量简单：开机后先执行回零，然后在上位机中选择配方或输入目标长度，系统按设定速度和加速度完成送料或定位动作。运行过程中实时显示位置、速度、电流、温度和状态信息，一旦出现限位、堵转或过流等情况，系统立即执行保护动作并记录故障。</w:t>
      </w:r>
    </w:p>
    <w:tbl>
      <w:tblPr>
        <w:tblStyle w:val="32"/>
        <w:tblW w:w="0" w:type="auto"/>
        <w:jc w:val="center"/>
        <w:tblBorders>
          <w:top w:val="single" w:color="D0D0D0" w:sz="8" w:space="0"/>
          <w:left w:val="single" w:color="D0D0D0" w:sz="8" w:space="0"/>
          <w:bottom w:val="single" w:color="D0D0D0" w:sz="8" w:space="0"/>
          <w:right w:val="single" w:color="D0D0D0" w:sz="8" w:space="0"/>
          <w:insideH w:val="single" w:color="D0D0D0" w:sz="8" w:space="0"/>
          <w:insideV w:val="single" w:color="D0D0D0" w:sz="8" w:space="0"/>
        </w:tblBorders>
        <w:tblLayout w:type="fixed"/>
        <w:tblCellMar>
          <w:top w:w="0" w:type="dxa"/>
          <w:left w:w="108" w:type="dxa"/>
          <w:bottom w:w="0" w:type="dxa"/>
          <w:right w:w="108" w:type="dxa"/>
        </w:tblCellMar>
      </w:tblPr>
      <w:tblGrid>
        <w:gridCol w:w="3099"/>
        <w:gridCol w:w="3099"/>
        <w:gridCol w:w="3099"/>
      </w:tblGrid>
      <w:tr w14:paraId="355DB755">
        <w:tblPrEx>
          <w:tblBorders>
            <w:top w:val="single" w:color="D0D0D0" w:sz="8" w:space="0"/>
            <w:left w:val="single" w:color="D0D0D0" w:sz="8" w:space="0"/>
            <w:bottom w:val="single" w:color="D0D0D0" w:sz="8" w:space="0"/>
            <w:right w:val="single" w:color="D0D0D0" w:sz="8" w:space="0"/>
            <w:insideH w:val="single" w:color="D0D0D0" w:sz="8" w:space="0"/>
            <w:insideV w:val="single" w:color="D0D0D0" w:sz="8" w:space="0"/>
          </w:tblBorders>
          <w:tblCellMar>
            <w:top w:w="0" w:type="dxa"/>
            <w:left w:w="108" w:type="dxa"/>
            <w:bottom w:w="0" w:type="dxa"/>
            <w:right w:w="108" w:type="dxa"/>
          </w:tblCellMar>
        </w:tblPrEx>
        <w:trPr>
          <w:cantSplit/>
          <w:tblHeader/>
          <w:jc w:val="center"/>
        </w:trPr>
        <w:tc>
          <w:tcPr>
            <w:tcW w:w="3099" w:type="dxa"/>
            <w:shd w:val="clear" w:color="auto" w:fill="DCE6F1"/>
            <w:vAlign w:val="center"/>
          </w:tcPr>
          <w:p w14:paraId="37037E8F">
            <w:pPr>
              <w:spacing w:before="40" w:after="40" w:line="288" w:lineRule="auto"/>
              <w:jc w:val="center"/>
            </w:pPr>
            <w:r>
              <w:rPr>
                <w:rFonts w:ascii="Times New Roman" w:hAnsi="Times New Roman" w:eastAsia="Noto Serif CJK SC" w:cs="Times New Roman"/>
                <w:b/>
                <w:i w:val="0"/>
                <w:color w:val="203864"/>
                <w:sz w:val="21"/>
              </w:rPr>
              <w:t>应用场景</w:t>
            </w:r>
          </w:p>
        </w:tc>
        <w:tc>
          <w:tcPr>
            <w:tcW w:w="3099" w:type="dxa"/>
            <w:shd w:val="clear" w:color="auto" w:fill="DCE6F1"/>
            <w:vAlign w:val="center"/>
          </w:tcPr>
          <w:p w14:paraId="73FC9B3B">
            <w:pPr>
              <w:spacing w:before="40" w:after="40" w:line="288" w:lineRule="auto"/>
              <w:jc w:val="center"/>
            </w:pPr>
            <w:r>
              <w:rPr>
                <w:rFonts w:ascii="Times New Roman" w:hAnsi="Times New Roman" w:eastAsia="Noto Serif CJK SC" w:cs="Times New Roman"/>
                <w:b/>
                <w:i w:val="0"/>
                <w:color w:val="203864"/>
                <w:sz w:val="21"/>
              </w:rPr>
              <w:t>典型动作</w:t>
            </w:r>
          </w:p>
        </w:tc>
        <w:tc>
          <w:tcPr>
            <w:tcW w:w="3099" w:type="dxa"/>
            <w:shd w:val="clear" w:color="auto" w:fill="DCE6F1"/>
            <w:vAlign w:val="center"/>
          </w:tcPr>
          <w:p w14:paraId="790F3FD2">
            <w:pPr>
              <w:spacing w:before="40" w:after="40" w:line="288" w:lineRule="auto"/>
              <w:jc w:val="center"/>
            </w:pPr>
            <w:r>
              <w:rPr>
                <w:rFonts w:ascii="Times New Roman" w:hAnsi="Times New Roman" w:eastAsia="Noto Serif CJK SC" w:cs="Times New Roman"/>
                <w:b/>
                <w:i w:val="0"/>
                <w:color w:val="203864"/>
                <w:sz w:val="21"/>
              </w:rPr>
              <w:t>关注指标</w:t>
            </w:r>
          </w:p>
        </w:tc>
      </w:tr>
      <w:tr w14:paraId="50062AD6">
        <w:tblPrEx>
          <w:tblBorders>
            <w:top w:val="single" w:color="D0D0D0" w:sz="8" w:space="0"/>
            <w:left w:val="single" w:color="D0D0D0" w:sz="8" w:space="0"/>
            <w:bottom w:val="single" w:color="D0D0D0" w:sz="8" w:space="0"/>
            <w:right w:val="single" w:color="D0D0D0" w:sz="8" w:space="0"/>
            <w:insideH w:val="single" w:color="D0D0D0" w:sz="8" w:space="0"/>
            <w:insideV w:val="single" w:color="D0D0D0" w:sz="8" w:space="0"/>
          </w:tblBorders>
          <w:tblCellMar>
            <w:top w:w="0" w:type="dxa"/>
            <w:left w:w="108" w:type="dxa"/>
            <w:bottom w:w="0" w:type="dxa"/>
            <w:right w:w="108" w:type="dxa"/>
          </w:tblCellMar>
        </w:tblPrEx>
        <w:trPr>
          <w:cantSplit/>
          <w:jc w:val="center"/>
        </w:trPr>
        <w:tc>
          <w:tcPr>
            <w:tcW w:w="3099" w:type="dxa"/>
            <w:vAlign w:val="center"/>
          </w:tcPr>
          <w:p w14:paraId="29F95A30">
            <w:pPr>
              <w:spacing w:before="40" w:after="40" w:line="288" w:lineRule="auto"/>
              <w:jc w:val="left"/>
            </w:pPr>
            <w:r>
              <w:rPr>
                <w:rFonts w:ascii="Times New Roman" w:hAnsi="Times New Roman" w:eastAsia="Noto Serif CJK SC" w:cs="Times New Roman"/>
                <w:b w:val="0"/>
                <w:i w:val="0"/>
                <w:sz w:val="20"/>
              </w:rPr>
              <w:t>贴标/分切前端送料</w:t>
            </w:r>
          </w:p>
        </w:tc>
        <w:tc>
          <w:tcPr>
            <w:tcW w:w="3099" w:type="dxa"/>
            <w:vAlign w:val="center"/>
          </w:tcPr>
          <w:p w14:paraId="68EA01EE">
            <w:pPr>
              <w:spacing w:before="40" w:after="40" w:line="288" w:lineRule="auto"/>
              <w:jc w:val="left"/>
            </w:pPr>
            <w:r>
              <w:rPr>
                <w:rFonts w:ascii="Times New Roman" w:hAnsi="Times New Roman" w:eastAsia="Noto Serif CJK SC" w:cs="Times New Roman"/>
                <w:b w:val="0"/>
                <w:i w:val="0"/>
                <w:sz w:val="20"/>
              </w:rPr>
              <w:t>按固定长度送料，并在下一周期前回到起点或等待</w:t>
            </w:r>
          </w:p>
        </w:tc>
        <w:tc>
          <w:tcPr>
            <w:tcW w:w="3099" w:type="dxa"/>
            <w:vAlign w:val="center"/>
          </w:tcPr>
          <w:p w14:paraId="7E0F64A3">
            <w:pPr>
              <w:spacing w:before="40" w:after="40" w:line="288" w:lineRule="auto"/>
              <w:jc w:val="center"/>
            </w:pPr>
            <w:r>
              <w:rPr>
                <w:rFonts w:ascii="Times New Roman" w:hAnsi="Times New Roman" w:eastAsia="Noto Serif CJK SC" w:cs="Times New Roman"/>
                <w:b w:val="0"/>
                <w:i w:val="0"/>
                <w:sz w:val="20"/>
              </w:rPr>
              <w:t>送料长度误差、节拍一致性</w:t>
            </w:r>
          </w:p>
        </w:tc>
      </w:tr>
      <w:tr w14:paraId="493FF2E6">
        <w:tblPrEx>
          <w:tblBorders>
            <w:top w:val="single" w:color="D0D0D0" w:sz="8" w:space="0"/>
            <w:left w:val="single" w:color="D0D0D0" w:sz="8" w:space="0"/>
            <w:bottom w:val="single" w:color="D0D0D0" w:sz="8" w:space="0"/>
            <w:right w:val="single" w:color="D0D0D0" w:sz="8" w:space="0"/>
            <w:insideH w:val="single" w:color="D0D0D0" w:sz="8" w:space="0"/>
            <w:insideV w:val="single" w:color="D0D0D0" w:sz="8" w:space="0"/>
          </w:tblBorders>
          <w:tblCellMar>
            <w:top w:w="0" w:type="dxa"/>
            <w:left w:w="108" w:type="dxa"/>
            <w:bottom w:w="0" w:type="dxa"/>
            <w:right w:w="108" w:type="dxa"/>
          </w:tblCellMar>
        </w:tblPrEx>
        <w:trPr>
          <w:cantSplit/>
          <w:jc w:val="center"/>
        </w:trPr>
        <w:tc>
          <w:tcPr>
            <w:tcW w:w="3099" w:type="dxa"/>
            <w:vAlign w:val="center"/>
          </w:tcPr>
          <w:p w14:paraId="68A7DF5D">
            <w:pPr>
              <w:spacing w:before="40" w:after="40" w:line="288" w:lineRule="auto"/>
              <w:jc w:val="left"/>
            </w:pPr>
            <w:r>
              <w:rPr>
                <w:rFonts w:ascii="Times New Roman" w:hAnsi="Times New Roman" w:eastAsia="Noto Serif CJK SC" w:cs="Times New Roman"/>
                <w:b w:val="0"/>
                <w:i w:val="0"/>
                <w:sz w:val="20"/>
              </w:rPr>
              <w:t>检测工位送样</w:t>
            </w:r>
          </w:p>
        </w:tc>
        <w:tc>
          <w:tcPr>
            <w:tcW w:w="3099" w:type="dxa"/>
            <w:vAlign w:val="center"/>
          </w:tcPr>
          <w:p w14:paraId="789229EB">
            <w:pPr>
              <w:spacing w:before="40" w:after="40" w:line="288" w:lineRule="auto"/>
              <w:jc w:val="left"/>
            </w:pPr>
            <w:r>
              <w:rPr>
                <w:rFonts w:ascii="Times New Roman" w:hAnsi="Times New Roman" w:eastAsia="Noto Serif CJK SC" w:cs="Times New Roman"/>
                <w:b w:val="0"/>
                <w:i w:val="0"/>
                <w:sz w:val="20"/>
              </w:rPr>
              <w:t>将样件送到指定位置后保持稳定</w:t>
            </w:r>
          </w:p>
        </w:tc>
        <w:tc>
          <w:tcPr>
            <w:tcW w:w="3099" w:type="dxa"/>
            <w:vAlign w:val="center"/>
          </w:tcPr>
          <w:p w14:paraId="1594593E">
            <w:pPr>
              <w:spacing w:before="40" w:after="40" w:line="288" w:lineRule="auto"/>
              <w:jc w:val="center"/>
            </w:pPr>
            <w:r>
              <w:rPr>
                <w:rFonts w:ascii="Times New Roman" w:hAnsi="Times New Roman" w:eastAsia="Noto Serif CJK SC" w:cs="Times New Roman"/>
                <w:b w:val="0"/>
                <w:i w:val="0"/>
                <w:sz w:val="20"/>
              </w:rPr>
              <w:t>定位误差、重复定位误差</w:t>
            </w:r>
          </w:p>
        </w:tc>
      </w:tr>
      <w:tr w14:paraId="267083D4">
        <w:tblPrEx>
          <w:tblBorders>
            <w:top w:val="single" w:color="D0D0D0" w:sz="8" w:space="0"/>
            <w:left w:val="single" w:color="D0D0D0" w:sz="8" w:space="0"/>
            <w:bottom w:val="single" w:color="D0D0D0" w:sz="8" w:space="0"/>
            <w:right w:val="single" w:color="D0D0D0" w:sz="8" w:space="0"/>
            <w:insideH w:val="single" w:color="D0D0D0" w:sz="8" w:space="0"/>
            <w:insideV w:val="single" w:color="D0D0D0" w:sz="8" w:space="0"/>
          </w:tblBorders>
          <w:tblCellMar>
            <w:top w:w="0" w:type="dxa"/>
            <w:left w:w="108" w:type="dxa"/>
            <w:bottom w:w="0" w:type="dxa"/>
            <w:right w:w="108" w:type="dxa"/>
          </w:tblCellMar>
        </w:tblPrEx>
        <w:trPr>
          <w:cantSplit/>
          <w:jc w:val="center"/>
        </w:trPr>
        <w:tc>
          <w:tcPr>
            <w:tcW w:w="3099" w:type="dxa"/>
            <w:vAlign w:val="center"/>
          </w:tcPr>
          <w:p w14:paraId="7ECF558E">
            <w:pPr>
              <w:spacing w:before="40" w:after="40" w:line="288" w:lineRule="auto"/>
              <w:jc w:val="left"/>
            </w:pPr>
            <w:r>
              <w:rPr>
                <w:rFonts w:ascii="Times New Roman" w:hAnsi="Times New Roman" w:eastAsia="Noto Serif CJK SC" w:cs="Times New Roman"/>
                <w:b w:val="0"/>
                <w:i w:val="0"/>
                <w:sz w:val="20"/>
              </w:rPr>
              <w:t>往返节拍工位</w:t>
            </w:r>
          </w:p>
        </w:tc>
        <w:tc>
          <w:tcPr>
            <w:tcW w:w="3099" w:type="dxa"/>
            <w:vAlign w:val="center"/>
          </w:tcPr>
          <w:p w14:paraId="022846C2">
            <w:pPr>
              <w:spacing w:before="40" w:after="40" w:line="288" w:lineRule="auto"/>
              <w:jc w:val="left"/>
            </w:pPr>
            <w:r>
              <w:rPr>
                <w:rFonts w:ascii="Times New Roman" w:hAnsi="Times New Roman" w:eastAsia="Noto Serif CJK SC" w:cs="Times New Roman"/>
                <w:b w:val="0"/>
                <w:i w:val="0"/>
                <w:sz w:val="20"/>
              </w:rPr>
              <w:t>两点或多点循环运行</w:t>
            </w:r>
          </w:p>
        </w:tc>
        <w:tc>
          <w:tcPr>
            <w:tcW w:w="3099" w:type="dxa"/>
            <w:vAlign w:val="center"/>
          </w:tcPr>
          <w:p w14:paraId="543127EF">
            <w:pPr>
              <w:spacing w:before="40" w:after="40" w:line="288" w:lineRule="auto"/>
              <w:jc w:val="center"/>
            </w:pPr>
            <w:r>
              <w:rPr>
                <w:rFonts w:ascii="Times New Roman" w:hAnsi="Times New Roman" w:eastAsia="Noto Serif CJK SC" w:cs="Times New Roman"/>
                <w:b w:val="0"/>
                <w:i w:val="0"/>
                <w:sz w:val="20"/>
              </w:rPr>
              <w:t>连续运行成功率、故障恢复时间</w:t>
            </w:r>
          </w:p>
        </w:tc>
      </w:tr>
    </w:tbl>
    <w:p w14:paraId="4F0AA459"/>
    <w:p w14:paraId="28B63351">
      <w:pPr>
        <w:spacing w:before="200" w:after="120" w:line="288" w:lineRule="auto"/>
      </w:pPr>
      <w:r>
        <w:rPr>
          <w:rFonts w:ascii="Times New Roman" w:hAnsi="Times New Roman" w:eastAsia="Noto Sans CJK SC" w:cs="Times New Roman"/>
          <w:b/>
          <w:i w:val="0"/>
          <w:color w:val="203864"/>
          <w:sz w:val="30"/>
        </w:rPr>
        <w:t>四、系统功能设计</w:t>
      </w:r>
    </w:p>
    <w:p w14:paraId="0453A9FD">
      <w:pPr>
        <w:spacing w:before="0" w:after="160" w:line="360" w:lineRule="auto"/>
        <w:ind w:firstLine="480"/>
      </w:pPr>
      <w:r>
        <w:rPr>
          <w:rFonts w:ascii="Times New Roman" w:hAnsi="Times New Roman" w:eastAsia="Noto Serif CJK SC" w:cs="Times New Roman"/>
          <w:b w:val="0"/>
          <w:i w:val="0"/>
          <w:sz w:val="24"/>
        </w:rPr>
        <w:t>本方案的功能设计遵循“先做该有的，再做加分的”这一原则。基础功能包括回零、定长送料、点位定位、多工位位置表和连续循环运行。回零部分建议采用快速靠近、退回、慢速二次逼近的两段式流程，这样既能建立统一机械零点，也更有利于重复定位。定长送料和点位定位是最核心的两类工艺动作，前者体现实际应用价值，后者则有利于展示控制精度。</w:t>
      </w:r>
    </w:p>
    <w:p w14:paraId="306734A8">
      <w:pPr>
        <w:spacing w:before="0" w:after="160" w:line="360" w:lineRule="auto"/>
        <w:ind w:firstLine="480"/>
      </w:pPr>
      <w:r>
        <w:rPr>
          <w:rFonts w:ascii="Times New Roman" w:hAnsi="Times New Roman" w:eastAsia="Noto Serif CJK SC" w:cs="Times New Roman"/>
          <w:b w:val="0"/>
          <w:i w:val="0"/>
          <w:sz w:val="24"/>
        </w:rPr>
        <w:t>在运动规划上，系统至少支持梯形加减速，条件允许时可进一步加入 S 曲线速度规划。这样做并不是为了追求算法复杂，而是为了减小起停冲击、控制超调，并使整个送料过程更平顺。对于多工位场景，可在上位机中预先设定若干固定位置，通过工位号调用对应动作，避免现场频繁改程序。</w:t>
      </w:r>
    </w:p>
    <w:p w14:paraId="7FFF1568">
      <w:pPr>
        <w:spacing w:before="0" w:after="160" w:line="360" w:lineRule="auto"/>
        <w:ind w:firstLine="480"/>
      </w:pPr>
      <w:r>
        <w:rPr>
          <w:rFonts w:ascii="Times New Roman" w:hAnsi="Times New Roman" w:eastAsia="Noto Serif CJK SC" w:cs="Times New Roman"/>
          <w:b w:val="0"/>
          <w:i w:val="0"/>
          <w:sz w:val="24"/>
        </w:rPr>
        <w:t>在工程补全方面，系统应增加完整的保护和信息交互功能。保护部分至少包含正负限位、软限位、堵转、过流、过温和跟随误差过大等异常判定；交互部分则应包括参数设置、配方切换、曲线显示、日志记录和统计分析。做完这些之后，这个项目才更像一个实际可用的工位执行单元，而不只是实验性平台。</w:t>
      </w:r>
    </w:p>
    <w:p w14:paraId="6B62B35D">
      <w:r>
        <w:br w:type="page"/>
      </w:r>
    </w:p>
    <w:tbl>
      <w:tblPr>
        <w:tblStyle w:val="32"/>
        <w:tblW w:w="0" w:type="auto"/>
        <w:jc w:val="center"/>
        <w:tblBorders>
          <w:top w:val="single" w:color="D0D0D0" w:sz="8" w:space="0"/>
          <w:left w:val="single" w:color="D0D0D0" w:sz="8" w:space="0"/>
          <w:bottom w:val="single" w:color="D0D0D0" w:sz="8" w:space="0"/>
          <w:right w:val="single" w:color="D0D0D0" w:sz="8" w:space="0"/>
          <w:insideH w:val="single" w:color="D0D0D0" w:sz="8" w:space="0"/>
          <w:insideV w:val="single" w:color="D0D0D0" w:sz="8" w:space="0"/>
        </w:tblBorders>
        <w:tblLayout w:type="fixed"/>
        <w:tblCellMar>
          <w:top w:w="0" w:type="dxa"/>
          <w:left w:w="108" w:type="dxa"/>
          <w:bottom w:w="0" w:type="dxa"/>
          <w:right w:w="108" w:type="dxa"/>
        </w:tblCellMar>
      </w:tblPr>
      <w:tblGrid>
        <w:gridCol w:w="3099"/>
        <w:gridCol w:w="3099"/>
        <w:gridCol w:w="3099"/>
      </w:tblGrid>
      <w:tr w14:paraId="68003245">
        <w:tblPrEx>
          <w:tblBorders>
            <w:top w:val="single" w:color="D0D0D0" w:sz="8" w:space="0"/>
            <w:left w:val="single" w:color="D0D0D0" w:sz="8" w:space="0"/>
            <w:bottom w:val="single" w:color="D0D0D0" w:sz="8" w:space="0"/>
            <w:right w:val="single" w:color="D0D0D0" w:sz="8" w:space="0"/>
            <w:insideH w:val="single" w:color="D0D0D0" w:sz="8" w:space="0"/>
            <w:insideV w:val="single" w:color="D0D0D0" w:sz="8" w:space="0"/>
          </w:tblBorders>
          <w:tblCellMar>
            <w:top w:w="0" w:type="dxa"/>
            <w:left w:w="108" w:type="dxa"/>
            <w:bottom w:w="0" w:type="dxa"/>
            <w:right w:w="108" w:type="dxa"/>
          </w:tblCellMar>
        </w:tblPrEx>
        <w:trPr>
          <w:cantSplit/>
          <w:tblHeader/>
          <w:jc w:val="center"/>
        </w:trPr>
        <w:tc>
          <w:tcPr>
            <w:tcW w:w="3099" w:type="dxa"/>
            <w:shd w:val="clear" w:color="auto" w:fill="DCE6F1"/>
            <w:vAlign w:val="center"/>
          </w:tcPr>
          <w:p w14:paraId="00572A5A">
            <w:pPr>
              <w:spacing w:before="40" w:after="40" w:line="288" w:lineRule="auto"/>
              <w:jc w:val="center"/>
            </w:pPr>
            <w:r>
              <w:rPr>
                <w:rFonts w:ascii="Times New Roman" w:hAnsi="Times New Roman" w:eastAsia="Noto Serif CJK SC" w:cs="Times New Roman"/>
                <w:b/>
                <w:i w:val="0"/>
                <w:color w:val="203864"/>
                <w:sz w:val="21"/>
              </w:rPr>
              <w:t>功能模块</w:t>
            </w:r>
          </w:p>
        </w:tc>
        <w:tc>
          <w:tcPr>
            <w:tcW w:w="3099" w:type="dxa"/>
            <w:shd w:val="clear" w:color="auto" w:fill="DCE6F1"/>
            <w:vAlign w:val="center"/>
          </w:tcPr>
          <w:p w14:paraId="55ECDA3D">
            <w:pPr>
              <w:spacing w:before="40" w:after="40" w:line="288" w:lineRule="auto"/>
              <w:jc w:val="center"/>
            </w:pPr>
            <w:r>
              <w:rPr>
                <w:rFonts w:ascii="Times New Roman" w:hAnsi="Times New Roman" w:eastAsia="Noto Serif CJK SC" w:cs="Times New Roman"/>
                <w:b/>
                <w:i w:val="0"/>
                <w:color w:val="203864"/>
                <w:sz w:val="21"/>
              </w:rPr>
              <w:t>主要内容</w:t>
            </w:r>
          </w:p>
        </w:tc>
        <w:tc>
          <w:tcPr>
            <w:tcW w:w="3099" w:type="dxa"/>
            <w:shd w:val="clear" w:color="auto" w:fill="DCE6F1"/>
            <w:vAlign w:val="center"/>
          </w:tcPr>
          <w:p w14:paraId="342E8987">
            <w:pPr>
              <w:spacing w:before="40" w:after="40" w:line="288" w:lineRule="auto"/>
              <w:jc w:val="center"/>
            </w:pPr>
            <w:r>
              <w:rPr>
                <w:rFonts w:ascii="Times New Roman" w:hAnsi="Times New Roman" w:eastAsia="Noto Serif CJK SC" w:cs="Times New Roman"/>
                <w:b/>
                <w:i w:val="0"/>
                <w:color w:val="203864"/>
                <w:sz w:val="21"/>
              </w:rPr>
              <w:t>备注</w:t>
            </w:r>
          </w:p>
        </w:tc>
      </w:tr>
      <w:tr w14:paraId="0354730A">
        <w:tblPrEx>
          <w:tblBorders>
            <w:top w:val="single" w:color="D0D0D0" w:sz="8" w:space="0"/>
            <w:left w:val="single" w:color="D0D0D0" w:sz="8" w:space="0"/>
            <w:bottom w:val="single" w:color="D0D0D0" w:sz="8" w:space="0"/>
            <w:right w:val="single" w:color="D0D0D0" w:sz="8" w:space="0"/>
            <w:insideH w:val="single" w:color="D0D0D0" w:sz="8" w:space="0"/>
            <w:insideV w:val="single" w:color="D0D0D0" w:sz="8" w:space="0"/>
          </w:tblBorders>
          <w:tblCellMar>
            <w:top w:w="0" w:type="dxa"/>
            <w:left w:w="108" w:type="dxa"/>
            <w:bottom w:w="0" w:type="dxa"/>
            <w:right w:w="108" w:type="dxa"/>
          </w:tblCellMar>
        </w:tblPrEx>
        <w:trPr>
          <w:cantSplit/>
          <w:jc w:val="center"/>
        </w:trPr>
        <w:tc>
          <w:tcPr>
            <w:tcW w:w="3099" w:type="dxa"/>
            <w:vAlign w:val="center"/>
          </w:tcPr>
          <w:p w14:paraId="4C501FC1">
            <w:pPr>
              <w:spacing w:before="40" w:after="40" w:line="288" w:lineRule="auto"/>
              <w:jc w:val="center"/>
            </w:pPr>
            <w:r>
              <w:rPr>
                <w:rFonts w:ascii="Times New Roman" w:hAnsi="Times New Roman" w:eastAsia="Noto Serif CJK SC" w:cs="Times New Roman"/>
                <w:b/>
                <w:i w:val="0"/>
                <w:sz w:val="20"/>
              </w:rPr>
              <w:t>回零与基准建立</w:t>
            </w:r>
          </w:p>
        </w:tc>
        <w:tc>
          <w:tcPr>
            <w:tcW w:w="3099" w:type="dxa"/>
            <w:vAlign w:val="center"/>
          </w:tcPr>
          <w:p w14:paraId="3A4D6F67">
            <w:pPr>
              <w:spacing w:before="40" w:after="40" w:line="288" w:lineRule="auto"/>
              <w:jc w:val="left"/>
            </w:pPr>
            <w:r>
              <w:rPr>
                <w:rFonts w:ascii="Times New Roman" w:hAnsi="Times New Roman" w:eastAsia="Noto Serif CJK SC" w:cs="Times New Roman"/>
                <w:b w:val="0"/>
                <w:i w:val="0"/>
                <w:sz w:val="20"/>
              </w:rPr>
              <w:t>原点检测、二次逼近、零点偏置写入</w:t>
            </w:r>
          </w:p>
        </w:tc>
        <w:tc>
          <w:tcPr>
            <w:tcW w:w="3099" w:type="dxa"/>
            <w:vAlign w:val="center"/>
          </w:tcPr>
          <w:p w14:paraId="0CB29846">
            <w:pPr>
              <w:spacing w:before="40" w:after="40" w:line="288" w:lineRule="auto"/>
              <w:jc w:val="center"/>
            </w:pPr>
            <w:r>
              <w:rPr>
                <w:rFonts w:ascii="Times New Roman" w:hAnsi="Times New Roman" w:eastAsia="Noto Serif CJK SC" w:cs="Times New Roman"/>
                <w:b w:val="0"/>
                <w:i w:val="0"/>
                <w:sz w:val="20"/>
              </w:rPr>
              <w:t>开机必做</w:t>
            </w:r>
          </w:p>
        </w:tc>
      </w:tr>
      <w:tr w14:paraId="6DFDCA91">
        <w:tblPrEx>
          <w:tblBorders>
            <w:top w:val="single" w:color="D0D0D0" w:sz="8" w:space="0"/>
            <w:left w:val="single" w:color="D0D0D0" w:sz="8" w:space="0"/>
            <w:bottom w:val="single" w:color="D0D0D0" w:sz="8" w:space="0"/>
            <w:right w:val="single" w:color="D0D0D0" w:sz="8" w:space="0"/>
            <w:insideH w:val="single" w:color="D0D0D0" w:sz="8" w:space="0"/>
            <w:insideV w:val="single" w:color="D0D0D0" w:sz="8" w:space="0"/>
          </w:tblBorders>
          <w:tblCellMar>
            <w:top w:w="0" w:type="dxa"/>
            <w:left w:w="108" w:type="dxa"/>
            <w:bottom w:w="0" w:type="dxa"/>
            <w:right w:w="108" w:type="dxa"/>
          </w:tblCellMar>
        </w:tblPrEx>
        <w:trPr>
          <w:cantSplit/>
          <w:jc w:val="center"/>
        </w:trPr>
        <w:tc>
          <w:tcPr>
            <w:tcW w:w="3099" w:type="dxa"/>
            <w:vAlign w:val="center"/>
          </w:tcPr>
          <w:p w14:paraId="6B1D1E85">
            <w:pPr>
              <w:spacing w:before="40" w:after="40" w:line="288" w:lineRule="auto"/>
              <w:jc w:val="center"/>
            </w:pPr>
            <w:r>
              <w:rPr>
                <w:rFonts w:ascii="Times New Roman" w:hAnsi="Times New Roman" w:eastAsia="Noto Serif CJK SC" w:cs="Times New Roman"/>
                <w:b/>
                <w:i w:val="0"/>
                <w:sz w:val="20"/>
              </w:rPr>
              <w:t>送料与定位</w:t>
            </w:r>
          </w:p>
        </w:tc>
        <w:tc>
          <w:tcPr>
            <w:tcW w:w="3099" w:type="dxa"/>
            <w:vAlign w:val="center"/>
          </w:tcPr>
          <w:p w14:paraId="0D292393">
            <w:pPr>
              <w:spacing w:before="40" w:after="40" w:line="288" w:lineRule="auto"/>
              <w:jc w:val="left"/>
            </w:pPr>
            <w:r>
              <w:rPr>
                <w:rFonts w:ascii="Times New Roman" w:hAnsi="Times New Roman" w:eastAsia="Noto Serif CJK SC" w:cs="Times New Roman"/>
                <w:b w:val="0"/>
                <w:i w:val="0"/>
                <w:sz w:val="20"/>
              </w:rPr>
              <w:t>定长送料、点位定位、多工位切换</w:t>
            </w:r>
          </w:p>
        </w:tc>
        <w:tc>
          <w:tcPr>
            <w:tcW w:w="3099" w:type="dxa"/>
            <w:vAlign w:val="center"/>
          </w:tcPr>
          <w:p w14:paraId="2A175B9F">
            <w:pPr>
              <w:spacing w:before="40" w:after="40" w:line="288" w:lineRule="auto"/>
              <w:jc w:val="center"/>
            </w:pPr>
            <w:r>
              <w:rPr>
                <w:rFonts w:ascii="Times New Roman" w:hAnsi="Times New Roman" w:eastAsia="Noto Serif CJK SC" w:cs="Times New Roman"/>
                <w:b w:val="0"/>
                <w:i w:val="0"/>
                <w:sz w:val="20"/>
              </w:rPr>
              <w:t>核心工艺动作</w:t>
            </w:r>
          </w:p>
        </w:tc>
      </w:tr>
      <w:tr w14:paraId="3F86FBEA">
        <w:tblPrEx>
          <w:tblBorders>
            <w:top w:val="single" w:color="D0D0D0" w:sz="8" w:space="0"/>
            <w:left w:val="single" w:color="D0D0D0" w:sz="8" w:space="0"/>
            <w:bottom w:val="single" w:color="D0D0D0" w:sz="8" w:space="0"/>
            <w:right w:val="single" w:color="D0D0D0" w:sz="8" w:space="0"/>
            <w:insideH w:val="single" w:color="D0D0D0" w:sz="8" w:space="0"/>
            <w:insideV w:val="single" w:color="D0D0D0" w:sz="8" w:space="0"/>
          </w:tblBorders>
          <w:tblCellMar>
            <w:top w:w="0" w:type="dxa"/>
            <w:left w:w="108" w:type="dxa"/>
            <w:bottom w:w="0" w:type="dxa"/>
            <w:right w:w="108" w:type="dxa"/>
          </w:tblCellMar>
        </w:tblPrEx>
        <w:trPr>
          <w:cantSplit/>
          <w:jc w:val="center"/>
        </w:trPr>
        <w:tc>
          <w:tcPr>
            <w:tcW w:w="3099" w:type="dxa"/>
            <w:vAlign w:val="center"/>
          </w:tcPr>
          <w:p w14:paraId="01F26DBE">
            <w:pPr>
              <w:spacing w:before="40" w:after="40" w:line="288" w:lineRule="auto"/>
              <w:jc w:val="center"/>
            </w:pPr>
            <w:r>
              <w:rPr>
                <w:rFonts w:ascii="Times New Roman" w:hAnsi="Times New Roman" w:eastAsia="Noto Serif CJK SC" w:cs="Times New Roman"/>
                <w:b/>
                <w:i w:val="0"/>
                <w:sz w:val="20"/>
              </w:rPr>
              <w:t>节拍运行</w:t>
            </w:r>
          </w:p>
        </w:tc>
        <w:tc>
          <w:tcPr>
            <w:tcW w:w="3099" w:type="dxa"/>
            <w:vAlign w:val="center"/>
          </w:tcPr>
          <w:p w14:paraId="6A7BDBE2">
            <w:pPr>
              <w:spacing w:before="40" w:after="40" w:line="288" w:lineRule="auto"/>
              <w:jc w:val="left"/>
            </w:pPr>
            <w:r>
              <w:rPr>
                <w:rFonts w:ascii="Times New Roman" w:hAnsi="Times New Roman" w:eastAsia="Noto Serif CJK SC" w:cs="Times New Roman"/>
                <w:b w:val="0"/>
                <w:i w:val="0"/>
                <w:sz w:val="20"/>
              </w:rPr>
              <w:t>往返循环、停留时间、循环次数设置</w:t>
            </w:r>
          </w:p>
        </w:tc>
        <w:tc>
          <w:tcPr>
            <w:tcW w:w="3099" w:type="dxa"/>
            <w:vAlign w:val="center"/>
          </w:tcPr>
          <w:p w14:paraId="352DE932">
            <w:pPr>
              <w:spacing w:before="40" w:after="40" w:line="288" w:lineRule="auto"/>
              <w:jc w:val="center"/>
            </w:pPr>
            <w:r>
              <w:rPr>
                <w:rFonts w:ascii="Times New Roman" w:hAnsi="Times New Roman" w:eastAsia="Noto Serif CJK SC" w:cs="Times New Roman"/>
                <w:b w:val="0"/>
                <w:i w:val="0"/>
                <w:sz w:val="20"/>
              </w:rPr>
              <w:t>用于工位演示</w:t>
            </w:r>
          </w:p>
        </w:tc>
      </w:tr>
      <w:tr w14:paraId="6215B766">
        <w:tblPrEx>
          <w:tblBorders>
            <w:top w:val="single" w:color="D0D0D0" w:sz="8" w:space="0"/>
            <w:left w:val="single" w:color="D0D0D0" w:sz="8" w:space="0"/>
            <w:bottom w:val="single" w:color="D0D0D0" w:sz="8" w:space="0"/>
            <w:right w:val="single" w:color="D0D0D0" w:sz="8" w:space="0"/>
            <w:insideH w:val="single" w:color="D0D0D0" w:sz="8" w:space="0"/>
            <w:insideV w:val="single" w:color="D0D0D0" w:sz="8" w:space="0"/>
          </w:tblBorders>
          <w:tblCellMar>
            <w:top w:w="0" w:type="dxa"/>
            <w:left w:w="108" w:type="dxa"/>
            <w:bottom w:w="0" w:type="dxa"/>
            <w:right w:w="108" w:type="dxa"/>
          </w:tblCellMar>
        </w:tblPrEx>
        <w:trPr>
          <w:cantSplit/>
          <w:jc w:val="center"/>
        </w:trPr>
        <w:tc>
          <w:tcPr>
            <w:tcW w:w="3099" w:type="dxa"/>
            <w:vAlign w:val="center"/>
          </w:tcPr>
          <w:p w14:paraId="1A07B777">
            <w:pPr>
              <w:spacing w:before="40" w:after="40" w:line="288" w:lineRule="auto"/>
              <w:jc w:val="center"/>
            </w:pPr>
            <w:r>
              <w:rPr>
                <w:rFonts w:ascii="Times New Roman" w:hAnsi="Times New Roman" w:eastAsia="Noto Serif CJK SC" w:cs="Times New Roman"/>
                <w:b/>
                <w:i w:val="0"/>
                <w:sz w:val="20"/>
              </w:rPr>
              <w:t>保护系统</w:t>
            </w:r>
          </w:p>
        </w:tc>
        <w:tc>
          <w:tcPr>
            <w:tcW w:w="3099" w:type="dxa"/>
            <w:vAlign w:val="center"/>
          </w:tcPr>
          <w:p w14:paraId="27268649">
            <w:pPr>
              <w:spacing w:before="40" w:after="40" w:line="288" w:lineRule="auto"/>
              <w:jc w:val="left"/>
            </w:pPr>
            <w:r>
              <w:rPr>
                <w:rFonts w:ascii="Times New Roman" w:hAnsi="Times New Roman" w:eastAsia="Noto Serif CJK SC" w:cs="Times New Roman"/>
                <w:b w:val="0"/>
                <w:i w:val="0"/>
                <w:sz w:val="20"/>
              </w:rPr>
              <w:t>限位、堵转、过流、过温、超差报警</w:t>
            </w:r>
          </w:p>
        </w:tc>
        <w:tc>
          <w:tcPr>
            <w:tcW w:w="3099" w:type="dxa"/>
            <w:vAlign w:val="center"/>
          </w:tcPr>
          <w:p w14:paraId="3C54DCCD">
            <w:pPr>
              <w:spacing w:before="40" w:after="40" w:line="288" w:lineRule="auto"/>
              <w:jc w:val="center"/>
            </w:pPr>
            <w:r>
              <w:rPr>
                <w:rFonts w:ascii="Times New Roman" w:hAnsi="Times New Roman" w:eastAsia="Noto Serif CJK SC" w:cs="Times New Roman"/>
                <w:b w:val="0"/>
                <w:i w:val="0"/>
                <w:sz w:val="20"/>
              </w:rPr>
              <w:t>体现工程完整度</w:t>
            </w:r>
          </w:p>
        </w:tc>
      </w:tr>
      <w:tr w14:paraId="6CBBA377">
        <w:tblPrEx>
          <w:tblBorders>
            <w:top w:val="single" w:color="D0D0D0" w:sz="8" w:space="0"/>
            <w:left w:val="single" w:color="D0D0D0" w:sz="8" w:space="0"/>
            <w:bottom w:val="single" w:color="D0D0D0" w:sz="8" w:space="0"/>
            <w:right w:val="single" w:color="D0D0D0" w:sz="8" w:space="0"/>
            <w:insideH w:val="single" w:color="D0D0D0" w:sz="8" w:space="0"/>
            <w:insideV w:val="single" w:color="D0D0D0" w:sz="8" w:space="0"/>
          </w:tblBorders>
          <w:tblCellMar>
            <w:top w:w="0" w:type="dxa"/>
            <w:left w:w="108" w:type="dxa"/>
            <w:bottom w:w="0" w:type="dxa"/>
            <w:right w:w="108" w:type="dxa"/>
          </w:tblCellMar>
        </w:tblPrEx>
        <w:trPr>
          <w:cantSplit/>
          <w:jc w:val="center"/>
        </w:trPr>
        <w:tc>
          <w:tcPr>
            <w:tcW w:w="3099" w:type="dxa"/>
            <w:vAlign w:val="center"/>
          </w:tcPr>
          <w:p w14:paraId="53BCD222">
            <w:pPr>
              <w:spacing w:before="40" w:after="40" w:line="288" w:lineRule="auto"/>
              <w:jc w:val="center"/>
            </w:pPr>
            <w:r>
              <w:rPr>
                <w:rFonts w:ascii="Times New Roman" w:hAnsi="Times New Roman" w:eastAsia="Noto Serif CJK SC" w:cs="Times New Roman"/>
                <w:b/>
                <w:i w:val="0"/>
                <w:sz w:val="20"/>
              </w:rPr>
              <w:t>上位机交互</w:t>
            </w:r>
          </w:p>
        </w:tc>
        <w:tc>
          <w:tcPr>
            <w:tcW w:w="3099" w:type="dxa"/>
            <w:vAlign w:val="center"/>
          </w:tcPr>
          <w:p w14:paraId="52E5BE2F">
            <w:pPr>
              <w:spacing w:before="40" w:after="40" w:line="288" w:lineRule="auto"/>
              <w:jc w:val="left"/>
            </w:pPr>
            <w:r>
              <w:rPr>
                <w:rFonts w:ascii="Times New Roman" w:hAnsi="Times New Roman" w:eastAsia="Noto Serif CJK SC" w:cs="Times New Roman"/>
                <w:b w:val="0"/>
                <w:i w:val="0"/>
                <w:sz w:val="20"/>
              </w:rPr>
              <w:t>参数设置、曲线显示、配方调用</w:t>
            </w:r>
          </w:p>
        </w:tc>
        <w:tc>
          <w:tcPr>
            <w:tcW w:w="3099" w:type="dxa"/>
            <w:vAlign w:val="center"/>
          </w:tcPr>
          <w:p w14:paraId="00FDB454">
            <w:pPr>
              <w:spacing w:before="40" w:after="40" w:line="288" w:lineRule="auto"/>
              <w:jc w:val="center"/>
            </w:pPr>
            <w:r>
              <w:rPr>
                <w:rFonts w:ascii="Times New Roman" w:hAnsi="Times New Roman" w:eastAsia="Noto Serif CJK SC" w:cs="Times New Roman"/>
                <w:b w:val="0"/>
                <w:i w:val="0"/>
                <w:sz w:val="20"/>
              </w:rPr>
              <w:t>便于调试与答辩展示</w:t>
            </w:r>
          </w:p>
        </w:tc>
      </w:tr>
      <w:tr w14:paraId="7EE7EF10">
        <w:tblPrEx>
          <w:tblBorders>
            <w:top w:val="single" w:color="D0D0D0" w:sz="8" w:space="0"/>
            <w:left w:val="single" w:color="D0D0D0" w:sz="8" w:space="0"/>
            <w:bottom w:val="single" w:color="D0D0D0" w:sz="8" w:space="0"/>
            <w:right w:val="single" w:color="D0D0D0" w:sz="8" w:space="0"/>
            <w:insideH w:val="single" w:color="D0D0D0" w:sz="8" w:space="0"/>
            <w:insideV w:val="single" w:color="D0D0D0" w:sz="8" w:space="0"/>
          </w:tblBorders>
          <w:tblCellMar>
            <w:top w:w="0" w:type="dxa"/>
            <w:left w:w="108" w:type="dxa"/>
            <w:bottom w:w="0" w:type="dxa"/>
            <w:right w:w="108" w:type="dxa"/>
          </w:tblCellMar>
        </w:tblPrEx>
        <w:trPr>
          <w:cantSplit/>
          <w:jc w:val="center"/>
        </w:trPr>
        <w:tc>
          <w:tcPr>
            <w:tcW w:w="3099" w:type="dxa"/>
            <w:vAlign w:val="center"/>
          </w:tcPr>
          <w:p w14:paraId="40FF3430">
            <w:pPr>
              <w:spacing w:before="40" w:after="40" w:line="288" w:lineRule="auto"/>
              <w:jc w:val="center"/>
            </w:pPr>
            <w:r>
              <w:rPr>
                <w:rFonts w:ascii="Times New Roman" w:hAnsi="Times New Roman" w:eastAsia="Noto Serif CJK SC" w:cs="Times New Roman"/>
                <w:b/>
                <w:i w:val="0"/>
                <w:sz w:val="20"/>
              </w:rPr>
              <w:t>日志与统计</w:t>
            </w:r>
          </w:p>
        </w:tc>
        <w:tc>
          <w:tcPr>
            <w:tcW w:w="3099" w:type="dxa"/>
            <w:vAlign w:val="center"/>
          </w:tcPr>
          <w:p w14:paraId="6BBDF1BC">
            <w:pPr>
              <w:spacing w:before="40" w:after="40" w:line="288" w:lineRule="auto"/>
              <w:jc w:val="left"/>
            </w:pPr>
            <w:r>
              <w:rPr>
                <w:rFonts w:ascii="Times New Roman" w:hAnsi="Times New Roman" w:eastAsia="Noto Serif CJK SC" w:cs="Times New Roman"/>
                <w:b w:val="0"/>
                <w:i w:val="0"/>
                <w:sz w:val="20"/>
              </w:rPr>
              <w:t>故障记录、成功率、连续运行统计</w:t>
            </w:r>
          </w:p>
        </w:tc>
        <w:tc>
          <w:tcPr>
            <w:tcW w:w="3099" w:type="dxa"/>
            <w:vAlign w:val="center"/>
          </w:tcPr>
          <w:p w14:paraId="4C88002B">
            <w:pPr>
              <w:spacing w:before="40" w:after="40" w:line="288" w:lineRule="auto"/>
              <w:jc w:val="center"/>
            </w:pPr>
            <w:r>
              <w:rPr>
                <w:rFonts w:ascii="Times New Roman" w:hAnsi="Times New Roman" w:eastAsia="Noto Serif CJK SC" w:cs="Times New Roman"/>
                <w:b w:val="0"/>
                <w:i w:val="0"/>
                <w:sz w:val="20"/>
              </w:rPr>
              <w:t>增强产品感</w:t>
            </w:r>
          </w:p>
        </w:tc>
      </w:tr>
    </w:tbl>
    <w:p w14:paraId="20196709"/>
    <w:p w14:paraId="31EDB053">
      <w:pPr>
        <w:spacing w:before="200" w:after="120" w:line="288" w:lineRule="auto"/>
      </w:pPr>
      <w:r>
        <w:rPr>
          <w:rFonts w:ascii="Times New Roman" w:hAnsi="Times New Roman" w:eastAsia="Noto Sans CJK SC" w:cs="Times New Roman"/>
          <w:b/>
          <w:i w:val="0"/>
          <w:color w:val="203864"/>
          <w:sz w:val="30"/>
        </w:rPr>
        <w:t>五、硬件与系统构成</w:t>
      </w:r>
    </w:p>
    <w:p w14:paraId="45CAE9BA">
      <w:pPr>
        <w:spacing w:before="0" w:after="160" w:line="360" w:lineRule="auto"/>
        <w:ind w:firstLine="480"/>
      </w:pPr>
      <w:r>
        <w:rPr>
          <w:rFonts w:ascii="Times New Roman" w:hAnsi="Times New Roman" w:eastAsia="Noto Serif CJK SC" w:cs="Times New Roman"/>
          <w:b w:val="0"/>
          <w:i w:val="0"/>
          <w:sz w:val="24"/>
        </w:rPr>
        <w:t>硬件部分坚持“够用、稳定、复用”的原则。机械执行部分继续采用现有丝杆滑台，包括导轨、丝杆、电机和联轴器等基础结构，尽量不对主机械系统做大改。控制核心建议选用 STM32G4 系列，原因是其本身更贴近 ST 赛道的运动控制方向，后续无论是继续做图形界面还是接入轻量智能功能，都有足够余量。</w:t>
      </w:r>
    </w:p>
    <w:p w14:paraId="18722867">
      <w:pPr>
        <w:spacing w:before="0" w:after="160" w:line="360" w:lineRule="auto"/>
        <w:ind w:firstLine="480"/>
      </w:pPr>
      <w:r>
        <w:rPr>
          <w:rFonts w:ascii="Times New Roman" w:hAnsi="Times New Roman" w:eastAsia="Noto Serif CJK SC" w:cs="Times New Roman"/>
          <w:b w:val="0"/>
          <w:i w:val="0"/>
          <w:sz w:val="24"/>
        </w:rPr>
        <w:t>在传感器和输入部分，本方案不再额外引入测量探头，只保留与执行单元自身状态最相关的信号，包括编码器反馈、电流采样、温度采样、正负限位和急停输入。这些信号已经足以支撑定位控制、状态监测和保护逻辑。通信方面优先采用 USB 转串口或串口直连上位机的方式，先把调试和交互做通，后续若有余力再考虑 CAN 或蓝牙等扩展。</w:t>
      </w:r>
    </w:p>
    <w:p w14:paraId="30FD87BB">
      <w:pPr>
        <w:spacing w:before="0" w:after="160" w:line="360" w:lineRule="auto"/>
        <w:ind w:firstLine="480"/>
      </w:pPr>
      <w:r>
        <w:rPr>
          <w:rFonts w:ascii="Times New Roman" w:hAnsi="Times New Roman" w:eastAsia="Noto Serif CJK SC" w:cs="Times New Roman"/>
          <w:b w:val="0"/>
          <w:i w:val="0"/>
          <w:sz w:val="24"/>
        </w:rPr>
        <w:t>从系统结构看，整体可以分为机械执行、驱动控制、状态采集、工艺动作、故障保护和上位机交互六个部分。这样的拆分方式有利于后续程序分层，也更方便在说明书和答辩中讲清楚系统结构。</w:t>
      </w:r>
    </w:p>
    <w:p w14:paraId="70F69B63">
      <w:pPr>
        <w:spacing w:before="200" w:after="120" w:line="288" w:lineRule="auto"/>
      </w:pPr>
      <w:r>
        <w:rPr>
          <w:rFonts w:ascii="Times New Roman" w:hAnsi="Times New Roman" w:eastAsia="Noto Sans CJK SC" w:cs="Times New Roman"/>
          <w:b/>
          <w:i w:val="0"/>
          <w:color w:val="203864"/>
          <w:sz w:val="30"/>
        </w:rPr>
        <w:t>六、软件架构与控制流程</w:t>
      </w:r>
    </w:p>
    <w:p w14:paraId="469B9158">
      <w:pPr>
        <w:spacing w:before="0" w:after="160" w:line="360" w:lineRule="auto"/>
        <w:ind w:firstLine="480"/>
      </w:pPr>
      <w:r>
        <w:rPr>
          <w:rFonts w:ascii="Times New Roman" w:hAnsi="Times New Roman" w:eastAsia="Noto Serif CJK SC" w:cs="Times New Roman"/>
          <w:b w:val="0"/>
          <w:i w:val="0"/>
          <w:sz w:val="24"/>
        </w:rPr>
        <w:t>软件部分建议按层设计，而不是把所有逻辑堆在主循环里。底层负责 PWM、编码器、ADC、限位输入、温度采样和串口通信；数据层负责计算当前位置、当前速度、电流、温度与跟随误差；运动控制层负责位置与速度闭环，以及梯形或 S 曲线规划；工艺动作层负责回零、送料、定位和循环运行；安全层负责故障检测、故障分类和停机动作；最上层则负责参数管理、日志管理和上位机通信。</w:t>
      </w:r>
    </w:p>
    <w:p w14:paraId="42EA9DFF">
      <w:pPr>
        <w:spacing w:before="0" w:after="160" w:line="360" w:lineRule="auto"/>
        <w:ind w:firstLine="480"/>
      </w:pPr>
      <w:r>
        <w:rPr>
          <w:rFonts w:ascii="Times New Roman" w:hAnsi="Times New Roman" w:eastAsia="Noto Serif CJK SC" w:cs="Times New Roman"/>
          <w:b w:val="0"/>
          <w:i w:val="0"/>
          <w:sz w:val="24"/>
        </w:rPr>
        <w:t>系统运行流程也应明确：上电后先完成自检与参数读取，随后进入回零流程；回零成功后，系统进入就绪状态，等待用户选择配方或输入动作命令；执行过程中实时监测位置、电流和温度等状态，一旦触发故障判据，立即执行对应保护动作，并将故障信息记录下来。故障解除后，系统可根据故障级别决定是直接恢复，还是要求重新回零后再继续运行。</w:t>
      </w:r>
    </w:p>
    <w:p w14:paraId="43E82696">
      <w:pPr>
        <w:spacing w:before="0" w:after="160" w:line="360" w:lineRule="auto"/>
        <w:ind w:firstLine="480"/>
      </w:pPr>
      <w:r>
        <w:rPr>
          <w:rFonts w:ascii="Times New Roman" w:hAnsi="Times New Roman" w:eastAsia="Noto Serif CJK SC" w:cs="Times New Roman"/>
          <w:b w:val="0"/>
          <w:i w:val="0"/>
          <w:sz w:val="24"/>
        </w:rPr>
        <w:t>对于你们当前的基础来说，软件重点不再是重新推翻底层控制，而是把回零逻辑、动作状态机和故障状态机做完整。前者决定它能不能完成工艺动作，后者决定它像不像工业设备。</w:t>
      </w:r>
    </w:p>
    <w:p w14:paraId="39184662">
      <w:pPr>
        <w:spacing w:before="200" w:after="120" w:line="288" w:lineRule="auto"/>
      </w:pPr>
      <w:r>
        <w:rPr>
          <w:rFonts w:ascii="Times New Roman" w:hAnsi="Times New Roman" w:eastAsia="Noto Sans CJK SC" w:cs="Times New Roman"/>
          <w:b/>
          <w:i w:val="0"/>
          <w:color w:val="203864"/>
          <w:sz w:val="30"/>
        </w:rPr>
        <w:t>七、保护机制与故障处理</w:t>
      </w:r>
    </w:p>
    <w:p w14:paraId="302E3957">
      <w:pPr>
        <w:spacing w:before="0" w:after="160" w:line="360" w:lineRule="auto"/>
        <w:ind w:firstLine="480"/>
      </w:pPr>
      <w:r>
        <w:rPr>
          <w:rFonts w:ascii="Times New Roman" w:hAnsi="Times New Roman" w:eastAsia="Noto Serif CJK SC" w:cs="Times New Roman"/>
          <w:b w:val="0"/>
          <w:i w:val="0"/>
          <w:sz w:val="24"/>
        </w:rPr>
        <w:t>保护机制是本方案的关键部分，也是从“能跑”走向“能用”的分界线。限位保护应分为硬限位与软限位两类：硬限位用于最终保护，开关触发后立即停止；软限位则通过软件判断当前位置，提前禁止继续向危险方向运动。堵转保护可通过电流持续偏高、速度接近零、控制输出较大并持续一段时间这几项条件综合判定。</w:t>
      </w:r>
    </w:p>
    <w:p w14:paraId="79F0B3D5">
      <w:pPr>
        <w:spacing w:before="0" w:after="160" w:line="360" w:lineRule="auto"/>
        <w:ind w:firstLine="480"/>
      </w:pPr>
      <w:r>
        <w:rPr>
          <w:rFonts w:ascii="Times New Roman" w:hAnsi="Times New Roman" w:eastAsia="Noto Serif CJK SC" w:cs="Times New Roman"/>
          <w:b w:val="0"/>
          <w:i w:val="0"/>
          <w:sz w:val="24"/>
        </w:rPr>
        <w:t>过流保护和过温保护建议都采用两级策略。对于过流，可先限流或降速，再在严重情况下停机；对于温度，则可设置预警阈值和停机阈值，前者提示系统处于高负载状态，后者直接切断动作并进入故障锁定。跟随误差保护则用于监控控制稳定性，当误差超过阈值并持续一段时间时，可判定为机械阻力异常或参数失稳。</w:t>
      </w:r>
    </w:p>
    <w:p w14:paraId="0EA75BC2">
      <w:pPr>
        <w:keepNext/>
        <w:spacing w:before="0" w:after="160" w:line="360" w:lineRule="auto"/>
        <w:ind w:firstLine="480"/>
      </w:pPr>
      <w:r>
        <w:rPr>
          <w:rFonts w:ascii="Times New Roman" w:hAnsi="Times New Roman" w:eastAsia="Noto Serif CJK SC" w:cs="Times New Roman"/>
          <w:b w:val="0"/>
          <w:i w:val="0"/>
          <w:sz w:val="24"/>
        </w:rPr>
        <w:t>每种故障都不应该只是简单地报码，而是要对应明确的处理动作和恢复方式。例如限位一般需要人工复位，堵转需要停机后排除机械卡滞，过温则应等待温度回落后才能恢复。所有故障还需要带上时间、位置、电流、温度和当前配方编号等信息，以便后续排查。</w:t>
      </w:r>
    </w:p>
    <w:tbl>
      <w:tblPr>
        <w:tblStyle w:val="32"/>
        <w:tblW w:w="0" w:type="auto"/>
        <w:jc w:val="center"/>
        <w:tblBorders>
          <w:top w:val="single" w:color="D0D0D0" w:sz="8" w:space="0"/>
          <w:left w:val="single" w:color="D0D0D0" w:sz="8" w:space="0"/>
          <w:bottom w:val="single" w:color="D0D0D0" w:sz="8" w:space="0"/>
          <w:right w:val="single" w:color="D0D0D0" w:sz="8" w:space="0"/>
          <w:insideH w:val="single" w:color="D0D0D0" w:sz="8" w:space="0"/>
          <w:insideV w:val="single" w:color="D0D0D0" w:sz="8" w:space="0"/>
        </w:tblBorders>
        <w:tblLayout w:type="fixed"/>
        <w:tblCellMar>
          <w:top w:w="0" w:type="dxa"/>
          <w:left w:w="108" w:type="dxa"/>
          <w:bottom w:w="0" w:type="dxa"/>
          <w:right w:w="108" w:type="dxa"/>
        </w:tblCellMar>
      </w:tblPr>
      <w:tblGrid>
        <w:gridCol w:w="2324"/>
        <w:gridCol w:w="2324"/>
        <w:gridCol w:w="2324"/>
        <w:gridCol w:w="2324"/>
      </w:tblGrid>
      <w:tr w14:paraId="456396DE">
        <w:tblPrEx>
          <w:tblBorders>
            <w:top w:val="single" w:color="D0D0D0" w:sz="8" w:space="0"/>
            <w:left w:val="single" w:color="D0D0D0" w:sz="8" w:space="0"/>
            <w:bottom w:val="single" w:color="D0D0D0" w:sz="8" w:space="0"/>
            <w:right w:val="single" w:color="D0D0D0" w:sz="8" w:space="0"/>
            <w:insideH w:val="single" w:color="D0D0D0" w:sz="8" w:space="0"/>
            <w:insideV w:val="single" w:color="D0D0D0" w:sz="8" w:space="0"/>
          </w:tblBorders>
        </w:tblPrEx>
        <w:trPr>
          <w:cantSplit/>
          <w:tblHeader/>
          <w:jc w:val="center"/>
        </w:trPr>
        <w:tc>
          <w:tcPr>
            <w:tcW w:w="2324" w:type="dxa"/>
            <w:shd w:val="clear" w:color="auto" w:fill="DCE6F1"/>
            <w:vAlign w:val="center"/>
          </w:tcPr>
          <w:p w14:paraId="438007C2">
            <w:pPr>
              <w:spacing w:before="40" w:after="40" w:line="288" w:lineRule="auto"/>
              <w:jc w:val="center"/>
            </w:pPr>
            <w:r>
              <w:rPr>
                <w:rFonts w:ascii="Times New Roman" w:hAnsi="Times New Roman" w:eastAsia="Noto Serif CJK SC" w:cs="Times New Roman"/>
                <w:b/>
                <w:i w:val="0"/>
                <w:color w:val="203864"/>
                <w:sz w:val="20"/>
              </w:rPr>
              <w:t>故障类型</w:t>
            </w:r>
          </w:p>
        </w:tc>
        <w:tc>
          <w:tcPr>
            <w:tcW w:w="2324" w:type="dxa"/>
            <w:shd w:val="clear" w:color="auto" w:fill="DCE6F1"/>
            <w:vAlign w:val="center"/>
          </w:tcPr>
          <w:p w14:paraId="3C454B2E">
            <w:pPr>
              <w:spacing w:before="40" w:after="40" w:line="288" w:lineRule="auto"/>
              <w:jc w:val="center"/>
            </w:pPr>
            <w:r>
              <w:rPr>
                <w:rFonts w:ascii="Times New Roman" w:hAnsi="Times New Roman" w:eastAsia="Noto Serif CJK SC" w:cs="Times New Roman"/>
                <w:b/>
                <w:i w:val="0"/>
                <w:color w:val="203864"/>
                <w:sz w:val="20"/>
              </w:rPr>
              <w:t>主要判据</w:t>
            </w:r>
          </w:p>
        </w:tc>
        <w:tc>
          <w:tcPr>
            <w:tcW w:w="2324" w:type="dxa"/>
            <w:shd w:val="clear" w:color="auto" w:fill="DCE6F1"/>
            <w:vAlign w:val="center"/>
          </w:tcPr>
          <w:p w14:paraId="51EB4FA6">
            <w:pPr>
              <w:spacing w:before="40" w:after="40" w:line="288" w:lineRule="auto"/>
              <w:jc w:val="center"/>
            </w:pPr>
            <w:r>
              <w:rPr>
                <w:rFonts w:ascii="Times New Roman" w:hAnsi="Times New Roman" w:eastAsia="Noto Serif CJK SC" w:cs="Times New Roman"/>
                <w:b/>
                <w:i w:val="0"/>
                <w:color w:val="203864"/>
                <w:sz w:val="20"/>
              </w:rPr>
              <w:t>处理动作</w:t>
            </w:r>
          </w:p>
        </w:tc>
        <w:tc>
          <w:tcPr>
            <w:tcW w:w="2324" w:type="dxa"/>
            <w:shd w:val="clear" w:color="auto" w:fill="DCE6F1"/>
            <w:vAlign w:val="center"/>
          </w:tcPr>
          <w:p w14:paraId="44A83431">
            <w:pPr>
              <w:spacing w:before="40" w:after="40" w:line="288" w:lineRule="auto"/>
              <w:jc w:val="center"/>
            </w:pPr>
            <w:r>
              <w:rPr>
                <w:rFonts w:ascii="Times New Roman" w:hAnsi="Times New Roman" w:eastAsia="Noto Serif CJK SC" w:cs="Times New Roman"/>
                <w:b/>
                <w:i w:val="0"/>
                <w:color w:val="203864"/>
                <w:sz w:val="20"/>
              </w:rPr>
              <w:t>恢复方式</w:t>
            </w:r>
          </w:p>
        </w:tc>
      </w:tr>
      <w:tr w14:paraId="5BB260DF">
        <w:tblPrEx>
          <w:tblBorders>
            <w:top w:val="single" w:color="D0D0D0" w:sz="8" w:space="0"/>
            <w:left w:val="single" w:color="D0D0D0" w:sz="8" w:space="0"/>
            <w:bottom w:val="single" w:color="D0D0D0" w:sz="8" w:space="0"/>
            <w:right w:val="single" w:color="D0D0D0" w:sz="8" w:space="0"/>
            <w:insideH w:val="single" w:color="D0D0D0" w:sz="8" w:space="0"/>
            <w:insideV w:val="single" w:color="D0D0D0" w:sz="8" w:space="0"/>
          </w:tblBorders>
          <w:tblCellMar>
            <w:top w:w="0" w:type="dxa"/>
            <w:left w:w="108" w:type="dxa"/>
            <w:bottom w:w="0" w:type="dxa"/>
            <w:right w:w="108" w:type="dxa"/>
          </w:tblCellMar>
        </w:tblPrEx>
        <w:trPr>
          <w:cantSplit/>
          <w:jc w:val="center"/>
        </w:trPr>
        <w:tc>
          <w:tcPr>
            <w:tcW w:w="2324" w:type="dxa"/>
            <w:vAlign w:val="center"/>
          </w:tcPr>
          <w:p w14:paraId="2D4CE630">
            <w:pPr>
              <w:spacing w:before="40" w:after="40" w:line="288" w:lineRule="auto"/>
              <w:jc w:val="center"/>
            </w:pPr>
            <w:r>
              <w:rPr>
                <w:rFonts w:ascii="Times New Roman" w:hAnsi="Times New Roman" w:eastAsia="Noto Serif CJK SC" w:cs="Times New Roman"/>
                <w:b/>
                <w:i w:val="0"/>
                <w:sz w:val="20"/>
              </w:rPr>
              <w:t>正/负限位</w:t>
            </w:r>
          </w:p>
        </w:tc>
        <w:tc>
          <w:tcPr>
            <w:tcW w:w="2324" w:type="dxa"/>
            <w:vAlign w:val="center"/>
          </w:tcPr>
          <w:p w14:paraId="00EE628A">
            <w:pPr>
              <w:spacing w:before="40" w:after="40" w:line="288" w:lineRule="auto"/>
              <w:jc w:val="left"/>
            </w:pPr>
            <w:r>
              <w:rPr>
                <w:rFonts w:ascii="Times New Roman" w:hAnsi="Times New Roman" w:eastAsia="Noto Serif CJK SC" w:cs="Times New Roman"/>
                <w:b w:val="0"/>
                <w:i w:val="0"/>
                <w:sz w:val="20"/>
              </w:rPr>
              <w:t>限位开关触发或位置越界</w:t>
            </w:r>
          </w:p>
        </w:tc>
        <w:tc>
          <w:tcPr>
            <w:tcW w:w="2324" w:type="dxa"/>
            <w:vAlign w:val="center"/>
          </w:tcPr>
          <w:p w14:paraId="358801D7">
            <w:pPr>
              <w:spacing w:before="40" w:after="40" w:line="288" w:lineRule="auto"/>
              <w:jc w:val="center"/>
            </w:pPr>
            <w:r>
              <w:rPr>
                <w:rFonts w:ascii="Times New Roman" w:hAnsi="Times New Roman" w:eastAsia="Noto Serif CJK SC" w:cs="Times New Roman"/>
                <w:b w:val="0"/>
                <w:i w:val="0"/>
                <w:sz w:val="20"/>
              </w:rPr>
              <w:t>立即停机并锁定</w:t>
            </w:r>
          </w:p>
        </w:tc>
        <w:tc>
          <w:tcPr>
            <w:tcW w:w="2324" w:type="dxa"/>
            <w:vAlign w:val="center"/>
          </w:tcPr>
          <w:p w14:paraId="1F260941">
            <w:pPr>
              <w:spacing w:before="40" w:after="40" w:line="288" w:lineRule="auto"/>
              <w:jc w:val="center"/>
            </w:pPr>
            <w:r>
              <w:rPr>
                <w:rFonts w:ascii="Times New Roman" w:hAnsi="Times New Roman" w:eastAsia="Noto Serif CJK SC" w:cs="Times New Roman"/>
                <w:b w:val="0"/>
                <w:i w:val="0"/>
                <w:sz w:val="20"/>
              </w:rPr>
              <w:t>人工复位后重新回零</w:t>
            </w:r>
          </w:p>
        </w:tc>
      </w:tr>
      <w:tr w14:paraId="289869DC">
        <w:tblPrEx>
          <w:tblBorders>
            <w:top w:val="single" w:color="D0D0D0" w:sz="8" w:space="0"/>
            <w:left w:val="single" w:color="D0D0D0" w:sz="8" w:space="0"/>
            <w:bottom w:val="single" w:color="D0D0D0" w:sz="8" w:space="0"/>
            <w:right w:val="single" w:color="D0D0D0" w:sz="8" w:space="0"/>
            <w:insideH w:val="single" w:color="D0D0D0" w:sz="8" w:space="0"/>
            <w:insideV w:val="single" w:color="D0D0D0" w:sz="8" w:space="0"/>
          </w:tblBorders>
          <w:tblCellMar>
            <w:top w:w="0" w:type="dxa"/>
            <w:left w:w="108" w:type="dxa"/>
            <w:bottom w:w="0" w:type="dxa"/>
            <w:right w:w="108" w:type="dxa"/>
          </w:tblCellMar>
        </w:tblPrEx>
        <w:trPr>
          <w:cantSplit/>
          <w:jc w:val="center"/>
        </w:trPr>
        <w:tc>
          <w:tcPr>
            <w:tcW w:w="2324" w:type="dxa"/>
            <w:vAlign w:val="center"/>
          </w:tcPr>
          <w:p w14:paraId="1E074AAE">
            <w:pPr>
              <w:spacing w:before="40" w:after="40" w:line="288" w:lineRule="auto"/>
              <w:jc w:val="center"/>
            </w:pPr>
            <w:r>
              <w:rPr>
                <w:rFonts w:ascii="Times New Roman" w:hAnsi="Times New Roman" w:eastAsia="Noto Serif CJK SC" w:cs="Times New Roman"/>
                <w:b/>
                <w:i w:val="0"/>
                <w:sz w:val="20"/>
              </w:rPr>
              <w:t>堵转</w:t>
            </w:r>
          </w:p>
        </w:tc>
        <w:tc>
          <w:tcPr>
            <w:tcW w:w="2324" w:type="dxa"/>
            <w:vAlign w:val="center"/>
          </w:tcPr>
          <w:p w14:paraId="4DF8D602">
            <w:pPr>
              <w:spacing w:before="40" w:after="40" w:line="288" w:lineRule="auto"/>
              <w:jc w:val="left"/>
            </w:pPr>
            <w:r>
              <w:rPr>
                <w:rFonts w:ascii="Times New Roman" w:hAnsi="Times New Roman" w:eastAsia="Noto Serif CJK SC" w:cs="Times New Roman"/>
                <w:b w:val="0"/>
                <w:i w:val="0"/>
                <w:sz w:val="20"/>
              </w:rPr>
              <w:t>高电流 + 低速度 + 持续超时</w:t>
            </w:r>
          </w:p>
        </w:tc>
        <w:tc>
          <w:tcPr>
            <w:tcW w:w="2324" w:type="dxa"/>
            <w:vAlign w:val="center"/>
          </w:tcPr>
          <w:p w14:paraId="69E39FE3">
            <w:pPr>
              <w:spacing w:before="40" w:after="40" w:line="288" w:lineRule="auto"/>
              <w:jc w:val="center"/>
            </w:pPr>
            <w:r>
              <w:rPr>
                <w:rFonts w:ascii="Times New Roman" w:hAnsi="Times New Roman" w:eastAsia="Noto Serif CJK SC" w:cs="Times New Roman"/>
                <w:b w:val="0"/>
                <w:i w:val="0"/>
                <w:sz w:val="20"/>
              </w:rPr>
              <w:t>停机并报警</w:t>
            </w:r>
          </w:p>
        </w:tc>
        <w:tc>
          <w:tcPr>
            <w:tcW w:w="2324" w:type="dxa"/>
            <w:vAlign w:val="center"/>
          </w:tcPr>
          <w:p w14:paraId="71C86B0C">
            <w:pPr>
              <w:spacing w:before="40" w:after="40" w:line="288" w:lineRule="auto"/>
              <w:jc w:val="center"/>
            </w:pPr>
            <w:r>
              <w:rPr>
                <w:rFonts w:ascii="Times New Roman" w:hAnsi="Times New Roman" w:eastAsia="Noto Serif CJK SC" w:cs="Times New Roman"/>
                <w:b w:val="0"/>
                <w:i w:val="0"/>
                <w:sz w:val="20"/>
              </w:rPr>
              <w:t>排除卡滞后复位</w:t>
            </w:r>
          </w:p>
        </w:tc>
      </w:tr>
      <w:tr w14:paraId="4C4D0C3C">
        <w:tblPrEx>
          <w:tblBorders>
            <w:top w:val="single" w:color="D0D0D0" w:sz="8" w:space="0"/>
            <w:left w:val="single" w:color="D0D0D0" w:sz="8" w:space="0"/>
            <w:bottom w:val="single" w:color="D0D0D0" w:sz="8" w:space="0"/>
            <w:right w:val="single" w:color="D0D0D0" w:sz="8" w:space="0"/>
            <w:insideH w:val="single" w:color="D0D0D0" w:sz="8" w:space="0"/>
            <w:insideV w:val="single" w:color="D0D0D0" w:sz="8" w:space="0"/>
          </w:tblBorders>
          <w:tblCellMar>
            <w:top w:w="0" w:type="dxa"/>
            <w:left w:w="108" w:type="dxa"/>
            <w:bottom w:w="0" w:type="dxa"/>
            <w:right w:w="108" w:type="dxa"/>
          </w:tblCellMar>
        </w:tblPrEx>
        <w:trPr>
          <w:cantSplit/>
          <w:jc w:val="center"/>
        </w:trPr>
        <w:tc>
          <w:tcPr>
            <w:tcW w:w="2324" w:type="dxa"/>
            <w:vAlign w:val="center"/>
          </w:tcPr>
          <w:p w14:paraId="175C3D5B">
            <w:pPr>
              <w:spacing w:before="40" w:after="40" w:line="288" w:lineRule="auto"/>
              <w:jc w:val="center"/>
            </w:pPr>
            <w:r>
              <w:rPr>
                <w:rFonts w:ascii="Times New Roman" w:hAnsi="Times New Roman" w:eastAsia="Noto Serif CJK SC" w:cs="Times New Roman"/>
                <w:b/>
                <w:i w:val="0"/>
                <w:sz w:val="20"/>
              </w:rPr>
              <w:t>过流</w:t>
            </w:r>
          </w:p>
        </w:tc>
        <w:tc>
          <w:tcPr>
            <w:tcW w:w="2324" w:type="dxa"/>
            <w:vAlign w:val="center"/>
          </w:tcPr>
          <w:p w14:paraId="3441A139">
            <w:pPr>
              <w:spacing w:before="40" w:after="40" w:line="288" w:lineRule="auto"/>
              <w:jc w:val="left"/>
            </w:pPr>
            <w:r>
              <w:rPr>
                <w:rFonts w:ascii="Times New Roman" w:hAnsi="Times New Roman" w:eastAsia="Noto Serif CJK SC" w:cs="Times New Roman"/>
                <w:b w:val="0"/>
                <w:i w:val="0"/>
                <w:sz w:val="20"/>
              </w:rPr>
              <w:t>电流超过阈值</w:t>
            </w:r>
          </w:p>
        </w:tc>
        <w:tc>
          <w:tcPr>
            <w:tcW w:w="2324" w:type="dxa"/>
            <w:vAlign w:val="center"/>
          </w:tcPr>
          <w:p w14:paraId="18259D5D">
            <w:pPr>
              <w:spacing w:before="40" w:after="40" w:line="288" w:lineRule="auto"/>
              <w:jc w:val="center"/>
            </w:pPr>
            <w:r>
              <w:rPr>
                <w:rFonts w:ascii="Times New Roman" w:hAnsi="Times New Roman" w:eastAsia="Noto Serif CJK SC" w:cs="Times New Roman"/>
                <w:b w:val="0"/>
                <w:i w:val="0"/>
                <w:sz w:val="20"/>
              </w:rPr>
              <w:t>限流或停机</w:t>
            </w:r>
          </w:p>
        </w:tc>
        <w:tc>
          <w:tcPr>
            <w:tcW w:w="2324" w:type="dxa"/>
            <w:vAlign w:val="center"/>
          </w:tcPr>
          <w:p w14:paraId="3A85CB14">
            <w:pPr>
              <w:spacing w:before="40" w:after="40" w:line="288" w:lineRule="auto"/>
              <w:jc w:val="center"/>
            </w:pPr>
            <w:r>
              <w:rPr>
                <w:rFonts w:ascii="Times New Roman" w:hAnsi="Times New Roman" w:eastAsia="Noto Serif CJK SC" w:cs="Times New Roman"/>
                <w:b w:val="0"/>
                <w:i w:val="0"/>
                <w:sz w:val="20"/>
              </w:rPr>
              <w:t>确认原因后恢复</w:t>
            </w:r>
          </w:p>
        </w:tc>
      </w:tr>
      <w:tr w14:paraId="7F25032C">
        <w:tblPrEx>
          <w:tblBorders>
            <w:top w:val="single" w:color="D0D0D0" w:sz="8" w:space="0"/>
            <w:left w:val="single" w:color="D0D0D0" w:sz="8" w:space="0"/>
            <w:bottom w:val="single" w:color="D0D0D0" w:sz="8" w:space="0"/>
            <w:right w:val="single" w:color="D0D0D0" w:sz="8" w:space="0"/>
            <w:insideH w:val="single" w:color="D0D0D0" w:sz="8" w:space="0"/>
            <w:insideV w:val="single" w:color="D0D0D0" w:sz="8" w:space="0"/>
          </w:tblBorders>
          <w:tblCellMar>
            <w:top w:w="0" w:type="dxa"/>
            <w:left w:w="108" w:type="dxa"/>
            <w:bottom w:w="0" w:type="dxa"/>
            <w:right w:w="108" w:type="dxa"/>
          </w:tblCellMar>
        </w:tblPrEx>
        <w:trPr>
          <w:cantSplit/>
          <w:jc w:val="center"/>
        </w:trPr>
        <w:tc>
          <w:tcPr>
            <w:tcW w:w="2324" w:type="dxa"/>
            <w:vAlign w:val="center"/>
          </w:tcPr>
          <w:p w14:paraId="0E10CF11">
            <w:pPr>
              <w:spacing w:before="40" w:after="40" w:line="288" w:lineRule="auto"/>
              <w:jc w:val="center"/>
            </w:pPr>
            <w:r>
              <w:rPr>
                <w:rFonts w:ascii="Times New Roman" w:hAnsi="Times New Roman" w:eastAsia="Noto Serif CJK SC" w:cs="Times New Roman"/>
                <w:b/>
                <w:i w:val="0"/>
                <w:sz w:val="20"/>
              </w:rPr>
              <w:t>过温</w:t>
            </w:r>
          </w:p>
        </w:tc>
        <w:tc>
          <w:tcPr>
            <w:tcW w:w="2324" w:type="dxa"/>
            <w:vAlign w:val="center"/>
          </w:tcPr>
          <w:p w14:paraId="7E43B063">
            <w:pPr>
              <w:spacing w:before="40" w:after="40" w:line="288" w:lineRule="auto"/>
              <w:jc w:val="left"/>
            </w:pPr>
            <w:r>
              <w:rPr>
                <w:rFonts w:ascii="Times New Roman" w:hAnsi="Times New Roman" w:eastAsia="Noto Serif CJK SC" w:cs="Times New Roman"/>
                <w:b w:val="0"/>
                <w:i w:val="0"/>
                <w:sz w:val="20"/>
              </w:rPr>
              <w:t>温度达到阈值</w:t>
            </w:r>
          </w:p>
        </w:tc>
        <w:tc>
          <w:tcPr>
            <w:tcW w:w="2324" w:type="dxa"/>
            <w:vAlign w:val="center"/>
          </w:tcPr>
          <w:p w14:paraId="323897F7">
            <w:pPr>
              <w:spacing w:before="40" w:after="40" w:line="288" w:lineRule="auto"/>
              <w:jc w:val="center"/>
            </w:pPr>
            <w:r>
              <w:rPr>
                <w:rFonts w:ascii="Times New Roman" w:hAnsi="Times New Roman" w:eastAsia="Noto Serif CJK SC" w:cs="Times New Roman"/>
                <w:b w:val="0"/>
                <w:i w:val="0"/>
                <w:sz w:val="20"/>
              </w:rPr>
              <w:t>预警或停机</w:t>
            </w:r>
          </w:p>
        </w:tc>
        <w:tc>
          <w:tcPr>
            <w:tcW w:w="2324" w:type="dxa"/>
            <w:vAlign w:val="center"/>
          </w:tcPr>
          <w:p w14:paraId="6DD3B31E">
            <w:pPr>
              <w:spacing w:before="40" w:after="40" w:line="288" w:lineRule="auto"/>
              <w:jc w:val="center"/>
            </w:pPr>
            <w:r>
              <w:rPr>
                <w:rFonts w:ascii="Times New Roman" w:hAnsi="Times New Roman" w:eastAsia="Noto Serif CJK SC" w:cs="Times New Roman"/>
                <w:b w:val="0"/>
                <w:i w:val="0"/>
                <w:sz w:val="20"/>
              </w:rPr>
              <w:t>温度恢复后再运行</w:t>
            </w:r>
          </w:p>
        </w:tc>
      </w:tr>
      <w:tr w14:paraId="07169913">
        <w:tblPrEx>
          <w:tblBorders>
            <w:top w:val="single" w:color="D0D0D0" w:sz="8" w:space="0"/>
            <w:left w:val="single" w:color="D0D0D0" w:sz="8" w:space="0"/>
            <w:bottom w:val="single" w:color="D0D0D0" w:sz="8" w:space="0"/>
            <w:right w:val="single" w:color="D0D0D0" w:sz="8" w:space="0"/>
            <w:insideH w:val="single" w:color="D0D0D0" w:sz="8" w:space="0"/>
            <w:insideV w:val="single" w:color="D0D0D0" w:sz="8" w:space="0"/>
          </w:tblBorders>
          <w:tblCellMar>
            <w:top w:w="0" w:type="dxa"/>
            <w:left w:w="108" w:type="dxa"/>
            <w:bottom w:w="0" w:type="dxa"/>
            <w:right w:w="108" w:type="dxa"/>
          </w:tblCellMar>
        </w:tblPrEx>
        <w:trPr>
          <w:cantSplit/>
          <w:jc w:val="center"/>
        </w:trPr>
        <w:tc>
          <w:tcPr>
            <w:tcW w:w="2324" w:type="dxa"/>
            <w:vAlign w:val="center"/>
          </w:tcPr>
          <w:p w14:paraId="187CE853">
            <w:pPr>
              <w:spacing w:before="40" w:after="40" w:line="288" w:lineRule="auto"/>
              <w:jc w:val="center"/>
            </w:pPr>
            <w:r>
              <w:rPr>
                <w:rFonts w:ascii="Times New Roman" w:hAnsi="Times New Roman" w:eastAsia="Noto Serif CJK SC" w:cs="Times New Roman"/>
                <w:b/>
                <w:i w:val="0"/>
                <w:sz w:val="20"/>
              </w:rPr>
              <w:t>跟随误差过大</w:t>
            </w:r>
          </w:p>
        </w:tc>
        <w:tc>
          <w:tcPr>
            <w:tcW w:w="2324" w:type="dxa"/>
            <w:vAlign w:val="center"/>
          </w:tcPr>
          <w:p w14:paraId="78F251A4">
            <w:pPr>
              <w:spacing w:before="40" w:after="40" w:line="288" w:lineRule="auto"/>
              <w:jc w:val="left"/>
            </w:pPr>
            <w:r>
              <w:rPr>
                <w:rFonts w:ascii="Times New Roman" w:hAnsi="Times New Roman" w:eastAsia="Noto Serif CJK SC" w:cs="Times New Roman"/>
                <w:b w:val="0"/>
                <w:i w:val="0"/>
                <w:sz w:val="20"/>
              </w:rPr>
              <w:t>误差持续超阈值</w:t>
            </w:r>
          </w:p>
        </w:tc>
        <w:tc>
          <w:tcPr>
            <w:tcW w:w="2324" w:type="dxa"/>
            <w:vAlign w:val="center"/>
          </w:tcPr>
          <w:p w14:paraId="623F61B4">
            <w:pPr>
              <w:spacing w:before="40" w:after="40" w:line="288" w:lineRule="auto"/>
              <w:jc w:val="center"/>
            </w:pPr>
            <w:r>
              <w:rPr>
                <w:rFonts w:ascii="Times New Roman" w:hAnsi="Times New Roman" w:eastAsia="Noto Serif CJK SC" w:cs="Times New Roman"/>
                <w:b w:val="0"/>
                <w:i w:val="0"/>
                <w:sz w:val="20"/>
              </w:rPr>
              <w:t>减速或停机</w:t>
            </w:r>
          </w:p>
        </w:tc>
        <w:tc>
          <w:tcPr>
            <w:tcW w:w="2324" w:type="dxa"/>
            <w:vAlign w:val="center"/>
          </w:tcPr>
          <w:p w14:paraId="277BCA57">
            <w:pPr>
              <w:spacing w:before="40" w:after="40" w:line="288" w:lineRule="auto"/>
              <w:jc w:val="center"/>
            </w:pPr>
            <w:r>
              <w:rPr>
                <w:rFonts w:ascii="Times New Roman" w:hAnsi="Times New Roman" w:eastAsia="Noto Serif CJK SC" w:cs="Times New Roman"/>
                <w:b w:val="0"/>
                <w:i w:val="0"/>
                <w:sz w:val="20"/>
              </w:rPr>
              <w:t>调整参数并复位</w:t>
            </w:r>
          </w:p>
        </w:tc>
      </w:tr>
      <w:tr w14:paraId="185BD307">
        <w:tblPrEx>
          <w:tblBorders>
            <w:top w:val="single" w:color="D0D0D0" w:sz="8" w:space="0"/>
            <w:left w:val="single" w:color="D0D0D0" w:sz="8" w:space="0"/>
            <w:bottom w:val="single" w:color="D0D0D0" w:sz="8" w:space="0"/>
            <w:right w:val="single" w:color="D0D0D0" w:sz="8" w:space="0"/>
            <w:insideH w:val="single" w:color="D0D0D0" w:sz="8" w:space="0"/>
            <w:insideV w:val="single" w:color="D0D0D0" w:sz="8" w:space="0"/>
          </w:tblBorders>
          <w:tblCellMar>
            <w:top w:w="0" w:type="dxa"/>
            <w:left w:w="108" w:type="dxa"/>
            <w:bottom w:w="0" w:type="dxa"/>
            <w:right w:w="108" w:type="dxa"/>
          </w:tblCellMar>
        </w:tblPrEx>
        <w:trPr>
          <w:cantSplit/>
          <w:jc w:val="center"/>
        </w:trPr>
        <w:tc>
          <w:tcPr>
            <w:tcW w:w="2324" w:type="dxa"/>
            <w:vAlign w:val="center"/>
          </w:tcPr>
          <w:p w14:paraId="266BF632">
            <w:pPr>
              <w:spacing w:before="40" w:after="40" w:line="288" w:lineRule="auto"/>
              <w:jc w:val="center"/>
            </w:pPr>
            <w:r>
              <w:rPr>
                <w:rFonts w:ascii="Times New Roman" w:hAnsi="Times New Roman" w:eastAsia="Noto Serif CJK SC" w:cs="Times New Roman"/>
                <w:b/>
                <w:i w:val="0"/>
                <w:sz w:val="20"/>
              </w:rPr>
              <w:t>回零失败</w:t>
            </w:r>
          </w:p>
        </w:tc>
        <w:tc>
          <w:tcPr>
            <w:tcW w:w="2324" w:type="dxa"/>
            <w:vAlign w:val="center"/>
          </w:tcPr>
          <w:p w14:paraId="648622DB">
            <w:pPr>
              <w:spacing w:before="40" w:after="40" w:line="288" w:lineRule="auto"/>
              <w:jc w:val="left"/>
            </w:pPr>
            <w:r>
              <w:rPr>
                <w:rFonts w:ascii="Times New Roman" w:hAnsi="Times New Roman" w:eastAsia="Noto Serif CJK SC" w:cs="Times New Roman"/>
                <w:b w:val="0"/>
                <w:i w:val="0"/>
                <w:sz w:val="20"/>
              </w:rPr>
              <w:t>规定时间内未建立零点</w:t>
            </w:r>
          </w:p>
        </w:tc>
        <w:tc>
          <w:tcPr>
            <w:tcW w:w="2324" w:type="dxa"/>
            <w:vAlign w:val="center"/>
          </w:tcPr>
          <w:p w14:paraId="5803DCE4">
            <w:pPr>
              <w:spacing w:before="40" w:after="40" w:line="288" w:lineRule="auto"/>
              <w:jc w:val="center"/>
            </w:pPr>
            <w:r>
              <w:rPr>
                <w:rFonts w:ascii="Times New Roman" w:hAnsi="Times New Roman" w:eastAsia="Noto Serif CJK SC" w:cs="Times New Roman"/>
                <w:b w:val="0"/>
                <w:i w:val="0"/>
                <w:sz w:val="20"/>
              </w:rPr>
              <w:t>停止动作并报码</w:t>
            </w:r>
          </w:p>
        </w:tc>
        <w:tc>
          <w:tcPr>
            <w:tcW w:w="2324" w:type="dxa"/>
            <w:vAlign w:val="center"/>
          </w:tcPr>
          <w:p w14:paraId="37062ABB">
            <w:pPr>
              <w:spacing w:before="40" w:after="40" w:line="288" w:lineRule="auto"/>
              <w:jc w:val="center"/>
            </w:pPr>
            <w:r>
              <w:rPr>
                <w:rFonts w:ascii="Times New Roman" w:hAnsi="Times New Roman" w:eastAsia="Noto Serif CJK SC" w:cs="Times New Roman"/>
                <w:b w:val="0"/>
                <w:i w:val="0"/>
                <w:sz w:val="20"/>
              </w:rPr>
              <w:t>检查原点与机构</w:t>
            </w:r>
          </w:p>
        </w:tc>
      </w:tr>
    </w:tbl>
    <w:p w14:paraId="60D17915"/>
    <w:p w14:paraId="3DFB5CF5">
      <w:pPr>
        <w:spacing w:before="200" w:after="120" w:line="288" w:lineRule="auto"/>
      </w:pPr>
      <w:r>
        <w:rPr>
          <w:rFonts w:ascii="Times New Roman" w:hAnsi="Times New Roman" w:eastAsia="Noto Sans CJK SC" w:cs="Times New Roman"/>
          <w:b/>
          <w:i w:val="0"/>
          <w:color w:val="203864"/>
          <w:sz w:val="30"/>
        </w:rPr>
        <w:t>八、上位机与人机交互设计</w:t>
      </w:r>
    </w:p>
    <w:p w14:paraId="4AEFBA79">
      <w:pPr>
        <w:spacing w:before="0" w:after="160" w:line="360" w:lineRule="auto"/>
        <w:ind w:firstLine="480"/>
      </w:pPr>
      <w:r>
        <w:rPr>
          <w:rFonts w:ascii="Times New Roman" w:hAnsi="Times New Roman" w:eastAsia="Noto Serif CJK SC" w:cs="Times New Roman"/>
          <w:b w:val="0"/>
          <w:i w:val="0"/>
          <w:sz w:val="24"/>
        </w:rPr>
        <w:t>上位机不应只是一个简单的串口助手，而应当承担参数管理、状态显示和运行追溯的任务。界面建议分为五个页面：状态页、参数页、配方页、曲线页和日志页。状态页实时显示位置、速度、电流、温度、当前工艺状态和故障状态；参数页用于设置 PID、速度、加速度、回零速度和保护阈值；配方页用于管理送料长度、工位坐标、停留时间和循环次数；曲线页显示位置、速度、电流和误差变化；日志页则记录故障、运行次数和最近一次异常信息。</w:t>
      </w:r>
    </w:p>
    <w:p w14:paraId="73B60AD9">
      <w:pPr>
        <w:spacing w:before="0" w:after="160" w:line="360" w:lineRule="auto"/>
        <w:ind w:firstLine="480"/>
      </w:pPr>
      <w:r>
        <w:rPr>
          <w:rFonts w:ascii="Times New Roman" w:hAnsi="Times New Roman" w:eastAsia="Noto Serif CJK SC" w:cs="Times New Roman"/>
          <w:b w:val="0"/>
          <w:i w:val="0"/>
          <w:sz w:val="24"/>
        </w:rPr>
        <w:t>这样设计的意义在于，上位机本身也成为作品的一部分。它既方便平时调试，也能在答辩时帮助评委快速理解系统的运行状态和工程完整度。对于比赛作品来说，一套清晰、可操作、信息量合适的上位机往往比堆砌太多新硬件更有效。</w:t>
      </w:r>
    </w:p>
    <w:p w14:paraId="36274C06">
      <w:pPr>
        <w:spacing w:before="200" w:after="120" w:line="288" w:lineRule="auto"/>
      </w:pPr>
      <w:r>
        <w:rPr>
          <w:rFonts w:ascii="Times New Roman" w:hAnsi="Times New Roman" w:eastAsia="Noto Sans CJK SC" w:cs="Times New Roman"/>
          <w:b/>
          <w:i w:val="0"/>
          <w:color w:val="203864"/>
          <w:sz w:val="30"/>
        </w:rPr>
        <w:t>九、关键指标与测试方案</w:t>
      </w:r>
    </w:p>
    <w:p w14:paraId="5F57E372">
      <w:pPr>
        <w:spacing w:before="0" w:after="160" w:line="360" w:lineRule="auto"/>
        <w:ind w:firstLine="480"/>
      </w:pPr>
      <w:r>
        <w:rPr>
          <w:rFonts w:ascii="Times New Roman" w:hAnsi="Times New Roman" w:eastAsia="Noto Serif CJK SC" w:cs="Times New Roman"/>
          <w:b w:val="0"/>
          <w:i w:val="0"/>
          <w:sz w:val="24"/>
        </w:rPr>
        <w:t>为了避免“高性能”停留在口头描述，本项目需要建立一套清晰的测试指标。重点建议围绕单次定位误差、重复定位误差、单次送料误差、调节时间、超调量、最大稳定速度、连续运行成功率和异常恢复时间八项指标展开。测试时应至少覆盖空载、轻负载、长时间连续运行和人为施加阻力这四类工况。</w:t>
      </w:r>
    </w:p>
    <w:p w14:paraId="3C3B1774">
      <w:pPr>
        <w:keepNext/>
        <w:spacing w:before="0" w:after="160" w:line="360" w:lineRule="auto"/>
        <w:ind w:firstLine="480"/>
      </w:pPr>
      <w:r>
        <w:rPr>
          <w:rFonts w:ascii="Times New Roman" w:hAnsi="Times New Roman" w:eastAsia="Noto Serif CJK SC" w:cs="Times New Roman"/>
          <w:b w:val="0"/>
          <w:i w:val="0"/>
          <w:sz w:val="24"/>
        </w:rPr>
        <w:t>测试方式可以尽量简单，但一定要可重复、可对比。例如在同一位置连续运行若干次，统计最大误差和平均误差；在同一送料长度下连续送料多次，观察长度一致性；在循环运行模式下统计一百次或五百次动作的成功率；在人为施加阻力后，观察系统是否能及时报警并停机。只要这些数据做得扎实，答辩时就会更有底气。</w:t>
      </w:r>
    </w:p>
    <w:tbl>
      <w:tblPr>
        <w:tblStyle w:val="32"/>
        <w:tblW w:w="0" w:type="auto"/>
        <w:jc w:val="center"/>
        <w:tblBorders>
          <w:top w:val="single" w:color="D0D0D0" w:sz="8" w:space="0"/>
          <w:left w:val="single" w:color="D0D0D0" w:sz="8" w:space="0"/>
          <w:bottom w:val="single" w:color="D0D0D0" w:sz="8" w:space="0"/>
          <w:right w:val="single" w:color="D0D0D0" w:sz="8" w:space="0"/>
          <w:insideH w:val="single" w:color="D0D0D0" w:sz="8" w:space="0"/>
          <w:insideV w:val="single" w:color="D0D0D0" w:sz="8" w:space="0"/>
        </w:tblBorders>
        <w:tblLayout w:type="fixed"/>
        <w:tblCellMar>
          <w:top w:w="0" w:type="dxa"/>
          <w:left w:w="108" w:type="dxa"/>
          <w:bottom w:w="0" w:type="dxa"/>
          <w:right w:w="108" w:type="dxa"/>
        </w:tblCellMar>
      </w:tblPr>
      <w:tblGrid>
        <w:gridCol w:w="3099"/>
        <w:gridCol w:w="3099"/>
        <w:gridCol w:w="3099"/>
      </w:tblGrid>
      <w:tr w14:paraId="0A5A7035">
        <w:tblPrEx>
          <w:tblBorders>
            <w:top w:val="single" w:color="D0D0D0" w:sz="8" w:space="0"/>
            <w:left w:val="single" w:color="D0D0D0" w:sz="8" w:space="0"/>
            <w:bottom w:val="single" w:color="D0D0D0" w:sz="8" w:space="0"/>
            <w:right w:val="single" w:color="D0D0D0" w:sz="8" w:space="0"/>
            <w:insideH w:val="single" w:color="D0D0D0" w:sz="8" w:space="0"/>
            <w:insideV w:val="single" w:color="D0D0D0" w:sz="8" w:space="0"/>
          </w:tblBorders>
          <w:tblCellMar>
            <w:top w:w="0" w:type="dxa"/>
            <w:left w:w="108" w:type="dxa"/>
            <w:bottom w:w="0" w:type="dxa"/>
            <w:right w:w="108" w:type="dxa"/>
          </w:tblCellMar>
        </w:tblPrEx>
        <w:trPr>
          <w:cantSplit/>
          <w:tblHeader/>
          <w:jc w:val="center"/>
        </w:trPr>
        <w:tc>
          <w:tcPr>
            <w:tcW w:w="3099" w:type="dxa"/>
            <w:shd w:val="clear" w:color="auto" w:fill="DCE6F1"/>
            <w:vAlign w:val="center"/>
          </w:tcPr>
          <w:p w14:paraId="3EDE6EFF">
            <w:pPr>
              <w:spacing w:before="40" w:after="40" w:line="288" w:lineRule="auto"/>
              <w:jc w:val="center"/>
            </w:pPr>
            <w:r>
              <w:rPr>
                <w:rFonts w:ascii="Times New Roman" w:hAnsi="Times New Roman" w:eastAsia="Noto Serif CJK SC" w:cs="Times New Roman"/>
                <w:b/>
                <w:i w:val="0"/>
                <w:color w:val="203864"/>
                <w:sz w:val="20"/>
              </w:rPr>
              <w:t>测试项目</w:t>
            </w:r>
          </w:p>
        </w:tc>
        <w:tc>
          <w:tcPr>
            <w:tcW w:w="3099" w:type="dxa"/>
            <w:shd w:val="clear" w:color="auto" w:fill="DCE6F1"/>
            <w:vAlign w:val="center"/>
          </w:tcPr>
          <w:p w14:paraId="5391E8E1">
            <w:pPr>
              <w:spacing w:before="40" w:after="40" w:line="288" w:lineRule="auto"/>
              <w:jc w:val="center"/>
            </w:pPr>
            <w:r>
              <w:rPr>
                <w:rFonts w:ascii="Times New Roman" w:hAnsi="Times New Roman" w:eastAsia="Noto Serif CJK SC" w:cs="Times New Roman"/>
                <w:b/>
                <w:i w:val="0"/>
                <w:color w:val="203864"/>
                <w:sz w:val="20"/>
              </w:rPr>
              <w:t>建议做法</w:t>
            </w:r>
          </w:p>
        </w:tc>
        <w:tc>
          <w:tcPr>
            <w:tcW w:w="3099" w:type="dxa"/>
            <w:shd w:val="clear" w:color="auto" w:fill="DCE6F1"/>
            <w:vAlign w:val="center"/>
          </w:tcPr>
          <w:p w14:paraId="3D1C24AD">
            <w:pPr>
              <w:spacing w:before="40" w:after="40" w:line="288" w:lineRule="auto"/>
              <w:jc w:val="center"/>
            </w:pPr>
            <w:r>
              <w:rPr>
                <w:rFonts w:ascii="Times New Roman" w:hAnsi="Times New Roman" w:eastAsia="Noto Serif CJK SC" w:cs="Times New Roman"/>
                <w:b/>
                <w:i w:val="0"/>
                <w:color w:val="203864"/>
                <w:sz w:val="20"/>
              </w:rPr>
              <w:t>预期意义</w:t>
            </w:r>
          </w:p>
        </w:tc>
      </w:tr>
      <w:tr w14:paraId="4782D5E6">
        <w:tblPrEx>
          <w:tblBorders>
            <w:top w:val="single" w:color="D0D0D0" w:sz="8" w:space="0"/>
            <w:left w:val="single" w:color="D0D0D0" w:sz="8" w:space="0"/>
            <w:bottom w:val="single" w:color="D0D0D0" w:sz="8" w:space="0"/>
            <w:right w:val="single" w:color="D0D0D0" w:sz="8" w:space="0"/>
            <w:insideH w:val="single" w:color="D0D0D0" w:sz="8" w:space="0"/>
            <w:insideV w:val="single" w:color="D0D0D0" w:sz="8" w:space="0"/>
          </w:tblBorders>
          <w:tblCellMar>
            <w:top w:w="0" w:type="dxa"/>
            <w:left w:w="108" w:type="dxa"/>
            <w:bottom w:w="0" w:type="dxa"/>
            <w:right w:w="108" w:type="dxa"/>
          </w:tblCellMar>
        </w:tblPrEx>
        <w:trPr>
          <w:cantSplit/>
          <w:jc w:val="center"/>
        </w:trPr>
        <w:tc>
          <w:tcPr>
            <w:tcW w:w="3099" w:type="dxa"/>
            <w:vAlign w:val="center"/>
          </w:tcPr>
          <w:p w14:paraId="3C457BA8">
            <w:pPr>
              <w:spacing w:before="40" w:after="40" w:line="288" w:lineRule="auto"/>
              <w:jc w:val="center"/>
            </w:pPr>
            <w:r>
              <w:rPr>
                <w:rFonts w:ascii="Times New Roman" w:hAnsi="Times New Roman" w:eastAsia="Noto Serif CJK SC" w:cs="Times New Roman"/>
                <w:b/>
                <w:i w:val="0"/>
                <w:sz w:val="20"/>
              </w:rPr>
              <w:t>重复定位</w:t>
            </w:r>
          </w:p>
        </w:tc>
        <w:tc>
          <w:tcPr>
            <w:tcW w:w="3099" w:type="dxa"/>
            <w:vAlign w:val="center"/>
          </w:tcPr>
          <w:p w14:paraId="1E789F80">
            <w:pPr>
              <w:spacing w:before="40" w:after="40" w:line="288" w:lineRule="auto"/>
              <w:jc w:val="left"/>
            </w:pPr>
            <w:r>
              <w:rPr>
                <w:rFonts w:ascii="Times New Roman" w:hAnsi="Times New Roman" w:eastAsia="Noto Serif CJK SC" w:cs="Times New Roman"/>
                <w:b w:val="0"/>
                <w:i w:val="0"/>
                <w:sz w:val="20"/>
              </w:rPr>
              <w:t>同一位置往返多次，统计误差分布</w:t>
            </w:r>
          </w:p>
        </w:tc>
        <w:tc>
          <w:tcPr>
            <w:tcW w:w="3099" w:type="dxa"/>
            <w:vAlign w:val="center"/>
          </w:tcPr>
          <w:p w14:paraId="5688811D">
            <w:pPr>
              <w:spacing w:before="40" w:after="40" w:line="288" w:lineRule="auto"/>
              <w:jc w:val="center"/>
            </w:pPr>
            <w:r>
              <w:rPr>
                <w:rFonts w:ascii="Times New Roman" w:hAnsi="Times New Roman" w:eastAsia="Noto Serif CJK SC" w:cs="Times New Roman"/>
                <w:b w:val="0"/>
                <w:i w:val="0"/>
                <w:sz w:val="20"/>
              </w:rPr>
              <w:t>体现位置控制稳定性</w:t>
            </w:r>
          </w:p>
        </w:tc>
      </w:tr>
      <w:tr w14:paraId="26D9345C">
        <w:tblPrEx>
          <w:tblBorders>
            <w:top w:val="single" w:color="D0D0D0" w:sz="8" w:space="0"/>
            <w:left w:val="single" w:color="D0D0D0" w:sz="8" w:space="0"/>
            <w:bottom w:val="single" w:color="D0D0D0" w:sz="8" w:space="0"/>
            <w:right w:val="single" w:color="D0D0D0" w:sz="8" w:space="0"/>
            <w:insideH w:val="single" w:color="D0D0D0" w:sz="8" w:space="0"/>
            <w:insideV w:val="single" w:color="D0D0D0" w:sz="8" w:space="0"/>
          </w:tblBorders>
          <w:tblCellMar>
            <w:top w:w="0" w:type="dxa"/>
            <w:left w:w="108" w:type="dxa"/>
            <w:bottom w:w="0" w:type="dxa"/>
            <w:right w:w="108" w:type="dxa"/>
          </w:tblCellMar>
        </w:tblPrEx>
        <w:trPr>
          <w:cantSplit/>
          <w:jc w:val="center"/>
        </w:trPr>
        <w:tc>
          <w:tcPr>
            <w:tcW w:w="3099" w:type="dxa"/>
            <w:vAlign w:val="center"/>
          </w:tcPr>
          <w:p w14:paraId="11874AF5">
            <w:pPr>
              <w:spacing w:before="40" w:after="40" w:line="288" w:lineRule="auto"/>
              <w:jc w:val="center"/>
            </w:pPr>
            <w:r>
              <w:rPr>
                <w:rFonts w:ascii="Times New Roman" w:hAnsi="Times New Roman" w:eastAsia="Noto Serif CJK SC" w:cs="Times New Roman"/>
                <w:b/>
                <w:i w:val="0"/>
                <w:sz w:val="20"/>
              </w:rPr>
              <w:t>送料一致性</w:t>
            </w:r>
          </w:p>
        </w:tc>
        <w:tc>
          <w:tcPr>
            <w:tcW w:w="3099" w:type="dxa"/>
            <w:vAlign w:val="center"/>
          </w:tcPr>
          <w:p w14:paraId="1A3D926F">
            <w:pPr>
              <w:spacing w:before="40" w:after="40" w:line="288" w:lineRule="auto"/>
              <w:jc w:val="left"/>
            </w:pPr>
            <w:r>
              <w:rPr>
                <w:rFonts w:ascii="Times New Roman" w:hAnsi="Times New Roman" w:eastAsia="Noto Serif CJK SC" w:cs="Times New Roman"/>
                <w:b w:val="0"/>
                <w:i w:val="0"/>
                <w:sz w:val="20"/>
              </w:rPr>
              <w:t>同一长度连续送料多次，比较结果偏差</w:t>
            </w:r>
          </w:p>
        </w:tc>
        <w:tc>
          <w:tcPr>
            <w:tcW w:w="3099" w:type="dxa"/>
            <w:vAlign w:val="center"/>
          </w:tcPr>
          <w:p w14:paraId="4129C9C5">
            <w:pPr>
              <w:spacing w:before="40" w:after="40" w:line="288" w:lineRule="auto"/>
              <w:jc w:val="center"/>
            </w:pPr>
            <w:r>
              <w:rPr>
                <w:rFonts w:ascii="Times New Roman" w:hAnsi="Times New Roman" w:eastAsia="Noto Serif CJK SC" w:cs="Times New Roman"/>
                <w:b w:val="0"/>
                <w:i w:val="0"/>
                <w:sz w:val="20"/>
              </w:rPr>
              <w:t>体现工艺一致性</w:t>
            </w:r>
          </w:p>
        </w:tc>
      </w:tr>
      <w:tr w14:paraId="4368B15C">
        <w:tblPrEx>
          <w:tblBorders>
            <w:top w:val="single" w:color="D0D0D0" w:sz="8" w:space="0"/>
            <w:left w:val="single" w:color="D0D0D0" w:sz="8" w:space="0"/>
            <w:bottom w:val="single" w:color="D0D0D0" w:sz="8" w:space="0"/>
            <w:right w:val="single" w:color="D0D0D0" w:sz="8" w:space="0"/>
            <w:insideH w:val="single" w:color="D0D0D0" w:sz="8" w:space="0"/>
            <w:insideV w:val="single" w:color="D0D0D0" w:sz="8" w:space="0"/>
          </w:tblBorders>
          <w:tblCellMar>
            <w:top w:w="0" w:type="dxa"/>
            <w:left w:w="108" w:type="dxa"/>
            <w:bottom w:w="0" w:type="dxa"/>
            <w:right w:w="108" w:type="dxa"/>
          </w:tblCellMar>
        </w:tblPrEx>
        <w:trPr>
          <w:cantSplit/>
          <w:jc w:val="center"/>
        </w:trPr>
        <w:tc>
          <w:tcPr>
            <w:tcW w:w="3099" w:type="dxa"/>
            <w:vAlign w:val="center"/>
          </w:tcPr>
          <w:p w14:paraId="7E5466B9">
            <w:pPr>
              <w:spacing w:before="40" w:after="40" w:line="288" w:lineRule="auto"/>
              <w:jc w:val="center"/>
            </w:pPr>
            <w:r>
              <w:rPr>
                <w:rFonts w:ascii="Times New Roman" w:hAnsi="Times New Roman" w:eastAsia="Noto Serif CJK SC" w:cs="Times New Roman"/>
                <w:b/>
                <w:i w:val="0"/>
                <w:sz w:val="20"/>
              </w:rPr>
              <w:t>节拍运行</w:t>
            </w:r>
          </w:p>
        </w:tc>
        <w:tc>
          <w:tcPr>
            <w:tcW w:w="3099" w:type="dxa"/>
            <w:vAlign w:val="center"/>
          </w:tcPr>
          <w:p w14:paraId="481D486B">
            <w:pPr>
              <w:spacing w:before="40" w:after="40" w:line="288" w:lineRule="auto"/>
              <w:jc w:val="left"/>
            </w:pPr>
            <w:r>
              <w:rPr>
                <w:rFonts w:ascii="Times New Roman" w:hAnsi="Times New Roman" w:eastAsia="Noto Serif CJK SC" w:cs="Times New Roman"/>
                <w:b w:val="0"/>
                <w:i w:val="0"/>
                <w:sz w:val="20"/>
              </w:rPr>
              <w:t>循环模式长时间运行，统计成功率</w:t>
            </w:r>
          </w:p>
        </w:tc>
        <w:tc>
          <w:tcPr>
            <w:tcW w:w="3099" w:type="dxa"/>
            <w:vAlign w:val="center"/>
          </w:tcPr>
          <w:p w14:paraId="38DD67F9">
            <w:pPr>
              <w:spacing w:before="40" w:after="40" w:line="288" w:lineRule="auto"/>
              <w:jc w:val="center"/>
            </w:pPr>
            <w:r>
              <w:rPr>
                <w:rFonts w:ascii="Times New Roman" w:hAnsi="Times New Roman" w:eastAsia="Noto Serif CJK SC" w:cs="Times New Roman"/>
                <w:b w:val="0"/>
                <w:i w:val="0"/>
                <w:sz w:val="20"/>
              </w:rPr>
              <w:t>体现工程可靠性</w:t>
            </w:r>
          </w:p>
        </w:tc>
      </w:tr>
      <w:tr w14:paraId="62A24ECB">
        <w:tblPrEx>
          <w:tblBorders>
            <w:top w:val="single" w:color="D0D0D0" w:sz="8" w:space="0"/>
            <w:left w:val="single" w:color="D0D0D0" w:sz="8" w:space="0"/>
            <w:bottom w:val="single" w:color="D0D0D0" w:sz="8" w:space="0"/>
            <w:right w:val="single" w:color="D0D0D0" w:sz="8" w:space="0"/>
            <w:insideH w:val="single" w:color="D0D0D0" w:sz="8" w:space="0"/>
            <w:insideV w:val="single" w:color="D0D0D0" w:sz="8" w:space="0"/>
          </w:tblBorders>
          <w:tblCellMar>
            <w:top w:w="0" w:type="dxa"/>
            <w:left w:w="108" w:type="dxa"/>
            <w:bottom w:w="0" w:type="dxa"/>
            <w:right w:w="108" w:type="dxa"/>
          </w:tblCellMar>
        </w:tblPrEx>
        <w:trPr>
          <w:cantSplit/>
          <w:jc w:val="center"/>
        </w:trPr>
        <w:tc>
          <w:tcPr>
            <w:tcW w:w="3099" w:type="dxa"/>
            <w:vAlign w:val="center"/>
          </w:tcPr>
          <w:p w14:paraId="1DE864EA">
            <w:pPr>
              <w:spacing w:before="40" w:after="40" w:line="288" w:lineRule="auto"/>
              <w:jc w:val="center"/>
            </w:pPr>
            <w:r>
              <w:rPr>
                <w:rFonts w:ascii="Times New Roman" w:hAnsi="Times New Roman" w:eastAsia="Noto Serif CJK SC" w:cs="Times New Roman"/>
                <w:b/>
                <w:i w:val="0"/>
                <w:sz w:val="20"/>
              </w:rPr>
              <w:t>扰动工况</w:t>
            </w:r>
          </w:p>
        </w:tc>
        <w:tc>
          <w:tcPr>
            <w:tcW w:w="3099" w:type="dxa"/>
            <w:vAlign w:val="center"/>
          </w:tcPr>
          <w:p w14:paraId="5DE8C441">
            <w:pPr>
              <w:spacing w:before="40" w:after="40" w:line="288" w:lineRule="auto"/>
              <w:jc w:val="left"/>
            </w:pPr>
            <w:r>
              <w:rPr>
                <w:rFonts w:ascii="Times New Roman" w:hAnsi="Times New Roman" w:eastAsia="Noto Serif CJK SC" w:cs="Times New Roman"/>
                <w:b w:val="0"/>
                <w:i w:val="0"/>
                <w:sz w:val="20"/>
              </w:rPr>
              <w:t>人为增加阻力，观察保护动作</w:t>
            </w:r>
          </w:p>
        </w:tc>
        <w:tc>
          <w:tcPr>
            <w:tcW w:w="3099" w:type="dxa"/>
            <w:vAlign w:val="center"/>
          </w:tcPr>
          <w:p w14:paraId="44B8C27C">
            <w:pPr>
              <w:spacing w:before="40" w:after="40" w:line="288" w:lineRule="auto"/>
              <w:jc w:val="center"/>
            </w:pPr>
            <w:r>
              <w:rPr>
                <w:rFonts w:ascii="Times New Roman" w:hAnsi="Times New Roman" w:eastAsia="Noto Serif CJK SC" w:cs="Times New Roman"/>
                <w:b w:val="0"/>
                <w:i w:val="0"/>
                <w:sz w:val="20"/>
              </w:rPr>
              <w:t>体现异常处理能力</w:t>
            </w:r>
          </w:p>
        </w:tc>
      </w:tr>
      <w:tr w14:paraId="162D41E4">
        <w:tblPrEx>
          <w:tblBorders>
            <w:top w:val="single" w:color="D0D0D0" w:sz="8" w:space="0"/>
            <w:left w:val="single" w:color="D0D0D0" w:sz="8" w:space="0"/>
            <w:bottom w:val="single" w:color="D0D0D0" w:sz="8" w:space="0"/>
            <w:right w:val="single" w:color="D0D0D0" w:sz="8" w:space="0"/>
            <w:insideH w:val="single" w:color="D0D0D0" w:sz="8" w:space="0"/>
            <w:insideV w:val="single" w:color="D0D0D0" w:sz="8" w:space="0"/>
          </w:tblBorders>
          <w:tblCellMar>
            <w:top w:w="0" w:type="dxa"/>
            <w:left w:w="108" w:type="dxa"/>
            <w:bottom w:w="0" w:type="dxa"/>
            <w:right w:w="108" w:type="dxa"/>
          </w:tblCellMar>
        </w:tblPrEx>
        <w:trPr>
          <w:cantSplit/>
          <w:jc w:val="center"/>
        </w:trPr>
        <w:tc>
          <w:tcPr>
            <w:tcW w:w="3099" w:type="dxa"/>
            <w:vAlign w:val="center"/>
          </w:tcPr>
          <w:p w14:paraId="41580D9D">
            <w:pPr>
              <w:spacing w:before="40" w:after="40" w:line="288" w:lineRule="auto"/>
              <w:jc w:val="center"/>
            </w:pPr>
            <w:r>
              <w:rPr>
                <w:rFonts w:ascii="Times New Roman" w:hAnsi="Times New Roman" w:eastAsia="Noto Serif CJK SC" w:cs="Times New Roman"/>
                <w:b/>
                <w:i w:val="0"/>
                <w:sz w:val="20"/>
              </w:rPr>
              <w:t>温升工况</w:t>
            </w:r>
          </w:p>
        </w:tc>
        <w:tc>
          <w:tcPr>
            <w:tcW w:w="3099" w:type="dxa"/>
            <w:vAlign w:val="center"/>
          </w:tcPr>
          <w:p w14:paraId="35F38E85">
            <w:pPr>
              <w:spacing w:before="40" w:after="40" w:line="288" w:lineRule="auto"/>
              <w:jc w:val="left"/>
            </w:pPr>
            <w:r>
              <w:rPr>
                <w:rFonts w:ascii="Times New Roman" w:hAnsi="Times New Roman" w:eastAsia="Noto Serif CJK SC" w:cs="Times New Roman"/>
                <w:b w:val="0"/>
                <w:i w:val="0"/>
                <w:sz w:val="20"/>
              </w:rPr>
              <w:t>连续运行后记录温度变化</w:t>
            </w:r>
          </w:p>
        </w:tc>
        <w:tc>
          <w:tcPr>
            <w:tcW w:w="3099" w:type="dxa"/>
            <w:vAlign w:val="center"/>
          </w:tcPr>
          <w:p w14:paraId="711F6BF8">
            <w:pPr>
              <w:spacing w:before="40" w:after="40" w:line="288" w:lineRule="auto"/>
              <w:jc w:val="center"/>
            </w:pPr>
            <w:r>
              <w:rPr>
                <w:rFonts w:ascii="Times New Roman" w:hAnsi="Times New Roman" w:eastAsia="Noto Serif CJK SC" w:cs="Times New Roman"/>
                <w:b w:val="0"/>
                <w:i w:val="0"/>
                <w:sz w:val="20"/>
              </w:rPr>
              <w:t>体现持续运行能力</w:t>
            </w:r>
          </w:p>
        </w:tc>
      </w:tr>
    </w:tbl>
    <w:p w14:paraId="7BF940DB"/>
    <w:p w14:paraId="394846F1">
      <w:pPr>
        <w:spacing w:before="200" w:after="120" w:line="288" w:lineRule="auto"/>
      </w:pPr>
      <w:r>
        <w:rPr>
          <w:rFonts w:ascii="Times New Roman" w:hAnsi="Times New Roman" w:eastAsia="Noto Sans CJK SC" w:cs="Times New Roman"/>
          <w:b/>
          <w:i w:val="0"/>
          <w:color w:val="203864"/>
          <w:sz w:val="30"/>
        </w:rPr>
        <w:t>十、项目分工与实施安排</w:t>
      </w:r>
    </w:p>
    <w:p w14:paraId="4900E67A">
      <w:pPr>
        <w:spacing w:before="0" w:after="160" w:line="360" w:lineRule="auto"/>
        <w:ind w:firstLine="480"/>
      </w:pPr>
      <w:r>
        <w:rPr>
          <w:rFonts w:ascii="Times New Roman" w:hAnsi="Times New Roman" w:eastAsia="Noto Serif CJK SC" w:cs="Times New Roman"/>
          <w:b w:val="0"/>
          <w:i w:val="0"/>
          <w:sz w:val="24"/>
        </w:rPr>
        <w:t>在两人分工上，建议一人继续负责控制主线，另一人负责上位机与工程化补全。控制主线包括回零、轨迹规划、保护判据、故障状态机和性能优化；上位机主线则包括通信协议、界面设计、配方管理、日志记录、曲线显示和统计功能。这样划分之后，两个人都有完整任务链，不容易出现都盯着同一块代码、互相等待的情况。</w:t>
      </w:r>
      <w:bookmarkStart w:id="0" w:name="_GoBack"/>
      <w:bookmarkEnd w:id="0"/>
    </w:p>
    <w:p w14:paraId="6E24F2D8">
      <w:pPr>
        <w:keepNext/>
        <w:spacing w:before="0" w:after="160" w:line="360" w:lineRule="auto"/>
        <w:ind w:firstLine="480"/>
      </w:pPr>
      <w:r>
        <w:rPr>
          <w:rFonts w:ascii="Times New Roman" w:hAnsi="Times New Roman" w:eastAsia="Noto Serif CJK SC" w:cs="Times New Roman"/>
          <w:b w:val="0"/>
          <w:i w:val="0"/>
          <w:sz w:val="24"/>
        </w:rPr>
        <w:t>实施安排上，建议分为四个阶段推进。第一阶段完善回零、点位定位和定长送料，让系统在基础动作上完全稳定；第二阶段补全限位、堵转、过流、过温等保护和故障状态机；第三阶段完成上位机、参数掉电保存、曲线显示与日志记录；第四阶段集中做指标测试、连续运行测试和答辩演示脚本。这样推进不会过于分散，也更符合比赛准备节奏。</w:t>
      </w:r>
    </w:p>
    <w:tbl>
      <w:tblPr>
        <w:tblStyle w:val="32"/>
        <w:tblW w:w="0" w:type="auto"/>
        <w:jc w:val="center"/>
        <w:tblBorders>
          <w:top w:val="single" w:color="D0D0D0" w:sz="8" w:space="0"/>
          <w:left w:val="single" w:color="D0D0D0" w:sz="8" w:space="0"/>
          <w:bottom w:val="single" w:color="D0D0D0" w:sz="8" w:space="0"/>
          <w:right w:val="single" w:color="D0D0D0" w:sz="8" w:space="0"/>
          <w:insideH w:val="single" w:color="D0D0D0" w:sz="8" w:space="0"/>
          <w:insideV w:val="single" w:color="D0D0D0" w:sz="8" w:space="0"/>
        </w:tblBorders>
        <w:tblLayout w:type="fixed"/>
        <w:tblCellMar>
          <w:top w:w="0" w:type="dxa"/>
          <w:left w:w="108" w:type="dxa"/>
          <w:bottom w:w="0" w:type="dxa"/>
          <w:right w:w="108" w:type="dxa"/>
        </w:tblCellMar>
      </w:tblPr>
      <w:tblGrid>
        <w:gridCol w:w="3099"/>
        <w:gridCol w:w="3099"/>
        <w:gridCol w:w="3099"/>
      </w:tblGrid>
      <w:tr w14:paraId="1FFC5784">
        <w:tblPrEx>
          <w:tblBorders>
            <w:top w:val="single" w:color="D0D0D0" w:sz="8" w:space="0"/>
            <w:left w:val="single" w:color="D0D0D0" w:sz="8" w:space="0"/>
            <w:bottom w:val="single" w:color="D0D0D0" w:sz="8" w:space="0"/>
            <w:right w:val="single" w:color="D0D0D0" w:sz="8" w:space="0"/>
            <w:insideH w:val="single" w:color="D0D0D0" w:sz="8" w:space="0"/>
            <w:insideV w:val="single" w:color="D0D0D0" w:sz="8" w:space="0"/>
          </w:tblBorders>
          <w:tblCellMar>
            <w:top w:w="0" w:type="dxa"/>
            <w:left w:w="108" w:type="dxa"/>
            <w:bottom w:w="0" w:type="dxa"/>
            <w:right w:w="108" w:type="dxa"/>
          </w:tblCellMar>
        </w:tblPrEx>
        <w:trPr>
          <w:cantSplit/>
          <w:tblHeader/>
          <w:jc w:val="center"/>
        </w:trPr>
        <w:tc>
          <w:tcPr>
            <w:tcW w:w="3099" w:type="dxa"/>
            <w:shd w:val="clear" w:color="auto" w:fill="DCE6F1"/>
            <w:vAlign w:val="center"/>
          </w:tcPr>
          <w:p w14:paraId="596A6E10">
            <w:pPr>
              <w:spacing w:before="40" w:after="40" w:line="288" w:lineRule="auto"/>
              <w:jc w:val="center"/>
            </w:pPr>
            <w:r>
              <w:rPr>
                <w:rFonts w:ascii="Times New Roman" w:hAnsi="Times New Roman" w:eastAsia="Noto Serif CJK SC" w:cs="Times New Roman"/>
                <w:b/>
                <w:i w:val="0"/>
                <w:color w:val="203864"/>
                <w:sz w:val="20"/>
              </w:rPr>
              <w:t>阶段</w:t>
            </w:r>
          </w:p>
        </w:tc>
        <w:tc>
          <w:tcPr>
            <w:tcW w:w="3099" w:type="dxa"/>
            <w:shd w:val="clear" w:color="auto" w:fill="DCE6F1"/>
            <w:vAlign w:val="center"/>
          </w:tcPr>
          <w:p w14:paraId="2338020B">
            <w:pPr>
              <w:spacing w:before="40" w:after="40" w:line="288" w:lineRule="auto"/>
              <w:jc w:val="center"/>
            </w:pPr>
            <w:r>
              <w:rPr>
                <w:rFonts w:ascii="Times New Roman" w:hAnsi="Times New Roman" w:eastAsia="Noto Serif CJK SC" w:cs="Times New Roman"/>
                <w:b/>
                <w:i w:val="0"/>
                <w:color w:val="203864"/>
                <w:sz w:val="20"/>
              </w:rPr>
              <w:t>主要内容</w:t>
            </w:r>
          </w:p>
        </w:tc>
        <w:tc>
          <w:tcPr>
            <w:tcW w:w="3099" w:type="dxa"/>
            <w:shd w:val="clear" w:color="auto" w:fill="DCE6F1"/>
            <w:vAlign w:val="center"/>
          </w:tcPr>
          <w:p w14:paraId="69EDD119">
            <w:pPr>
              <w:spacing w:before="40" w:after="40" w:line="288" w:lineRule="auto"/>
              <w:jc w:val="center"/>
            </w:pPr>
            <w:r>
              <w:rPr>
                <w:rFonts w:ascii="Times New Roman" w:hAnsi="Times New Roman" w:eastAsia="Noto Serif CJK SC" w:cs="Times New Roman"/>
                <w:b/>
                <w:i w:val="0"/>
                <w:color w:val="203864"/>
                <w:sz w:val="20"/>
              </w:rPr>
              <w:t>阶段目标</w:t>
            </w:r>
          </w:p>
        </w:tc>
      </w:tr>
      <w:tr w14:paraId="1A101A77">
        <w:tblPrEx>
          <w:tblBorders>
            <w:top w:val="single" w:color="D0D0D0" w:sz="8" w:space="0"/>
            <w:left w:val="single" w:color="D0D0D0" w:sz="8" w:space="0"/>
            <w:bottom w:val="single" w:color="D0D0D0" w:sz="8" w:space="0"/>
            <w:right w:val="single" w:color="D0D0D0" w:sz="8" w:space="0"/>
            <w:insideH w:val="single" w:color="D0D0D0" w:sz="8" w:space="0"/>
            <w:insideV w:val="single" w:color="D0D0D0" w:sz="8" w:space="0"/>
          </w:tblBorders>
          <w:tblCellMar>
            <w:top w:w="0" w:type="dxa"/>
            <w:left w:w="108" w:type="dxa"/>
            <w:bottom w:w="0" w:type="dxa"/>
            <w:right w:w="108" w:type="dxa"/>
          </w:tblCellMar>
        </w:tblPrEx>
        <w:trPr>
          <w:cantSplit/>
          <w:jc w:val="center"/>
        </w:trPr>
        <w:tc>
          <w:tcPr>
            <w:tcW w:w="3099" w:type="dxa"/>
            <w:vAlign w:val="center"/>
          </w:tcPr>
          <w:p w14:paraId="616034D3">
            <w:pPr>
              <w:spacing w:before="40" w:after="40" w:line="288" w:lineRule="auto"/>
              <w:jc w:val="center"/>
            </w:pPr>
            <w:r>
              <w:rPr>
                <w:rFonts w:ascii="Times New Roman" w:hAnsi="Times New Roman" w:eastAsia="Noto Serif CJK SC" w:cs="Times New Roman"/>
                <w:b/>
                <w:i w:val="0"/>
                <w:sz w:val="20"/>
              </w:rPr>
              <w:t>第一阶段</w:t>
            </w:r>
          </w:p>
        </w:tc>
        <w:tc>
          <w:tcPr>
            <w:tcW w:w="3099" w:type="dxa"/>
            <w:vAlign w:val="center"/>
          </w:tcPr>
          <w:p w14:paraId="56F1E773">
            <w:pPr>
              <w:spacing w:before="40" w:after="40" w:line="288" w:lineRule="auto"/>
              <w:jc w:val="left"/>
            </w:pPr>
            <w:r>
              <w:rPr>
                <w:rFonts w:ascii="Times New Roman" w:hAnsi="Times New Roman" w:eastAsia="Noto Serif CJK SC" w:cs="Times New Roman"/>
                <w:b w:val="0"/>
                <w:i w:val="0"/>
                <w:sz w:val="20"/>
              </w:rPr>
              <w:t>回零、点位移动、定长送料</w:t>
            </w:r>
          </w:p>
        </w:tc>
        <w:tc>
          <w:tcPr>
            <w:tcW w:w="3099" w:type="dxa"/>
            <w:vAlign w:val="center"/>
          </w:tcPr>
          <w:p w14:paraId="07C03A73">
            <w:pPr>
              <w:spacing w:before="40" w:after="40" w:line="288" w:lineRule="auto"/>
              <w:jc w:val="center"/>
            </w:pPr>
            <w:r>
              <w:rPr>
                <w:rFonts w:ascii="Times New Roman" w:hAnsi="Times New Roman" w:eastAsia="Noto Serif CJK SC" w:cs="Times New Roman"/>
                <w:b w:val="0"/>
                <w:i w:val="0"/>
                <w:sz w:val="20"/>
              </w:rPr>
              <w:t>把基础动作做稳</w:t>
            </w:r>
          </w:p>
        </w:tc>
      </w:tr>
      <w:tr w14:paraId="525CCA34">
        <w:tblPrEx>
          <w:tblBorders>
            <w:top w:val="single" w:color="D0D0D0" w:sz="8" w:space="0"/>
            <w:left w:val="single" w:color="D0D0D0" w:sz="8" w:space="0"/>
            <w:bottom w:val="single" w:color="D0D0D0" w:sz="8" w:space="0"/>
            <w:right w:val="single" w:color="D0D0D0" w:sz="8" w:space="0"/>
            <w:insideH w:val="single" w:color="D0D0D0" w:sz="8" w:space="0"/>
            <w:insideV w:val="single" w:color="D0D0D0" w:sz="8" w:space="0"/>
          </w:tblBorders>
          <w:tblCellMar>
            <w:top w:w="0" w:type="dxa"/>
            <w:left w:w="108" w:type="dxa"/>
            <w:bottom w:w="0" w:type="dxa"/>
            <w:right w:w="108" w:type="dxa"/>
          </w:tblCellMar>
        </w:tblPrEx>
        <w:trPr>
          <w:cantSplit/>
          <w:jc w:val="center"/>
        </w:trPr>
        <w:tc>
          <w:tcPr>
            <w:tcW w:w="3099" w:type="dxa"/>
            <w:vAlign w:val="center"/>
          </w:tcPr>
          <w:p w14:paraId="15797EF6">
            <w:pPr>
              <w:spacing w:before="40" w:after="40" w:line="288" w:lineRule="auto"/>
              <w:jc w:val="center"/>
            </w:pPr>
            <w:r>
              <w:rPr>
                <w:rFonts w:ascii="Times New Roman" w:hAnsi="Times New Roman" w:eastAsia="Noto Serif CJK SC" w:cs="Times New Roman"/>
                <w:b/>
                <w:i w:val="0"/>
                <w:sz w:val="20"/>
              </w:rPr>
              <w:t>第二阶段</w:t>
            </w:r>
          </w:p>
        </w:tc>
        <w:tc>
          <w:tcPr>
            <w:tcW w:w="3099" w:type="dxa"/>
            <w:vAlign w:val="center"/>
          </w:tcPr>
          <w:p w14:paraId="7CAE1B92">
            <w:pPr>
              <w:spacing w:before="40" w:after="40" w:line="288" w:lineRule="auto"/>
              <w:jc w:val="left"/>
            </w:pPr>
            <w:r>
              <w:rPr>
                <w:rFonts w:ascii="Times New Roman" w:hAnsi="Times New Roman" w:eastAsia="Noto Serif CJK SC" w:cs="Times New Roman"/>
                <w:b w:val="0"/>
                <w:i w:val="0"/>
                <w:sz w:val="20"/>
              </w:rPr>
              <w:t>限位、堵转、过流、过温、状态机</w:t>
            </w:r>
          </w:p>
        </w:tc>
        <w:tc>
          <w:tcPr>
            <w:tcW w:w="3099" w:type="dxa"/>
            <w:vAlign w:val="center"/>
          </w:tcPr>
          <w:p w14:paraId="386BFD82">
            <w:pPr>
              <w:spacing w:before="40" w:after="40" w:line="288" w:lineRule="auto"/>
              <w:jc w:val="center"/>
            </w:pPr>
            <w:r>
              <w:rPr>
                <w:rFonts w:ascii="Times New Roman" w:hAnsi="Times New Roman" w:eastAsia="Noto Serif CJK SC" w:cs="Times New Roman"/>
                <w:b w:val="0"/>
                <w:i w:val="0"/>
                <w:sz w:val="20"/>
              </w:rPr>
              <w:t>把保护逻辑做全</w:t>
            </w:r>
          </w:p>
        </w:tc>
      </w:tr>
      <w:tr w14:paraId="769ECDE1">
        <w:tblPrEx>
          <w:tblBorders>
            <w:top w:val="single" w:color="D0D0D0" w:sz="8" w:space="0"/>
            <w:left w:val="single" w:color="D0D0D0" w:sz="8" w:space="0"/>
            <w:bottom w:val="single" w:color="D0D0D0" w:sz="8" w:space="0"/>
            <w:right w:val="single" w:color="D0D0D0" w:sz="8" w:space="0"/>
            <w:insideH w:val="single" w:color="D0D0D0" w:sz="8" w:space="0"/>
            <w:insideV w:val="single" w:color="D0D0D0" w:sz="8" w:space="0"/>
          </w:tblBorders>
          <w:tblCellMar>
            <w:top w:w="0" w:type="dxa"/>
            <w:left w:w="108" w:type="dxa"/>
            <w:bottom w:w="0" w:type="dxa"/>
            <w:right w:w="108" w:type="dxa"/>
          </w:tblCellMar>
        </w:tblPrEx>
        <w:trPr>
          <w:cantSplit/>
          <w:jc w:val="center"/>
        </w:trPr>
        <w:tc>
          <w:tcPr>
            <w:tcW w:w="3099" w:type="dxa"/>
            <w:vAlign w:val="center"/>
          </w:tcPr>
          <w:p w14:paraId="24CA1FF0">
            <w:pPr>
              <w:spacing w:before="40" w:after="40" w:line="288" w:lineRule="auto"/>
              <w:jc w:val="center"/>
            </w:pPr>
            <w:r>
              <w:rPr>
                <w:rFonts w:ascii="Times New Roman" w:hAnsi="Times New Roman" w:eastAsia="Noto Serif CJK SC" w:cs="Times New Roman"/>
                <w:b/>
                <w:i w:val="0"/>
                <w:sz w:val="20"/>
              </w:rPr>
              <w:t>第三阶段</w:t>
            </w:r>
          </w:p>
        </w:tc>
        <w:tc>
          <w:tcPr>
            <w:tcW w:w="3099" w:type="dxa"/>
            <w:vAlign w:val="center"/>
          </w:tcPr>
          <w:p w14:paraId="54D8A835">
            <w:pPr>
              <w:spacing w:before="40" w:after="40" w:line="288" w:lineRule="auto"/>
              <w:jc w:val="left"/>
            </w:pPr>
            <w:r>
              <w:rPr>
                <w:rFonts w:ascii="Times New Roman" w:hAnsi="Times New Roman" w:eastAsia="Noto Serif CJK SC" w:cs="Times New Roman"/>
                <w:b w:val="0"/>
                <w:i w:val="0"/>
                <w:sz w:val="20"/>
              </w:rPr>
              <w:t>上位机、参数管理、曲线、日志</w:t>
            </w:r>
          </w:p>
        </w:tc>
        <w:tc>
          <w:tcPr>
            <w:tcW w:w="3099" w:type="dxa"/>
            <w:vAlign w:val="center"/>
          </w:tcPr>
          <w:p w14:paraId="265132A0">
            <w:pPr>
              <w:spacing w:before="40" w:after="40" w:line="288" w:lineRule="auto"/>
              <w:jc w:val="center"/>
            </w:pPr>
            <w:r>
              <w:rPr>
                <w:rFonts w:ascii="Times New Roman" w:hAnsi="Times New Roman" w:eastAsia="Noto Serif CJK SC" w:cs="Times New Roman"/>
                <w:b w:val="0"/>
                <w:i w:val="0"/>
                <w:sz w:val="20"/>
              </w:rPr>
              <w:t>把交互和追溯做通</w:t>
            </w:r>
          </w:p>
        </w:tc>
      </w:tr>
      <w:tr w14:paraId="6D7D6E52">
        <w:tblPrEx>
          <w:tblBorders>
            <w:top w:val="single" w:color="D0D0D0" w:sz="8" w:space="0"/>
            <w:left w:val="single" w:color="D0D0D0" w:sz="8" w:space="0"/>
            <w:bottom w:val="single" w:color="D0D0D0" w:sz="8" w:space="0"/>
            <w:right w:val="single" w:color="D0D0D0" w:sz="8" w:space="0"/>
            <w:insideH w:val="single" w:color="D0D0D0" w:sz="8" w:space="0"/>
            <w:insideV w:val="single" w:color="D0D0D0" w:sz="8" w:space="0"/>
          </w:tblBorders>
          <w:tblCellMar>
            <w:top w:w="0" w:type="dxa"/>
            <w:left w:w="108" w:type="dxa"/>
            <w:bottom w:w="0" w:type="dxa"/>
            <w:right w:w="108" w:type="dxa"/>
          </w:tblCellMar>
        </w:tblPrEx>
        <w:trPr>
          <w:cantSplit/>
          <w:jc w:val="center"/>
        </w:trPr>
        <w:tc>
          <w:tcPr>
            <w:tcW w:w="3099" w:type="dxa"/>
            <w:vAlign w:val="center"/>
          </w:tcPr>
          <w:p w14:paraId="3D1584FF">
            <w:pPr>
              <w:spacing w:before="40" w:after="40" w:line="288" w:lineRule="auto"/>
              <w:jc w:val="center"/>
            </w:pPr>
            <w:r>
              <w:rPr>
                <w:rFonts w:ascii="Times New Roman" w:hAnsi="Times New Roman" w:eastAsia="Noto Serif CJK SC" w:cs="Times New Roman"/>
                <w:b/>
                <w:i w:val="0"/>
                <w:sz w:val="20"/>
              </w:rPr>
              <w:t>第四阶段</w:t>
            </w:r>
          </w:p>
        </w:tc>
        <w:tc>
          <w:tcPr>
            <w:tcW w:w="3099" w:type="dxa"/>
            <w:vAlign w:val="center"/>
          </w:tcPr>
          <w:p w14:paraId="166EB037">
            <w:pPr>
              <w:spacing w:before="40" w:after="40" w:line="288" w:lineRule="auto"/>
              <w:jc w:val="left"/>
            </w:pPr>
            <w:r>
              <w:rPr>
                <w:rFonts w:ascii="Times New Roman" w:hAnsi="Times New Roman" w:eastAsia="Noto Serif CJK SC" w:cs="Times New Roman"/>
                <w:b w:val="0"/>
                <w:i w:val="0"/>
                <w:sz w:val="20"/>
              </w:rPr>
              <w:t>重复性测试、连续运行、视频与答辩</w:t>
            </w:r>
          </w:p>
        </w:tc>
        <w:tc>
          <w:tcPr>
            <w:tcW w:w="3099" w:type="dxa"/>
            <w:vAlign w:val="center"/>
          </w:tcPr>
          <w:p w14:paraId="59E10FE4">
            <w:pPr>
              <w:spacing w:before="40" w:after="40" w:line="288" w:lineRule="auto"/>
              <w:jc w:val="center"/>
            </w:pPr>
            <w:r>
              <w:rPr>
                <w:rFonts w:ascii="Times New Roman" w:hAnsi="Times New Roman" w:eastAsia="Noto Serif CJK SC" w:cs="Times New Roman"/>
                <w:b w:val="0"/>
                <w:i w:val="0"/>
                <w:sz w:val="20"/>
              </w:rPr>
              <w:t>把作品打磨完整</w:t>
            </w:r>
          </w:p>
        </w:tc>
      </w:tr>
    </w:tbl>
    <w:p w14:paraId="5880348C"/>
    <w:p w14:paraId="24A6565D">
      <w:pPr>
        <w:spacing w:before="200" w:after="120" w:line="288" w:lineRule="auto"/>
      </w:pPr>
      <w:r>
        <w:rPr>
          <w:rFonts w:ascii="Times New Roman" w:hAnsi="Times New Roman" w:eastAsia="Noto Sans CJK SC" w:cs="Times New Roman"/>
          <w:b/>
          <w:i w:val="0"/>
          <w:color w:val="203864"/>
          <w:sz w:val="30"/>
        </w:rPr>
        <w:t>十一、方案特点与预期效果</w:t>
      </w:r>
    </w:p>
    <w:p w14:paraId="144292B7">
      <w:pPr>
        <w:spacing w:before="0" w:after="160" w:line="360" w:lineRule="auto"/>
        <w:ind w:firstLine="480"/>
      </w:pPr>
      <w:r>
        <w:rPr>
          <w:rFonts w:ascii="Times New Roman" w:hAnsi="Times New Roman" w:eastAsia="Noto Serif CJK SC" w:cs="Times New Roman"/>
          <w:b w:val="0"/>
          <w:i w:val="0"/>
          <w:sz w:val="24"/>
        </w:rPr>
        <w:t>本方案最大的特点在于不盲目扩展功能，而是把现有基础真正做成一个完整的工业执行单元。它不依赖测量探头、激光或视觉系统，因此风险更可控；它围绕送料和定位这一明确工位展开，因此应用场景更清楚；它把保护、交互、统计和追溯补齐，因此工程感更强。对两人队来说，这样的题目既保留了控制深度，也留出了足够的空间去做系统完整度。</w:t>
      </w:r>
    </w:p>
    <w:p w14:paraId="02A92E67">
      <w:pPr>
        <w:spacing w:before="0" w:after="160" w:line="360" w:lineRule="auto"/>
        <w:ind w:firstLine="480"/>
      </w:pPr>
      <w:r>
        <w:rPr>
          <w:rFonts w:ascii="Times New Roman" w:hAnsi="Times New Roman" w:eastAsia="Noto Serif CJK SC" w:cs="Times New Roman"/>
          <w:b w:val="0"/>
          <w:i w:val="0"/>
          <w:sz w:val="24"/>
        </w:rPr>
        <w:t>预期效果方面，项目最终应能够稳定完成回零、定长送料、点位定位和循环运行，并在发生限位、堵转或过流等异常时及时停机和记录；上位机能够完成参数下发、曲线显示、配方管理和运行日志查看；整套系统在连续运行测试中能够体现出较好的节拍稳定性和故障处理能力。只要这一层真正做出来，这个题目就不再是一个简单滑台，而是一套比较完整的工业工位执行模块。</w:t>
      </w:r>
    </w:p>
    <w:p w14:paraId="53D894FE">
      <w:pPr>
        <w:spacing w:before="200" w:after="120" w:line="288" w:lineRule="auto"/>
      </w:pPr>
      <w:r>
        <w:rPr>
          <w:rFonts w:ascii="Times New Roman" w:hAnsi="Times New Roman" w:eastAsia="Noto Sans CJK SC" w:cs="Times New Roman"/>
          <w:b/>
          <w:i w:val="0"/>
          <w:color w:val="203864"/>
          <w:sz w:val="30"/>
        </w:rPr>
        <w:t>十二、结语</w:t>
      </w:r>
    </w:p>
    <w:p w14:paraId="45570580">
      <w:pPr>
        <w:spacing w:before="0" w:after="160" w:line="360" w:lineRule="auto"/>
        <w:ind w:firstLine="480"/>
      </w:pPr>
      <w:r>
        <w:rPr>
          <w:rFonts w:ascii="Times New Roman" w:hAnsi="Times New Roman" w:eastAsia="Noto Serif CJK SC"/>
          <w:sz w:val="24"/>
        </w:rPr>
        <w:t>总的来说，这个方案的重点不是继续扩硬件，而是把现有单轴滑台真正做成一个动作稳定、保护完整、交互清楚、便于连续运行的工业执行模块。只要把这几条主线打磨扎实，作品就会更像一个能落地的工位单元。</w:t>
      </w:r>
    </w:p>
    <w:sectPr>
      <w:footerReference r:id="rId5" w:type="default"/>
      <w:pgSz w:w="11906" w:h="16838"/>
      <w:pgMar w:top="1247" w:right="1247" w:bottom="1134" w:left="136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Noto Serif CJK SC">
    <w:altName w:val="Segoe Print"/>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Noto Sans CJK SC">
    <w:altName w:val="Segoe Print"/>
    <w:panose1 w:val="00000000000000000000"/>
    <w:charset w:val="00"/>
    <w:family w:val="auto"/>
    <w:pitch w:val="default"/>
    <w:sig w:usb0="00000000" w:usb1="00000000" w:usb2="00000000" w:usb3="00000000" w:csb0="00000000"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EB2043">
    <w:pPr>
      <w:pStyle w:val="24"/>
      <w:jc w:val="center"/>
    </w:pPr>
    <w:r>
      <w:rPr>
        <w:rFonts w:ascii="Times New Roman" w:hAnsi="Times New Roman" w:eastAsia="Noto Serif CJK SC" w:cs="Times New Roman"/>
        <w:b w:val="0"/>
        <w:i w:val="0"/>
        <w:color w:val="6F6F6F"/>
        <w:sz w:val="18"/>
      </w:rPr>
      <w:t>工业定长送料与定位执行单元项目方案</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5965D7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Noto Serif CJK SC"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Pages>
  <Words>4481</Words>
  <Characters>4512</Characters>
  <Lines>0</Lines>
  <Paragraphs>0</Paragraphs>
  <TotalTime>0</TotalTime>
  <ScaleCrop>false</ScaleCrop>
  <LinksUpToDate>false</LinksUpToDate>
  <CharactersWithSpaces>4537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亮亮</cp:lastModifiedBy>
  <dcterms:modified xsi:type="dcterms:W3CDTF">2026-04-15T10:49:16Z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eyJoZGlkIjoiZWM3M2NkYjkzN2MwYWQyMGI1ODc3YzkyMjM3Yjk0OTgiLCJ1c2VySWQiOiI0MDA5Njg1OTIifQ==</vt:lpwstr>
  </property>
  <property fmtid="{D5CDD505-2E9C-101B-9397-08002B2CF9AE}" pid="3" name="KSOProductBuildVer">
    <vt:lpwstr>2052-12.1.0.25225</vt:lpwstr>
  </property>
  <property fmtid="{D5CDD505-2E9C-101B-9397-08002B2CF9AE}" pid="4" name="ICV">
    <vt:lpwstr>DBA5FD0B42684A738115561AD6B34500_12</vt:lpwstr>
  </property>
</Properties>
</file>