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494833" w:rsidTr="00A84B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94833" w:rsidRPr="00A84B8C" w:rsidRDefault="00494833" w:rsidP="00A84B8C">
            <w:pPr>
              <w:jc w:val="center"/>
              <w:rPr>
                <w:b/>
                <w:caps/>
                <w:sz w:val="24"/>
              </w:rPr>
            </w:pPr>
            <w:r w:rsidRPr="00A84B8C">
              <w:rPr>
                <w:b/>
                <w:caps/>
                <w:sz w:val="24"/>
              </w:rPr>
              <w:t>COUR DES COMPTES</w:t>
            </w:r>
          </w:p>
          <w:p w:rsidR="00494833" w:rsidRPr="00A84B8C" w:rsidRDefault="00494833" w:rsidP="00A84B8C">
            <w:pPr>
              <w:jc w:val="center"/>
              <w:rPr>
                <w:b/>
                <w:caps/>
                <w:sz w:val="24"/>
              </w:rPr>
            </w:pPr>
            <w:r w:rsidRPr="00A84B8C">
              <w:rPr>
                <w:b/>
                <w:caps/>
                <w:sz w:val="24"/>
              </w:rPr>
              <w:t>--------</w:t>
            </w:r>
          </w:p>
          <w:p w:rsidR="00494833" w:rsidRPr="00A84B8C" w:rsidRDefault="00494833" w:rsidP="00A84B8C">
            <w:pPr>
              <w:jc w:val="center"/>
              <w:rPr>
                <w:b/>
                <w:caps/>
                <w:sz w:val="24"/>
              </w:rPr>
            </w:pPr>
            <w:r w:rsidRPr="00A84B8C">
              <w:rPr>
                <w:b/>
                <w:caps/>
                <w:sz w:val="24"/>
              </w:rPr>
              <w:t>QUATRIEME CHAMBRE</w:t>
            </w:r>
          </w:p>
          <w:p w:rsidR="00494833" w:rsidRPr="00A84B8C" w:rsidRDefault="00494833" w:rsidP="00A84B8C">
            <w:pPr>
              <w:jc w:val="center"/>
              <w:rPr>
                <w:b/>
                <w:caps/>
                <w:sz w:val="24"/>
              </w:rPr>
            </w:pPr>
          </w:p>
          <w:p w:rsidR="00494833" w:rsidRPr="00A84B8C" w:rsidRDefault="00494833" w:rsidP="00A84B8C">
            <w:pPr>
              <w:jc w:val="center"/>
              <w:rPr>
                <w:b/>
                <w:caps/>
                <w:sz w:val="24"/>
              </w:rPr>
            </w:pPr>
            <w:r w:rsidRPr="00A84B8C">
              <w:rPr>
                <w:b/>
                <w:caps/>
                <w:sz w:val="24"/>
              </w:rPr>
              <w:t>PREMIERE SECTION</w:t>
            </w:r>
          </w:p>
          <w:p w:rsidR="00494833" w:rsidRPr="00A84B8C" w:rsidRDefault="00494833" w:rsidP="00A84B8C">
            <w:pPr>
              <w:jc w:val="center"/>
              <w:rPr>
                <w:b/>
                <w:caps/>
                <w:sz w:val="24"/>
              </w:rPr>
            </w:pPr>
            <w:r w:rsidRPr="00A84B8C">
              <w:rPr>
                <w:b/>
                <w:caps/>
                <w:sz w:val="24"/>
              </w:rPr>
              <w:t>--------</w:t>
            </w:r>
          </w:p>
          <w:p w:rsidR="00494833" w:rsidRPr="00A84B8C" w:rsidRDefault="00494833" w:rsidP="00A84B8C">
            <w:pPr>
              <w:jc w:val="center"/>
              <w:rPr>
                <w:b/>
                <w:caps/>
                <w:sz w:val="24"/>
                <w:szCs w:val="24"/>
              </w:rPr>
            </w:pPr>
            <w:r w:rsidRPr="00A84B8C">
              <w:rPr>
                <w:b/>
                <w:i/>
                <w:sz w:val="24"/>
                <w:szCs w:val="24"/>
              </w:rPr>
              <w:t>Arrêt n° 57761</w:t>
            </w:r>
          </w:p>
        </w:tc>
      </w:tr>
    </w:tbl>
    <w:p w:rsidR="00494833" w:rsidRDefault="00494833" w:rsidP="00EB6713">
      <w:pPr>
        <w:pStyle w:val="Heading1"/>
        <w:jc w:val="both"/>
        <w:rPr>
          <w:b/>
          <w:caps/>
        </w:rPr>
      </w:pPr>
    </w:p>
    <w:p w:rsidR="00494833" w:rsidRPr="005F641F" w:rsidRDefault="00494833" w:rsidP="00977D5B">
      <w:pPr>
        <w:pStyle w:val="Heading1"/>
        <w:jc w:val="both"/>
      </w:pPr>
    </w:p>
    <w:p w:rsidR="00494833" w:rsidRPr="00042DE1" w:rsidRDefault="00494833" w:rsidP="00AD2BC6">
      <w:pPr>
        <w:jc w:val="both"/>
      </w:pPr>
    </w:p>
    <w:p w:rsidR="00494833" w:rsidRPr="00042DE1" w:rsidRDefault="00494833" w:rsidP="004149E8">
      <w:pPr>
        <w:ind w:left="4536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COLLEGE JEAn NICOLI DE PRoPRIANO </w:t>
      </w:r>
    </w:p>
    <w:p w:rsidR="00494833" w:rsidRDefault="00494833" w:rsidP="004149E8">
      <w:pPr>
        <w:ind w:left="4536"/>
        <w:jc w:val="both"/>
        <w:rPr>
          <w:sz w:val="24"/>
        </w:rPr>
      </w:pPr>
      <w:r>
        <w:rPr>
          <w:sz w:val="24"/>
        </w:rPr>
        <w:t>(CORSE DU SUD)</w:t>
      </w:r>
    </w:p>
    <w:p w:rsidR="00494833" w:rsidRDefault="00494833" w:rsidP="004149E8">
      <w:pPr>
        <w:ind w:left="4536"/>
        <w:jc w:val="both"/>
        <w:rPr>
          <w:sz w:val="24"/>
        </w:rPr>
      </w:pPr>
    </w:p>
    <w:p w:rsidR="00494833" w:rsidRDefault="00494833" w:rsidP="004149E8">
      <w:pPr>
        <w:pStyle w:val="Heading2"/>
        <w:ind w:left="4536"/>
        <w:jc w:val="both"/>
      </w:pPr>
      <w:smartTag w:uri="urn:schemas-microsoft-com:office:smarttags" w:element="PersonName">
        <w:r>
          <w:t>A</w:t>
        </w:r>
      </w:smartTag>
      <w:r>
        <w:t>ppel d’un jugement de la chambre régionale des comptes de Corse</w:t>
      </w:r>
    </w:p>
    <w:p w:rsidR="00494833" w:rsidRDefault="00494833" w:rsidP="004149E8">
      <w:pPr>
        <w:ind w:left="4536"/>
        <w:jc w:val="both"/>
        <w:rPr>
          <w:sz w:val="24"/>
        </w:rPr>
      </w:pPr>
    </w:p>
    <w:p w:rsidR="00494833" w:rsidRDefault="00494833" w:rsidP="004149E8">
      <w:pPr>
        <w:pStyle w:val="Heading4"/>
        <w:ind w:left="4536"/>
      </w:pPr>
      <w:r>
        <w:t>Rapport n° 2009-797-0</w:t>
      </w:r>
    </w:p>
    <w:p w:rsidR="00494833" w:rsidRDefault="00494833" w:rsidP="004149E8">
      <w:pPr>
        <w:ind w:left="4536"/>
        <w:jc w:val="both"/>
        <w:rPr>
          <w:sz w:val="24"/>
        </w:rPr>
      </w:pPr>
    </w:p>
    <w:p w:rsidR="00494833" w:rsidRDefault="00494833" w:rsidP="004149E8">
      <w:pPr>
        <w:ind w:left="4536"/>
        <w:jc w:val="both"/>
        <w:rPr>
          <w:sz w:val="24"/>
        </w:rPr>
      </w:pPr>
      <w:smartTag w:uri="urn:schemas-microsoft-com:office:smarttags" w:element="PersonName">
        <w:r>
          <w:rPr>
            <w:sz w:val="24"/>
          </w:rPr>
          <w:t>A</w:t>
        </w:r>
      </w:smartTag>
      <w:r>
        <w:rPr>
          <w:sz w:val="24"/>
        </w:rPr>
        <w:t>udience du 28 janvier 2010</w:t>
      </w:r>
    </w:p>
    <w:p w:rsidR="00494833" w:rsidRDefault="00494833" w:rsidP="004149E8">
      <w:pPr>
        <w:ind w:left="4536"/>
        <w:jc w:val="both"/>
        <w:rPr>
          <w:sz w:val="24"/>
        </w:rPr>
      </w:pPr>
    </w:p>
    <w:p w:rsidR="00494833" w:rsidRDefault="00494833" w:rsidP="004149E8">
      <w:pPr>
        <w:ind w:left="4536"/>
        <w:jc w:val="both"/>
        <w:rPr>
          <w:sz w:val="24"/>
        </w:rPr>
      </w:pPr>
      <w:r>
        <w:rPr>
          <w:sz w:val="24"/>
        </w:rPr>
        <w:t>Lecture du 6 mai 2010</w:t>
      </w:r>
    </w:p>
    <w:p w:rsidR="00494833" w:rsidRPr="00301219" w:rsidRDefault="00494833" w:rsidP="00304E6D">
      <w:pPr>
        <w:pStyle w:val="ET"/>
        <w:spacing w:before="720" w:after="720"/>
        <w:jc w:val="center"/>
        <w:rPr>
          <w:b w:val="0"/>
        </w:rPr>
      </w:pPr>
      <w:r w:rsidRPr="00301219">
        <w:rPr>
          <w:rFonts w:ascii="Times New Roman" w:hAnsi="Times New Roman"/>
          <w:b w:val="0"/>
        </w:rPr>
        <w:t>LA COUR DES COMPTES a rendu l’arrêt suivant :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LA</w:t>
      </w:r>
      <w:r w:rsidRPr="00B82C1D">
        <w:rPr>
          <w:rFonts w:ascii="Times New Roman" w:hAnsi="Times New Roman"/>
        </w:rPr>
        <w:t xml:space="preserve"> COUR,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  <w:szCs w:val="24"/>
        </w:rPr>
        <w:t>Vu la requête</w:t>
      </w:r>
      <w:r>
        <w:rPr>
          <w:rFonts w:ascii="Times New Roman" w:hAnsi="Times New Roman"/>
          <w:szCs w:val="24"/>
        </w:rPr>
        <w:t>,</w:t>
      </w:r>
      <w:r w:rsidRPr="00B82C1D">
        <w:rPr>
          <w:rFonts w:ascii="Times New Roman" w:hAnsi="Times New Roman"/>
          <w:szCs w:val="24"/>
        </w:rPr>
        <w:t xml:space="preserve"> enregistrée le </w:t>
      </w:r>
      <w:r>
        <w:rPr>
          <w:rFonts w:ascii="Times New Roman" w:hAnsi="Times New Roman"/>
          <w:szCs w:val="24"/>
        </w:rPr>
        <w:t xml:space="preserve">19 février 2009 </w:t>
      </w:r>
      <w:r w:rsidRPr="00B82C1D">
        <w:rPr>
          <w:rFonts w:ascii="Times New Roman" w:hAnsi="Times New Roman"/>
          <w:szCs w:val="24"/>
        </w:rPr>
        <w:t xml:space="preserve">au greffe de la chambre régionale des comptes de </w:t>
      </w:r>
      <w:r>
        <w:rPr>
          <w:rFonts w:ascii="Times New Roman" w:hAnsi="Times New Roman"/>
          <w:szCs w:val="24"/>
        </w:rPr>
        <w:t>Corse,</w:t>
      </w:r>
      <w:r w:rsidRPr="00B82C1D">
        <w:rPr>
          <w:rFonts w:ascii="Times New Roman" w:hAnsi="Times New Roman"/>
          <w:szCs w:val="24"/>
        </w:rPr>
        <w:t xml:space="preserve"> par laquelle </w:t>
      </w:r>
      <w:r>
        <w:rPr>
          <w:rFonts w:ascii="Times New Roman" w:hAnsi="Times New Roman"/>
          <w:szCs w:val="24"/>
        </w:rPr>
        <w:t>M. X</w:t>
      </w:r>
      <w:r w:rsidRPr="00B82C1D">
        <w:rPr>
          <w:rFonts w:ascii="Times New Roman" w:hAnsi="Times New Roman"/>
          <w:szCs w:val="24"/>
        </w:rPr>
        <w:t>, comptable d</w:t>
      </w:r>
      <w:r>
        <w:rPr>
          <w:rFonts w:ascii="Times New Roman" w:hAnsi="Times New Roman"/>
          <w:szCs w:val="24"/>
        </w:rPr>
        <w:t xml:space="preserve">u COLLEGE JEAN NICOLI de PROPRIANO, du 26 septembre 2000 au 31 décembre 2004, </w:t>
      </w:r>
      <w:r w:rsidRPr="00B82C1D">
        <w:rPr>
          <w:rFonts w:ascii="Times New Roman" w:hAnsi="Times New Roman"/>
          <w:szCs w:val="24"/>
        </w:rPr>
        <w:t xml:space="preserve">a élevé appel du jugement du </w:t>
      </w:r>
      <w:r>
        <w:rPr>
          <w:rFonts w:ascii="Times New Roman" w:hAnsi="Times New Roman"/>
          <w:szCs w:val="24"/>
        </w:rPr>
        <w:t>20 janvier 2009,</w:t>
      </w:r>
      <w:r w:rsidRPr="00B82C1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par lequel</w:t>
      </w:r>
      <w:r w:rsidRPr="00B82C1D">
        <w:rPr>
          <w:rFonts w:ascii="Times New Roman" w:hAnsi="Times New Roman"/>
          <w:szCs w:val="24"/>
        </w:rPr>
        <w:t xml:space="preserve"> ladite chambre l’a constitué débiteur </w:t>
      </w:r>
      <w:r>
        <w:rPr>
          <w:rFonts w:ascii="Times New Roman" w:hAnsi="Times New Roman"/>
          <w:szCs w:val="24"/>
        </w:rPr>
        <w:t>des deniers du collège Jean Nicoli de Propriano, pour</w:t>
      </w:r>
      <w:r w:rsidRPr="00B82C1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6 630 € augmentés des intérêts de droit du 1</w:t>
      </w:r>
      <w:r w:rsidRPr="00417449">
        <w:rPr>
          <w:rFonts w:ascii="Times New Roman" w:hAnsi="Times New Roman"/>
          <w:szCs w:val="24"/>
          <w:vertAlign w:val="superscript"/>
        </w:rPr>
        <w:t>er</w:t>
      </w:r>
      <w:r>
        <w:rPr>
          <w:rFonts w:ascii="Times New Roman" w:hAnsi="Times New Roman"/>
          <w:szCs w:val="24"/>
          <w:vertAlign w:val="superscript"/>
        </w:rPr>
        <w:t> </w:t>
      </w:r>
      <w:r>
        <w:rPr>
          <w:rFonts w:ascii="Times New Roman" w:hAnsi="Times New Roman"/>
          <w:szCs w:val="24"/>
        </w:rPr>
        <w:t xml:space="preserve">janvier 2004 et 618,12 € </w:t>
      </w:r>
      <w:r w:rsidRPr="00B82C1D">
        <w:rPr>
          <w:rFonts w:ascii="Times New Roman" w:hAnsi="Times New Roman"/>
          <w:szCs w:val="24"/>
        </w:rPr>
        <w:t>augmenté</w:t>
      </w:r>
      <w:r>
        <w:rPr>
          <w:rFonts w:ascii="Times New Roman" w:hAnsi="Times New Roman"/>
          <w:szCs w:val="24"/>
        </w:rPr>
        <w:t>s</w:t>
      </w:r>
      <w:r w:rsidRPr="00B82C1D">
        <w:rPr>
          <w:rFonts w:ascii="Times New Roman" w:hAnsi="Times New Roman"/>
          <w:szCs w:val="24"/>
        </w:rPr>
        <w:t xml:space="preserve"> des intérêts de droit</w:t>
      </w:r>
      <w:r>
        <w:rPr>
          <w:rFonts w:ascii="Times New Roman" w:hAnsi="Times New Roman"/>
          <w:szCs w:val="24"/>
        </w:rPr>
        <w:t xml:space="preserve"> du 31 décembre 2004 </w:t>
      </w:r>
      <w:r w:rsidRPr="00B82C1D">
        <w:rPr>
          <w:rFonts w:ascii="Times New Roman" w:hAnsi="Times New Roman"/>
          <w:szCs w:val="24"/>
        </w:rPr>
        <w:t>;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497A94">
        <w:rPr>
          <w:szCs w:val="24"/>
        </w:rPr>
        <w:t xml:space="preserve">Vu le réquisitoire du </w:t>
      </w:r>
      <w:r>
        <w:rPr>
          <w:szCs w:val="24"/>
        </w:rPr>
        <w:t>P</w:t>
      </w:r>
      <w:r w:rsidRPr="00497A94">
        <w:rPr>
          <w:szCs w:val="24"/>
        </w:rPr>
        <w:t xml:space="preserve">rocureur général du </w:t>
      </w:r>
      <w:r>
        <w:rPr>
          <w:szCs w:val="24"/>
        </w:rPr>
        <w:t>2 avril 2009</w:t>
      </w:r>
      <w:r w:rsidRPr="00497A94">
        <w:rPr>
          <w:szCs w:val="24"/>
        </w:rPr>
        <w:t xml:space="preserve"> </w:t>
      </w:r>
      <w:r>
        <w:rPr>
          <w:szCs w:val="24"/>
        </w:rPr>
        <w:t>transmettant</w:t>
      </w:r>
      <w:r w:rsidRPr="00497A94">
        <w:rPr>
          <w:szCs w:val="24"/>
        </w:rPr>
        <w:t xml:space="preserve"> la requête précitée ;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les pièces de la procédure suivie en première instance</w:t>
      </w:r>
      <w:r>
        <w:rPr>
          <w:rFonts w:ascii="Times New Roman" w:hAnsi="Times New Roman"/>
        </w:rPr>
        <w:t xml:space="preserve"> </w:t>
      </w:r>
      <w:r w:rsidRPr="00B82C1D">
        <w:rPr>
          <w:rFonts w:ascii="Times New Roman" w:hAnsi="Times New Roman"/>
        </w:rPr>
        <w:t>;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 xml:space="preserve">Vu le code </w:t>
      </w:r>
      <w:r>
        <w:rPr>
          <w:rFonts w:ascii="Times New Roman" w:hAnsi="Times New Roman"/>
        </w:rPr>
        <w:t xml:space="preserve">des juridictions financières </w:t>
      </w:r>
      <w:r w:rsidRPr="00B82C1D">
        <w:rPr>
          <w:rFonts w:ascii="Times New Roman" w:hAnsi="Times New Roman"/>
        </w:rPr>
        <w:t>;</w:t>
      </w:r>
    </w:p>
    <w:p w:rsidR="00494833" w:rsidRDefault="00494833" w:rsidP="00E6530F">
      <w:pPr>
        <w:pStyle w:val="PS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l’article 60 de la loi de finances n° 63-156 du 23 février 1963 modifiée ;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 décret n°</w:t>
      </w:r>
      <w:r>
        <w:rPr>
          <w:rFonts w:ascii="Times New Roman" w:hAnsi="Times New Roman"/>
        </w:rPr>
        <w:t> </w:t>
      </w:r>
      <w:r w:rsidRPr="00B82C1D">
        <w:rPr>
          <w:rFonts w:ascii="Times New Roman" w:hAnsi="Times New Roman"/>
        </w:rPr>
        <w:t>62-1587 du 29 décembre 1962 modifié portant règlement général sur la comptabilité publique ;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Vu les textes relatifs à la comptabilité des établissements publics locaux d’enseignement ;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 code des juridictions financières ;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Vu</w:t>
      </w:r>
      <w:r w:rsidRPr="00B82C1D">
        <w:rPr>
          <w:rFonts w:ascii="Times New Roman" w:hAnsi="Times New Roman"/>
        </w:rPr>
        <w:t xml:space="preserve"> le rapport de M</w:t>
      </w:r>
      <w:r>
        <w:rPr>
          <w:rFonts w:ascii="Times New Roman" w:hAnsi="Times New Roman"/>
        </w:rPr>
        <w:t>me Cornette, présidente de chambre maintenue en activité faisant fonction de conseillère maître ;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C765D3">
      <w:pPr>
        <w:pStyle w:val="PS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>Vu les conclusions du Procureur général</w:t>
      </w:r>
      <w:r>
        <w:rPr>
          <w:rFonts w:ascii="Times New Roman" w:hAnsi="Times New Roman"/>
        </w:rPr>
        <w:t xml:space="preserve"> </w:t>
      </w:r>
      <w:r w:rsidRPr="00B82C1D">
        <w:rPr>
          <w:rFonts w:ascii="Times New Roman" w:hAnsi="Times New Roman"/>
        </w:rPr>
        <w:t>;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 xml:space="preserve">Entendu </w:t>
      </w:r>
      <w:r>
        <w:rPr>
          <w:rFonts w:ascii="Times New Roman" w:hAnsi="Times New Roman"/>
        </w:rPr>
        <w:t>Mme Cornette,</w:t>
      </w:r>
      <w:r w:rsidRPr="00B82C1D">
        <w:rPr>
          <w:rFonts w:ascii="Times New Roman" w:hAnsi="Times New Roman"/>
        </w:rPr>
        <w:t xml:space="preserve"> rapporteur</w:t>
      </w:r>
      <w:r>
        <w:rPr>
          <w:rFonts w:ascii="Times New Roman" w:hAnsi="Times New Roman"/>
        </w:rPr>
        <w:t>e,</w:t>
      </w:r>
      <w:r w:rsidRPr="00B82C1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et </w:t>
      </w:r>
      <w:r w:rsidRPr="00B82C1D">
        <w:rPr>
          <w:rFonts w:ascii="Times New Roman" w:hAnsi="Times New Roman"/>
        </w:rPr>
        <w:t xml:space="preserve">M. </w:t>
      </w:r>
      <w:r>
        <w:rPr>
          <w:rFonts w:ascii="Times New Roman" w:hAnsi="Times New Roman"/>
        </w:rPr>
        <w:t>Vallernaud</w:t>
      </w:r>
      <w:r w:rsidRPr="00B82C1D">
        <w:rPr>
          <w:rFonts w:ascii="Times New Roman" w:hAnsi="Times New Roman"/>
        </w:rPr>
        <w:t xml:space="preserve">, avocat général, l’appelant, </w:t>
      </w:r>
      <w:r>
        <w:rPr>
          <w:rFonts w:ascii="Times New Roman" w:hAnsi="Times New Roman"/>
        </w:rPr>
        <w:t>n’étant ni présent ni représenté</w:t>
      </w:r>
      <w:r w:rsidRPr="00B82C1D">
        <w:rPr>
          <w:rFonts w:ascii="Times New Roman" w:hAnsi="Times New Roman"/>
        </w:rPr>
        <w:t> ;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B82C1D">
        <w:rPr>
          <w:rFonts w:ascii="Times New Roman" w:hAnsi="Times New Roman"/>
        </w:rPr>
        <w:t xml:space="preserve">Entendu, </w:t>
      </w:r>
      <w:r>
        <w:rPr>
          <w:rFonts w:ascii="Times New Roman" w:hAnsi="Times New Roman"/>
        </w:rPr>
        <w:t>en délibéré</w:t>
      </w:r>
      <w:r w:rsidRPr="00B82C1D">
        <w:rPr>
          <w:rFonts w:ascii="Times New Roman" w:hAnsi="Times New Roman"/>
        </w:rPr>
        <w:t xml:space="preserve">, M. </w:t>
      </w:r>
      <w:r>
        <w:rPr>
          <w:rFonts w:ascii="Times New Roman" w:hAnsi="Times New Roman"/>
        </w:rPr>
        <w:t xml:space="preserve">Moreau, </w:t>
      </w:r>
      <w:r>
        <w:t xml:space="preserve">conseiller maître, </w:t>
      </w:r>
      <w:r>
        <w:rPr>
          <w:rFonts w:ascii="Times New Roman" w:hAnsi="Times New Roman"/>
        </w:rPr>
        <w:t xml:space="preserve">réviseur </w:t>
      </w:r>
      <w:r w:rsidRPr="00B82C1D">
        <w:rPr>
          <w:rFonts w:ascii="Times New Roman" w:hAnsi="Times New Roman"/>
        </w:rPr>
        <w:t>en ses observations ;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C765D3">
      <w:pPr>
        <w:pStyle w:val="PS"/>
        <w:ind w:left="567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Sur la régularité de la procédure :</w:t>
      </w:r>
      <w:r w:rsidRPr="00C765D3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B87BE6">
        <w:rPr>
          <w:szCs w:val="24"/>
        </w:rPr>
        <w:t>Attendu</w:t>
      </w:r>
      <w:r>
        <w:rPr>
          <w:szCs w:val="24"/>
        </w:rPr>
        <w:t>, sans qu’il soit besoin d’examiner les moyens présentés,</w:t>
      </w:r>
      <w:r w:rsidRPr="00B87BE6">
        <w:rPr>
          <w:szCs w:val="24"/>
        </w:rPr>
        <w:t xml:space="preserve"> qu’il ressort des pièces du dossier que </w:t>
      </w:r>
      <w:r>
        <w:rPr>
          <w:szCs w:val="24"/>
        </w:rPr>
        <w:t>M. Y</w:t>
      </w:r>
      <w:r w:rsidRPr="00B87BE6">
        <w:rPr>
          <w:szCs w:val="24"/>
        </w:rPr>
        <w:t xml:space="preserve">, </w:t>
      </w:r>
      <w:r>
        <w:rPr>
          <w:szCs w:val="24"/>
        </w:rPr>
        <w:t>président de section</w:t>
      </w:r>
      <w:r w:rsidRPr="00B87BE6">
        <w:rPr>
          <w:szCs w:val="24"/>
        </w:rPr>
        <w:t xml:space="preserve"> à la chambre </w:t>
      </w:r>
      <w:r>
        <w:rPr>
          <w:szCs w:val="24"/>
        </w:rPr>
        <w:t>de Corse</w:t>
      </w:r>
      <w:r w:rsidRPr="00B87BE6">
        <w:rPr>
          <w:szCs w:val="24"/>
        </w:rPr>
        <w:t>, a participé au délibéré d</w:t>
      </w:r>
      <w:r>
        <w:rPr>
          <w:szCs w:val="24"/>
        </w:rPr>
        <w:t>u</w:t>
      </w:r>
      <w:r w:rsidRPr="00B87BE6">
        <w:rPr>
          <w:szCs w:val="24"/>
        </w:rPr>
        <w:t xml:space="preserve"> jugement </w:t>
      </w:r>
      <w:r>
        <w:rPr>
          <w:szCs w:val="24"/>
        </w:rPr>
        <w:t>du 26 juin 2006 qui a enjoint à M. X de justifier ou de régulariser la situation anormale de trois soldes</w:t>
      </w:r>
      <w:r w:rsidRPr="00B87BE6">
        <w:rPr>
          <w:szCs w:val="24"/>
        </w:rPr>
        <w:t xml:space="preserve">, </w:t>
      </w:r>
      <w:r>
        <w:rPr>
          <w:szCs w:val="24"/>
        </w:rPr>
        <w:t>alors qu’il</w:t>
      </w:r>
      <w:r w:rsidRPr="00B87BE6">
        <w:rPr>
          <w:szCs w:val="24"/>
        </w:rPr>
        <w:t xml:space="preserve"> était le rapporteur</w:t>
      </w:r>
      <w:r>
        <w:rPr>
          <w:szCs w:val="24"/>
        </w:rPr>
        <w:t xml:space="preserve"> de l’affaire</w:t>
      </w:r>
      <w:r w:rsidRPr="00B87BE6">
        <w:rPr>
          <w:szCs w:val="24"/>
        </w:rPr>
        <w:t xml:space="preserve"> ;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B87BE6">
        <w:rPr>
          <w:szCs w:val="24"/>
        </w:rPr>
        <w:t xml:space="preserve">Attendu que la participation au délibéré du rapporteur </w:t>
      </w:r>
      <w:r>
        <w:rPr>
          <w:szCs w:val="24"/>
        </w:rPr>
        <w:t>qui a instruit</w:t>
      </w:r>
      <w:r w:rsidRPr="00B87BE6">
        <w:rPr>
          <w:szCs w:val="24"/>
        </w:rPr>
        <w:t xml:space="preserve"> </w:t>
      </w:r>
      <w:r>
        <w:rPr>
          <w:szCs w:val="24"/>
        </w:rPr>
        <w:t>l’</w:t>
      </w:r>
      <w:r w:rsidRPr="00B87BE6">
        <w:rPr>
          <w:szCs w:val="24"/>
        </w:rPr>
        <w:t xml:space="preserve">affaire </w:t>
      </w:r>
      <w:r>
        <w:rPr>
          <w:szCs w:val="24"/>
        </w:rPr>
        <w:t>entache</w:t>
      </w:r>
      <w:r w:rsidRPr="00B87BE6">
        <w:rPr>
          <w:szCs w:val="24"/>
        </w:rPr>
        <w:t xml:space="preserve"> d’irrégularité la composition de </w:t>
      </w:r>
      <w:r>
        <w:rPr>
          <w:szCs w:val="24"/>
        </w:rPr>
        <w:t>la</w:t>
      </w:r>
      <w:r w:rsidRPr="00B87BE6">
        <w:rPr>
          <w:szCs w:val="24"/>
        </w:rPr>
        <w:t xml:space="preserve"> formation</w:t>
      </w:r>
      <w:r>
        <w:rPr>
          <w:szCs w:val="24"/>
        </w:rPr>
        <w:t xml:space="preserve"> </w:t>
      </w:r>
      <w:r w:rsidRPr="00B87BE6">
        <w:rPr>
          <w:szCs w:val="24"/>
        </w:rPr>
        <w:t xml:space="preserve">; </w:t>
      </w:r>
      <w:r>
        <w:rPr>
          <w:szCs w:val="24"/>
        </w:rPr>
        <w:t>que cette irrégularité ne peut être effacée que si un jugement provisoire régulier reprend la procédure à une phase antérieure au jugement irrégulier ; que tel n’est pas le cas en l’espèce ;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B87BE6">
        <w:rPr>
          <w:szCs w:val="24"/>
        </w:rPr>
        <w:t>Attendu qu</w:t>
      </w:r>
      <w:r>
        <w:rPr>
          <w:szCs w:val="24"/>
        </w:rPr>
        <w:t>’il résulte de ce qui précède que la composition de la formation de jugement de la chambre régionale des comptes de Corse qui s’est prononcée à titre provisoire le 26 juin 2006</w:t>
      </w:r>
      <w:r w:rsidRPr="00B87BE6">
        <w:rPr>
          <w:szCs w:val="24"/>
        </w:rPr>
        <w:t xml:space="preserve"> </w:t>
      </w:r>
      <w:r>
        <w:rPr>
          <w:szCs w:val="24"/>
        </w:rPr>
        <w:t>était irrégulière et que cette</w:t>
      </w:r>
      <w:r w:rsidRPr="00B87BE6">
        <w:rPr>
          <w:szCs w:val="24"/>
        </w:rPr>
        <w:t xml:space="preserve"> circonstance</w:t>
      </w:r>
      <w:r>
        <w:rPr>
          <w:szCs w:val="24"/>
        </w:rPr>
        <w:t>, malgré l’intervention</w:t>
      </w:r>
      <w:r w:rsidRPr="00B87BE6">
        <w:rPr>
          <w:szCs w:val="24"/>
        </w:rPr>
        <w:t xml:space="preserve"> </w:t>
      </w:r>
      <w:r>
        <w:rPr>
          <w:szCs w:val="24"/>
        </w:rPr>
        <w:t>en la forme régulière du jugement définitif du 20 janvier 2009,</w:t>
      </w:r>
      <w:r w:rsidRPr="00B87BE6">
        <w:rPr>
          <w:szCs w:val="24"/>
        </w:rPr>
        <w:t xml:space="preserve"> entach</w:t>
      </w:r>
      <w:r>
        <w:rPr>
          <w:szCs w:val="24"/>
        </w:rPr>
        <w:t>ait</w:t>
      </w:r>
      <w:r w:rsidRPr="00B87BE6">
        <w:rPr>
          <w:szCs w:val="24"/>
        </w:rPr>
        <w:t xml:space="preserve"> d’irrégularité l’ensemble de la procédure </w:t>
      </w:r>
      <w:r>
        <w:rPr>
          <w:szCs w:val="24"/>
        </w:rPr>
        <w:t>de jugement des comptes ;</w:t>
      </w:r>
      <w:r w:rsidRPr="00B87BE6">
        <w:rPr>
          <w:szCs w:val="24"/>
        </w:rPr>
        <w:t xml:space="preserve"> qu’il convient d’annuler les jugements </w:t>
      </w:r>
      <w:r>
        <w:rPr>
          <w:szCs w:val="24"/>
        </w:rPr>
        <w:t>provisoires du 26 juin 2006 et du 12 juin 2007, et définitif</w:t>
      </w:r>
      <w:r w:rsidRPr="00B87BE6">
        <w:rPr>
          <w:szCs w:val="24"/>
        </w:rPr>
        <w:t xml:space="preserve"> </w:t>
      </w:r>
      <w:r>
        <w:rPr>
          <w:szCs w:val="24"/>
        </w:rPr>
        <w:t>du 20 janvier 2009 constituant le requérant débiteur des deniers du collège Jean Nicoli de Propriano ;</w:t>
      </w:r>
      <w:r w:rsidRPr="00E6530F">
        <w:rPr>
          <w:rFonts w:ascii="Times New Roman" w:hAnsi="Times New Roman"/>
        </w:rPr>
        <w:t xml:space="preserve"> </w:t>
      </w:r>
    </w:p>
    <w:p w:rsidR="00494833" w:rsidRDefault="00494833" w:rsidP="00431913">
      <w:pPr>
        <w:pStyle w:val="PS"/>
        <w:ind w:left="0"/>
        <w:rPr>
          <w:szCs w:val="24"/>
        </w:rPr>
      </w:pP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>
        <w:rPr>
          <w:szCs w:val="24"/>
        </w:rPr>
        <w:t>Attendu que l’affaire doit être reprise dans son ensemble ; qu’il convient de tenir compte du passage à l’euro pour l’exercice 2001, et de réexaminer l’enchaînement des soldes des balances d’entrée et de sortie ; qu’ainsi il convient de renvoyer cet examen à la chambre régionale des comptes de Corse ;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>
        <w:t>Par ces motifs,</w:t>
      </w:r>
      <w:r w:rsidRPr="00E6530F">
        <w:rPr>
          <w:rFonts w:ascii="Times New Roman" w:hAnsi="Times New Roman"/>
        </w:rPr>
        <w:t xml:space="preserve"> </w:t>
      </w:r>
    </w:p>
    <w:p w:rsidR="00494833" w:rsidRPr="00660A6D" w:rsidRDefault="00494833" w:rsidP="00327FD1">
      <w:pPr>
        <w:pStyle w:val="PS"/>
        <w:ind w:left="0" w:firstLine="0"/>
        <w:jc w:val="center"/>
        <w:rPr>
          <w:rFonts w:ascii="Times New Roman" w:hAnsi="Times New Roman"/>
        </w:rPr>
      </w:pPr>
      <w:r w:rsidRPr="00660A6D">
        <w:rPr>
          <w:rFonts w:ascii="Times New Roman" w:hAnsi="Times New Roman"/>
        </w:rPr>
        <w:t>ORDONNE :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Article 1er :  Les </w:t>
      </w:r>
      <w:r w:rsidRPr="00B87BE6">
        <w:rPr>
          <w:szCs w:val="24"/>
        </w:rPr>
        <w:t xml:space="preserve">jugements </w:t>
      </w:r>
      <w:r>
        <w:rPr>
          <w:szCs w:val="24"/>
        </w:rPr>
        <w:t>provisoires du 26 juin 2006 et du 12 juin 2007 et définitif</w:t>
      </w:r>
      <w:r w:rsidRPr="00B87BE6">
        <w:rPr>
          <w:szCs w:val="24"/>
        </w:rPr>
        <w:t xml:space="preserve"> </w:t>
      </w:r>
      <w:r>
        <w:rPr>
          <w:szCs w:val="24"/>
        </w:rPr>
        <w:t>du 20 janvier 2009 sont annulés.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>
        <w:rPr>
          <w:szCs w:val="24"/>
        </w:rPr>
        <w:t>Article 2 : l’affaire est renvoyée devant la chambre régionale des comptes de Corse.</w:t>
      </w:r>
      <w:r w:rsidRPr="00E6530F">
        <w:rPr>
          <w:rFonts w:ascii="Times New Roman" w:hAnsi="Times New Roman"/>
        </w:rPr>
        <w:t xml:space="preserve"> </w:t>
      </w:r>
    </w:p>
    <w:p w:rsidR="00494833" w:rsidRPr="00660A6D" w:rsidRDefault="00494833" w:rsidP="00610701">
      <w:pPr>
        <w:pStyle w:val="PS"/>
        <w:ind w:left="0" w:firstLine="0"/>
        <w:jc w:val="center"/>
        <w:rPr>
          <w:rFonts w:ascii="Times New Roman" w:hAnsi="Times New Roman"/>
        </w:rPr>
      </w:pPr>
      <w:r w:rsidRPr="00660A6D">
        <w:rPr>
          <w:rFonts w:ascii="Times New Roman" w:hAnsi="Times New Roman"/>
        </w:rPr>
        <w:t>------------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660A6D">
        <w:rPr>
          <w:rFonts w:ascii="Times New Roman" w:hAnsi="Times New Roman"/>
        </w:rPr>
        <w:t>Fait et jugé en la Cour des comptes, quatrième chambre, première section</w:t>
      </w:r>
      <w:r>
        <w:rPr>
          <w:rFonts w:ascii="Times New Roman" w:hAnsi="Times New Roman"/>
        </w:rPr>
        <w:t>.</w:t>
      </w:r>
      <w:r w:rsidRPr="00660A6D">
        <w:rPr>
          <w:rFonts w:ascii="Times New Roman" w:hAnsi="Times New Roman"/>
        </w:rPr>
        <w:t xml:space="preserve"> Présents, </w:t>
      </w:r>
      <w:r>
        <w:rPr>
          <w:rFonts w:ascii="Times New Roman" w:hAnsi="Times New Roman"/>
        </w:rPr>
        <w:t xml:space="preserve">MM. Pichon, président, </w:t>
      </w:r>
      <w:smartTag w:uri="urn:schemas-microsoft-com:office:smarttags" w:element="PersonName">
        <w:r>
          <w:rPr>
            <w:rFonts w:ascii="Times New Roman" w:hAnsi="Times New Roman"/>
          </w:rPr>
          <w:t>Cazanave</w:t>
        </w:r>
      </w:smartTag>
      <w:r>
        <w:rPr>
          <w:rFonts w:ascii="Times New Roman" w:hAnsi="Times New Roman"/>
        </w:rPr>
        <w:t>, président de section, Moreau, Ritz, Lafaure, Vermeulen et Mme Gadriot-Renard, conseillers maîtres.</w:t>
      </w:r>
      <w:r w:rsidRPr="00E6530F">
        <w:rPr>
          <w:rFonts w:ascii="Times New Roman" w:hAnsi="Times New Roman"/>
        </w:rPr>
        <w:t xml:space="preserve"> </w:t>
      </w:r>
    </w:p>
    <w:p w:rsidR="00494833" w:rsidRPr="00B82C1D" w:rsidRDefault="00494833" w:rsidP="00C765D3">
      <w:pPr>
        <w:pStyle w:val="PS"/>
        <w:ind w:left="567"/>
        <w:rPr>
          <w:rFonts w:ascii="Times New Roman" w:hAnsi="Times New Roman"/>
        </w:rPr>
      </w:pPr>
      <w:r>
        <w:t>Signé : Pichon, président, et Reynaud, greffier.</w:t>
      </w:r>
      <w:r w:rsidRPr="00801F06">
        <w:t xml:space="preserve"> </w:t>
      </w:r>
    </w:p>
    <w:p w:rsidR="00494833" w:rsidRPr="00B82C1D" w:rsidRDefault="00494833" w:rsidP="00E6530F">
      <w:pPr>
        <w:pStyle w:val="PS"/>
        <w:ind w:left="567"/>
        <w:rPr>
          <w:rFonts w:ascii="Times New Roman" w:hAnsi="Times New Roman"/>
        </w:rPr>
      </w:pPr>
      <w:r w:rsidRPr="006C3363">
        <w:rPr>
          <w:rFonts w:ascii="Times New Roman" w:hAnsi="Times New Roman"/>
        </w:rPr>
        <w:t>Collationné, certifié conforme à la minute étant au greffe de la Cour des comptes</w:t>
      </w:r>
      <w:r>
        <w:rPr>
          <w:rFonts w:ascii="Times New Roman" w:hAnsi="Times New Roman"/>
        </w:rPr>
        <w:t xml:space="preserve"> et d</w:t>
      </w:r>
      <w:r w:rsidRPr="006C3363">
        <w:rPr>
          <w:rFonts w:ascii="Times New Roman" w:hAnsi="Times New Roman"/>
        </w:rPr>
        <w:t>élivré par moi, secrétaire générale</w:t>
      </w:r>
      <w:r>
        <w:rPr>
          <w:rFonts w:ascii="Times New Roman" w:hAnsi="Times New Roman"/>
        </w:rPr>
        <w:t>.</w:t>
      </w:r>
      <w:r w:rsidRPr="00801F06">
        <w:t xml:space="preserve"> </w:t>
      </w:r>
    </w:p>
    <w:p w:rsidR="00494833" w:rsidRDefault="00494833" w:rsidP="00E6530F">
      <w:pPr>
        <w:pStyle w:val="PS"/>
        <w:spacing w:after="240"/>
        <w:ind w:left="0" w:right="74" w:firstLine="709"/>
        <w:rPr>
          <w:rFonts w:ascii="Times New Roman" w:hAnsi="Times New Roman"/>
        </w:rPr>
      </w:pPr>
    </w:p>
    <w:p w:rsidR="00494833" w:rsidRPr="00D877FA" w:rsidRDefault="00494833" w:rsidP="00E6530F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color w:val="auto"/>
          <w:szCs w:val="24"/>
        </w:rPr>
      </w:pPr>
      <w:r w:rsidRPr="00D877FA">
        <w:rPr>
          <w:b/>
          <w:color w:val="auto"/>
          <w:szCs w:val="24"/>
        </w:rPr>
        <w:t>Pour la Secrétaire générale</w:t>
      </w:r>
    </w:p>
    <w:p w:rsidR="00494833" w:rsidRPr="00D877FA" w:rsidRDefault="00494833" w:rsidP="00E6530F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color w:val="auto"/>
          <w:szCs w:val="24"/>
        </w:rPr>
      </w:pPr>
      <w:r w:rsidRPr="00D877FA">
        <w:rPr>
          <w:b/>
          <w:color w:val="auto"/>
          <w:szCs w:val="24"/>
        </w:rPr>
        <w:t>et par délégation</w:t>
      </w:r>
    </w:p>
    <w:p w:rsidR="00494833" w:rsidRPr="00D877FA" w:rsidRDefault="00494833" w:rsidP="00E6530F">
      <w:pPr>
        <w:pStyle w:val="StylepsNoirPremireligne222cmAvantAutomatiqueApr"/>
        <w:spacing w:before="0" w:beforeAutospacing="0" w:after="0" w:afterAutospacing="0"/>
        <w:ind w:left="5398" w:hanging="862"/>
        <w:jc w:val="center"/>
        <w:rPr>
          <w:b/>
          <w:color w:val="auto"/>
          <w:szCs w:val="24"/>
        </w:rPr>
      </w:pPr>
      <w:r w:rsidRPr="00D877FA">
        <w:rPr>
          <w:b/>
          <w:color w:val="auto"/>
          <w:szCs w:val="24"/>
        </w:rPr>
        <w:t>le Chef du greffe central par intérim</w:t>
      </w:r>
    </w:p>
    <w:p w:rsidR="00494833" w:rsidRPr="00D877FA" w:rsidRDefault="00494833" w:rsidP="00E6530F">
      <w:pPr>
        <w:pStyle w:val="StylepsNoirPremireligne222cmAvantAutomatiqueApr"/>
        <w:ind w:left="5398" w:hanging="862"/>
        <w:jc w:val="center"/>
        <w:rPr>
          <w:b/>
          <w:color w:val="auto"/>
          <w:szCs w:val="24"/>
        </w:rPr>
      </w:pPr>
    </w:p>
    <w:p w:rsidR="00494833" w:rsidRPr="00D877FA" w:rsidRDefault="00494833" w:rsidP="00E6530F">
      <w:pPr>
        <w:pStyle w:val="StylepsNoirPremireligne222cmAvantAutomatiqueApr"/>
        <w:ind w:left="5398" w:hanging="862"/>
        <w:jc w:val="center"/>
        <w:rPr>
          <w:b/>
          <w:color w:val="auto"/>
          <w:szCs w:val="24"/>
        </w:rPr>
      </w:pPr>
    </w:p>
    <w:p w:rsidR="00494833" w:rsidRPr="00D877FA" w:rsidRDefault="00494833" w:rsidP="00E6530F">
      <w:pPr>
        <w:pStyle w:val="StylepsNoirPremireligne222cmAvantAutomatiqueApr"/>
        <w:ind w:left="5398" w:hanging="862"/>
        <w:jc w:val="center"/>
        <w:rPr>
          <w:b/>
          <w:color w:val="auto"/>
          <w:szCs w:val="24"/>
        </w:rPr>
      </w:pPr>
    </w:p>
    <w:p w:rsidR="00494833" w:rsidRPr="00D877FA" w:rsidRDefault="00494833" w:rsidP="00E6530F">
      <w:pPr>
        <w:pStyle w:val="StylepsNoirPremireligne222cmAvantAutomatiqueApr"/>
        <w:spacing w:beforeAutospacing="0" w:after="0" w:afterAutospacing="0"/>
        <w:ind w:left="5398" w:hanging="862"/>
        <w:jc w:val="center"/>
        <w:rPr>
          <w:b/>
          <w:color w:val="auto"/>
          <w:szCs w:val="24"/>
        </w:rPr>
      </w:pPr>
      <w:r w:rsidRPr="00D877FA">
        <w:rPr>
          <w:b/>
          <w:color w:val="auto"/>
          <w:szCs w:val="24"/>
        </w:rPr>
        <w:t>Catherine PAILOT-BONNÉTAT</w:t>
      </w:r>
    </w:p>
    <w:p w:rsidR="00494833" w:rsidRPr="00D877FA" w:rsidRDefault="00494833" w:rsidP="00E6530F">
      <w:pPr>
        <w:pStyle w:val="PS"/>
        <w:ind w:left="5166" w:hanging="862"/>
        <w:jc w:val="center"/>
        <w:rPr>
          <w:szCs w:val="24"/>
        </w:rPr>
      </w:pPr>
      <w:r w:rsidRPr="00D877FA">
        <w:rPr>
          <w:b/>
          <w:szCs w:val="24"/>
        </w:rPr>
        <w:t>Conseillère référendaire</w:t>
      </w:r>
    </w:p>
    <w:p w:rsidR="00494833" w:rsidRPr="00660A6D" w:rsidRDefault="00494833" w:rsidP="00301219">
      <w:pPr>
        <w:pStyle w:val="PS"/>
        <w:ind w:left="567"/>
      </w:pPr>
    </w:p>
    <w:sectPr w:rsidR="00494833" w:rsidRPr="00660A6D" w:rsidSect="00C765D3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833" w:rsidRDefault="00494833">
      <w:r>
        <w:separator/>
      </w:r>
    </w:p>
  </w:endnote>
  <w:endnote w:type="continuationSeparator" w:id="0">
    <w:p w:rsidR="00494833" w:rsidRDefault="00494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833" w:rsidRDefault="00494833">
      <w:r>
        <w:separator/>
      </w:r>
    </w:p>
  </w:footnote>
  <w:footnote w:type="continuationSeparator" w:id="0">
    <w:p w:rsidR="00494833" w:rsidRDefault="004948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833" w:rsidRDefault="00494833" w:rsidP="00C765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4833" w:rsidRDefault="00494833" w:rsidP="00C765D3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833" w:rsidRDefault="00494833" w:rsidP="00C765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494833" w:rsidRDefault="00494833" w:rsidP="00C765D3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3E92"/>
    <w:rsid w:val="0000109B"/>
    <w:rsid w:val="00002923"/>
    <w:rsid w:val="00042DE1"/>
    <w:rsid w:val="00062706"/>
    <w:rsid w:val="00074849"/>
    <w:rsid w:val="00076446"/>
    <w:rsid w:val="000966AD"/>
    <w:rsid w:val="00097CB1"/>
    <w:rsid w:val="000A2324"/>
    <w:rsid w:val="000B1525"/>
    <w:rsid w:val="000C78C8"/>
    <w:rsid w:val="000F0263"/>
    <w:rsid w:val="000F295E"/>
    <w:rsid w:val="000F5742"/>
    <w:rsid w:val="0010360D"/>
    <w:rsid w:val="00103B5D"/>
    <w:rsid w:val="0010487D"/>
    <w:rsid w:val="00120038"/>
    <w:rsid w:val="0013719D"/>
    <w:rsid w:val="00137E59"/>
    <w:rsid w:val="00172BF4"/>
    <w:rsid w:val="00173F27"/>
    <w:rsid w:val="00180908"/>
    <w:rsid w:val="00180E4F"/>
    <w:rsid w:val="00190224"/>
    <w:rsid w:val="001943B8"/>
    <w:rsid w:val="001B7368"/>
    <w:rsid w:val="001C4E87"/>
    <w:rsid w:val="001D2A4A"/>
    <w:rsid w:val="001E2CBB"/>
    <w:rsid w:val="001F482A"/>
    <w:rsid w:val="0020413B"/>
    <w:rsid w:val="00211381"/>
    <w:rsid w:val="00211F06"/>
    <w:rsid w:val="00223D38"/>
    <w:rsid w:val="00243E9C"/>
    <w:rsid w:val="00262E91"/>
    <w:rsid w:val="002A3420"/>
    <w:rsid w:val="002A5F51"/>
    <w:rsid w:val="002B01CB"/>
    <w:rsid w:val="002E020E"/>
    <w:rsid w:val="002F4064"/>
    <w:rsid w:val="002F76D8"/>
    <w:rsid w:val="00301219"/>
    <w:rsid w:val="00301766"/>
    <w:rsid w:val="00304E6D"/>
    <w:rsid w:val="00311220"/>
    <w:rsid w:val="00313B8C"/>
    <w:rsid w:val="00317CAF"/>
    <w:rsid w:val="003201CD"/>
    <w:rsid w:val="00325C98"/>
    <w:rsid w:val="00326EE5"/>
    <w:rsid w:val="00327FD1"/>
    <w:rsid w:val="00331626"/>
    <w:rsid w:val="00346D93"/>
    <w:rsid w:val="00353439"/>
    <w:rsid w:val="00377A30"/>
    <w:rsid w:val="003812B4"/>
    <w:rsid w:val="00383468"/>
    <w:rsid w:val="003873BC"/>
    <w:rsid w:val="0039572C"/>
    <w:rsid w:val="003A24CE"/>
    <w:rsid w:val="003A6169"/>
    <w:rsid w:val="003B4919"/>
    <w:rsid w:val="003C72B0"/>
    <w:rsid w:val="00410A6D"/>
    <w:rsid w:val="0041218E"/>
    <w:rsid w:val="00413EE5"/>
    <w:rsid w:val="004149E8"/>
    <w:rsid w:val="00415B20"/>
    <w:rsid w:val="00417449"/>
    <w:rsid w:val="00421AE2"/>
    <w:rsid w:val="004268EA"/>
    <w:rsid w:val="00431913"/>
    <w:rsid w:val="00431DA7"/>
    <w:rsid w:val="00457496"/>
    <w:rsid w:val="004648E6"/>
    <w:rsid w:val="00465AAA"/>
    <w:rsid w:val="00475C59"/>
    <w:rsid w:val="00475D4C"/>
    <w:rsid w:val="004806C4"/>
    <w:rsid w:val="00481C50"/>
    <w:rsid w:val="0048440B"/>
    <w:rsid w:val="0048565A"/>
    <w:rsid w:val="00486582"/>
    <w:rsid w:val="00493476"/>
    <w:rsid w:val="00494833"/>
    <w:rsid w:val="00496FA2"/>
    <w:rsid w:val="00497A94"/>
    <w:rsid w:val="004A6A39"/>
    <w:rsid w:val="004D206B"/>
    <w:rsid w:val="004D2162"/>
    <w:rsid w:val="004D52EB"/>
    <w:rsid w:val="004D6186"/>
    <w:rsid w:val="004E32D2"/>
    <w:rsid w:val="004F66C0"/>
    <w:rsid w:val="0051078B"/>
    <w:rsid w:val="00513823"/>
    <w:rsid w:val="00521414"/>
    <w:rsid w:val="00533F20"/>
    <w:rsid w:val="0054418D"/>
    <w:rsid w:val="00545E6A"/>
    <w:rsid w:val="00553D49"/>
    <w:rsid w:val="005618A9"/>
    <w:rsid w:val="00565E05"/>
    <w:rsid w:val="00566BAE"/>
    <w:rsid w:val="005726AE"/>
    <w:rsid w:val="005846B1"/>
    <w:rsid w:val="00586186"/>
    <w:rsid w:val="00586D35"/>
    <w:rsid w:val="005917EE"/>
    <w:rsid w:val="00597F3F"/>
    <w:rsid w:val="005C14F9"/>
    <w:rsid w:val="005D1BD8"/>
    <w:rsid w:val="005D3707"/>
    <w:rsid w:val="005E5AE6"/>
    <w:rsid w:val="005E7EE8"/>
    <w:rsid w:val="005F41EA"/>
    <w:rsid w:val="005F641F"/>
    <w:rsid w:val="006003CD"/>
    <w:rsid w:val="0060163F"/>
    <w:rsid w:val="00610701"/>
    <w:rsid w:val="0061419D"/>
    <w:rsid w:val="00616174"/>
    <w:rsid w:val="0063019B"/>
    <w:rsid w:val="006421C6"/>
    <w:rsid w:val="00643AEB"/>
    <w:rsid w:val="00645620"/>
    <w:rsid w:val="006534E7"/>
    <w:rsid w:val="00660A6D"/>
    <w:rsid w:val="00671DB5"/>
    <w:rsid w:val="00686BA5"/>
    <w:rsid w:val="006A4388"/>
    <w:rsid w:val="006B005F"/>
    <w:rsid w:val="006C3363"/>
    <w:rsid w:val="006C3E92"/>
    <w:rsid w:val="006C6EDF"/>
    <w:rsid w:val="006D16E0"/>
    <w:rsid w:val="006D476B"/>
    <w:rsid w:val="006E020C"/>
    <w:rsid w:val="006E1A1A"/>
    <w:rsid w:val="006F13C8"/>
    <w:rsid w:val="00701DFF"/>
    <w:rsid w:val="00735AC3"/>
    <w:rsid w:val="007438F0"/>
    <w:rsid w:val="007A56E4"/>
    <w:rsid w:val="007B2171"/>
    <w:rsid w:val="007B529F"/>
    <w:rsid w:val="007C77E2"/>
    <w:rsid w:val="007D4AE2"/>
    <w:rsid w:val="007D76DB"/>
    <w:rsid w:val="007E78C0"/>
    <w:rsid w:val="007F0929"/>
    <w:rsid w:val="007F1E40"/>
    <w:rsid w:val="007F2422"/>
    <w:rsid w:val="007F3AC0"/>
    <w:rsid w:val="00801F06"/>
    <w:rsid w:val="008240D6"/>
    <w:rsid w:val="00824B43"/>
    <w:rsid w:val="00826837"/>
    <w:rsid w:val="00843BBF"/>
    <w:rsid w:val="00844E33"/>
    <w:rsid w:val="00845E76"/>
    <w:rsid w:val="00847E1B"/>
    <w:rsid w:val="008617C3"/>
    <w:rsid w:val="00866D4B"/>
    <w:rsid w:val="00883D06"/>
    <w:rsid w:val="00891B02"/>
    <w:rsid w:val="008A5054"/>
    <w:rsid w:val="008B5911"/>
    <w:rsid w:val="008C5F81"/>
    <w:rsid w:val="008E0C8D"/>
    <w:rsid w:val="00906B6C"/>
    <w:rsid w:val="009176A6"/>
    <w:rsid w:val="009450CF"/>
    <w:rsid w:val="00955E9B"/>
    <w:rsid w:val="00976D12"/>
    <w:rsid w:val="00977D5B"/>
    <w:rsid w:val="00977E23"/>
    <w:rsid w:val="00982A6D"/>
    <w:rsid w:val="0099190A"/>
    <w:rsid w:val="009A2162"/>
    <w:rsid w:val="009A25F6"/>
    <w:rsid w:val="009B0840"/>
    <w:rsid w:val="009F2DB9"/>
    <w:rsid w:val="00A1234D"/>
    <w:rsid w:val="00A14907"/>
    <w:rsid w:val="00A306F4"/>
    <w:rsid w:val="00A30BE7"/>
    <w:rsid w:val="00A322DF"/>
    <w:rsid w:val="00A338DA"/>
    <w:rsid w:val="00A36AE2"/>
    <w:rsid w:val="00A406E5"/>
    <w:rsid w:val="00A42557"/>
    <w:rsid w:val="00A44C20"/>
    <w:rsid w:val="00A84B8C"/>
    <w:rsid w:val="00A95152"/>
    <w:rsid w:val="00AB0802"/>
    <w:rsid w:val="00AD035E"/>
    <w:rsid w:val="00AD146C"/>
    <w:rsid w:val="00AD2BC6"/>
    <w:rsid w:val="00AD30F0"/>
    <w:rsid w:val="00AD31F8"/>
    <w:rsid w:val="00AF1D55"/>
    <w:rsid w:val="00AF2001"/>
    <w:rsid w:val="00AF7246"/>
    <w:rsid w:val="00B10A4C"/>
    <w:rsid w:val="00B30F64"/>
    <w:rsid w:val="00B551A7"/>
    <w:rsid w:val="00B62210"/>
    <w:rsid w:val="00B82C1D"/>
    <w:rsid w:val="00B85FD6"/>
    <w:rsid w:val="00B87BE6"/>
    <w:rsid w:val="00B92A4C"/>
    <w:rsid w:val="00B96FB7"/>
    <w:rsid w:val="00BA223E"/>
    <w:rsid w:val="00BA5580"/>
    <w:rsid w:val="00BA6A11"/>
    <w:rsid w:val="00BB068D"/>
    <w:rsid w:val="00BC5727"/>
    <w:rsid w:val="00BD01E8"/>
    <w:rsid w:val="00BD6431"/>
    <w:rsid w:val="00BE45B1"/>
    <w:rsid w:val="00BE4CC6"/>
    <w:rsid w:val="00BF50BE"/>
    <w:rsid w:val="00C10827"/>
    <w:rsid w:val="00C35A41"/>
    <w:rsid w:val="00C36F08"/>
    <w:rsid w:val="00C72063"/>
    <w:rsid w:val="00C765D3"/>
    <w:rsid w:val="00CA59F7"/>
    <w:rsid w:val="00CD06DD"/>
    <w:rsid w:val="00CD1497"/>
    <w:rsid w:val="00CF4D0B"/>
    <w:rsid w:val="00D05BB4"/>
    <w:rsid w:val="00D072D8"/>
    <w:rsid w:val="00D07D63"/>
    <w:rsid w:val="00D22973"/>
    <w:rsid w:val="00D57ECF"/>
    <w:rsid w:val="00D62606"/>
    <w:rsid w:val="00D877FA"/>
    <w:rsid w:val="00D969BC"/>
    <w:rsid w:val="00DA7123"/>
    <w:rsid w:val="00DB549E"/>
    <w:rsid w:val="00DB5EED"/>
    <w:rsid w:val="00DF26F3"/>
    <w:rsid w:val="00DF7926"/>
    <w:rsid w:val="00E2748E"/>
    <w:rsid w:val="00E6530F"/>
    <w:rsid w:val="00E73F93"/>
    <w:rsid w:val="00E86457"/>
    <w:rsid w:val="00EB6713"/>
    <w:rsid w:val="00EB739E"/>
    <w:rsid w:val="00ED36C8"/>
    <w:rsid w:val="00ED5089"/>
    <w:rsid w:val="00ED6E0D"/>
    <w:rsid w:val="00EE4EFA"/>
    <w:rsid w:val="00F36307"/>
    <w:rsid w:val="00F504CA"/>
    <w:rsid w:val="00F736D0"/>
    <w:rsid w:val="00F74ADE"/>
    <w:rsid w:val="00F818F3"/>
    <w:rsid w:val="00F82D06"/>
    <w:rsid w:val="00F8640B"/>
    <w:rsid w:val="00F949A9"/>
    <w:rsid w:val="00FA0011"/>
    <w:rsid w:val="00FA133F"/>
    <w:rsid w:val="00FB2F3C"/>
    <w:rsid w:val="00FB6C0A"/>
    <w:rsid w:val="00FC475F"/>
    <w:rsid w:val="00FD4177"/>
    <w:rsid w:val="00FE3DDE"/>
    <w:rsid w:val="00FE7CFC"/>
    <w:rsid w:val="00FF14A8"/>
    <w:rsid w:val="00FF6674"/>
    <w:rsid w:val="00FF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E3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4E33"/>
    <w:pPr>
      <w:keepNext/>
      <w:jc w:val="right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4E33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44E33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44E33"/>
    <w:pPr>
      <w:keepNext/>
      <w:ind w:left="567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44E33"/>
    <w:pPr>
      <w:keepNext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rsid w:val="00844E33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paragraph" w:customStyle="1" w:styleId="apostille">
    <w:name w:val="apostille"/>
    <w:basedOn w:val="Normal"/>
    <w:uiPriority w:val="99"/>
    <w:rsid w:val="00844E33"/>
    <w:pPr>
      <w:spacing w:before="120"/>
      <w:jc w:val="right"/>
    </w:pPr>
    <w:rPr>
      <w:b/>
      <w:i/>
      <w:smallCaps/>
      <w:sz w:val="24"/>
    </w:rPr>
  </w:style>
  <w:style w:type="paragraph" w:customStyle="1" w:styleId="obs">
    <w:name w:val="obs"/>
    <w:basedOn w:val="Normal"/>
    <w:uiPriority w:val="99"/>
    <w:rsid w:val="00844E33"/>
    <w:pPr>
      <w:spacing w:before="240" w:after="120"/>
      <w:jc w:val="both"/>
    </w:pPr>
    <w:rPr>
      <w:b/>
      <w:sz w:val="24"/>
    </w:rPr>
  </w:style>
  <w:style w:type="character" w:styleId="FootnoteReference">
    <w:name w:val="footnote reference"/>
    <w:basedOn w:val="DefaultParagraphFont"/>
    <w:uiPriority w:val="99"/>
    <w:semiHidden/>
    <w:rsid w:val="00844E33"/>
    <w:rPr>
      <w:rFonts w:cs="Times New Roman"/>
      <w:vertAlign w:val="superscript"/>
    </w:rPr>
  </w:style>
  <w:style w:type="paragraph" w:styleId="BodyText">
    <w:name w:val="Body Text"/>
    <w:basedOn w:val="Normal"/>
    <w:link w:val="BodyTextChar"/>
    <w:uiPriority w:val="99"/>
    <w:rsid w:val="00844E33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44E33"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</w:rPr>
  </w:style>
  <w:style w:type="paragraph" w:customStyle="1" w:styleId="paragraphe">
    <w:name w:val="paragraphe"/>
    <w:uiPriority w:val="99"/>
    <w:rsid w:val="00847E1B"/>
    <w:pPr>
      <w:spacing w:after="240" w:line="240" w:lineRule="exact"/>
      <w:ind w:left="2268" w:firstLine="1418"/>
      <w:jc w:val="both"/>
    </w:pPr>
    <w:rPr>
      <w:rFonts w:ascii="Tms Rmn" w:hAnsi="Tms Rm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1D2A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customStyle="1" w:styleId="PS">
    <w:name w:val="PS"/>
    <w:basedOn w:val="Normal"/>
    <w:link w:val="PSCar"/>
    <w:uiPriority w:val="99"/>
    <w:rsid w:val="00B82C1D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basedOn w:val="DefaultParagraphFont"/>
    <w:link w:val="PS"/>
    <w:uiPriority w:val="99"/>
    <w:locked/>
    <w:rsid w:val="00B82C1D"/>
    <w:rPr>
      <w:rFonts w:ascii="CG Times (WN)" w:hAnsi="CG Times (WN)" w:cs="Times New Roman"/>
      <w:sz w:val="24"/>
      <w:lang w:val="fr-FR" w:eastAsia="fr-FR" w:bidi="ar-SA"/>
    </w:rPr>
  </w:style>
  <w:style w:type="paragraph" w:customStyle="1" w:styleId="Style">
    <w:name w:val="Style"/>
    <w:basedOn w:val="Normal"/>
    <w:uiPriority w:val="99"/>
    <w:rsid w:val="00E6530F"/>
    <w:pPr>
      <w:spacing w:after="160" w:line="240" w:lineRule="exact"/>
    </w:pPr>
    <w:rPr>
      <w:rFonts w:ascii="Tahoma" w:hAnsi="Tahoma"/>
      <w:lang w:val="en-US" w:eastAsia="en-US"/>
    </w:rPr>
  </w:style>
  <w:style w:type="paragraph" w:customStyle="1" w:styleId="StylepsNoirPremireligne222cmAvantAutomatiqueApr">
    <w:name w:val="Style ps + Noir Première ligne : 2.22 cm Avant : Automatique Apr..."/>
    <w:basedOn w:val="PS"/>
    <w:uiPriority w:val="99"/>
    <w:rsid w:val="00E6530F"/>
    <w:pPr>
      <w:spacing w:before="100" w:beforeAutospacing="1" w:after="100" w:afterAutospacing="1"/>
      <w:ind w:left="0" w:firstLine="1259"/>
    </w:pPr>
    <w:rPr>
      <w:rFonts w:ascii="Times New Roman" w:hAnsi="Times New Roman"/>
      <w:color w:val="000000"/>
    </w:rPr>
  </w:style>
  <w:style w:type="paragraph" w:styleId="Header">
    <w:name w:val="header"/>
    <w:basedOn w:val="Normal"/>
    <w:link w:val="HeaderChar"/>
    <w:uiPriority w:val="99"/>
    <w:rsid w:val="00C765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C765D3"/>
    <w:rPr>
      <w:rFonts w:cs="Times New Roman"/>
    </w:rPr>
  </w:style>
  <w:style w:type="paragraph" w:customStyle="1" w:styleId="ET">
    <w:name w:val="ET"/>
    <w:basedOn w:val="Normal"/>
    <w:uiPriority w:val="99"/>
    <w:rsid w:val="00304E6D"/>
    <w:rPr>
      <w:rFonts w:ascii="CG Times (WN)" w:hAnsi="CG Times (WN)"/>
      <w:b/>
      <w:sz w:val="24"/>
    </w:rPr>
  </w:style>
  <w:style w:type="table" w:styleId="TableGrid">
    <w:name w:val="Table Grid"/>
    <w:basedOn w:val="TableNormal"/>
    <w:uiPriority w:val="99"/>
    <w:rsid w:val="00977D5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oreau\Local%20Settings\Temporary%20Internet%20Files\OLK31\Arr&#234;t%20appel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 appel1.dot</Template>
  <TotalTime>2</TotalTime>
  <Pages>3</Pages>
  <Words>630</Words>
  <Characters>3469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subject/>
  <dc:creator>gmoreau</dc:creator>
  <cp:keywords/>
  <dc:description/>
  <cp:lastModifiedBy>mtlecroisey</cp:lastModifiedBy>
  <cp:revision>3</cp:revision>
  <cp:lastPrinted>2010-04-27T06:50:00Z</cp:lastPrinted>
  <dcterms:created xsi:type="dcterms:W3CDTF">2010-08-26T17:10:00Z</dcterms:created>
  <dcterms:modified xsi:type="dcterms:W3CDTF">2010-08-27T10:03:00Z</dcterms:modified>
</cp:coreProperties>
</file>