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0A8" w:rsidRDefault="00EA70A8">
      <w:pPr>
        <w:pStyle w:val="Default"/>
      </w:pPr>
      <w:bookmarkStart w:id="0" w:name="_GoBack"/>
      <w:bookmarkEnd w:id="0"/>
      <w:r>
        <w:t xml:space="preserve"> </w:t>
      </w:r>
    </w:p>
    <w:p w:rsidR="00EA70A8" w:rsidRDefault="00EA70A8">
      <w:pPr>
        <w:pStyle w:val="Default"/>
      </w:pPr>
    </w:p>
    <w:p w:rsidR="00EA70A8" w:rsidRDefault="002228C5">
      <w:pPr>
        <w:framePr w:w="875" w:wrap="auto" w:vAnchor="page" w:hAnchor="page" w:x="1418" w:y="3605"/>
        <w:jc w:val="both"/>
        <w:rPr>
          <w:sz w:val="23"/>
          <w:szCs w:val="23"/>
        </w:rPr>
      </w:pPr>
      <w:r>
        <w:rPr>
          <w:noProof/>
        </w:rPr>
        <w:pict>
          <v:shapetype id="_x0000_t202" coordsize="21600,21600" o:spt="202" path="m,l,21600r21600,l21600,xe">
            <v:stroke joinstyle="miter"/>
            <v:path gradientshapeok="t" o:connecttype="rect"/>
          </v:shapetype>
          <v:shape id="_x0000_s1026" type="#_x0000_t202" style="position:absolute;left:0;text-align:left;margin-left:70.85pt;margin-top:69.7pt;width:188.6pt;height:150.05pt;z-index:251658240;mso-position-horizontal-relative:page;mso-position-vertical-relative:page" o:allowincell="f" filled="f" stroked="f">
            <v:textbox>
              <w:txbxContent>
                <w:p w:rsidR="00EA70A8" w:rsidRDefault="00EA70A8"/>
                <w:tbl>
                  <w:tblPr>
                    <w:tblW w:w="0" w:type="auto"/>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72"/>
                    <w:gridCol w:w="1487"/>
                    <w:gridCol w:w="2722"/>
                  </w:tblGrid>
                  <w:tr w:rsidR="00EA70A8">
                    <w:tblPrEx>
                      <w:tblCellMar>
                        <w:top w:w="0" w:type="dxa"/>
                        <w:bottom w:w="0" w:type="dxa"/>
                      </w:tblCellMar>
                    </w:tblPrEx>
                    <w:trPr>
                      <w:gridBefore w:val="1"/>
                      <w:trHeight w:val="2251"/>
                    </w:trPr>
                    <w:tc>
                      <w:tcPr>
                        <w:tcW w:w="4209" w:type="dxa"/>
                        <w:gridSpan w:val="2"/>
                        <w:tcBorders>
                          <w:top w:val="single" w:sz="6" w:space="0" w:color="000000"/>
                          <w:bottom w:val="single" w:sz="6" w:space="0" w:color="000000"/>
                        </w:tcBorders>
                      </w:tcPr>
                      <w:p w:rsidR="00EA70A8" w:rsidRDefault="00EA70A8">
                        <w:pPr>
                          <w:jc w:val="center"/>
                          <w:rPr>
                            <w:color w:val="000000"/>
                            <w:sz w:val="23"/>
                            <w:szCs w:val="23"/>
                          </w:rPr>
                        </w:pPr>
                        <w:r>
                          <w:rPr>
                            <w:b/>
                            <w:bCs/>
                            <w:color w:val="000000"/>
                            <w:sz w:val="23"/>
                            <w:szCs w:val="23"/>
                          </w:rPr>
                          <w:t xml:space="preserve">COUR DES COMPTES </w:t>
                        </w:r>
                      </w:p>
                      <w:p w:rsidR="00EA70A8" w:rsidRDefault="00EA70A8">
                        <w:pPr>
                          <w:jc w:val="center"/>
                          <w:rPr>
                            <w:color w:val="000000"/>
                            <w:sz w:val="23"/>
                            <w:szCs w:val="23"/>
                          </w:rPr>
                        </w:pPr>
                        <w:r>
                          <w:rPr>
                            <w:b/>
                            <w:bCs/>
                            <w:color w:val="000000"/>
                            <w:sz w:val="23"/>
                            <w:szCs w:val="23"/>
                          </w:rPr>
                          <w:t xml:space="preserve">-------- </w:t>
                        </w:r>
                      </w:p>
                      <w:p w:rsidR="00EA70A8" w:rsidRDefault="00EA70A8">
                        <w:pPr>
                          <w:jc w:val="center"/>
                          <w:rPr>
                            <w:color w:val="000000"/>
                            <w:sz w:val="23"/>
                            <w:szCs w:val="23"/>
                          </w:rPr>
                        </w:pPr>
                        <w:r>
                          <w:rPr>
                            <w:b/>
                            <w:bCs/>
                            <w:color w:val="000000"/>
                            <w:sz w:val="23"/>
                            <w:szCs w:val="23"/>
                          </w:rPr>
                          <w:t xml:space="preserve">QUATRIEME CHAMBRE </w:t>
                        </w:r>
                      </w:p>
                      <w:p w:rsidR="00EA70A8" w:rsidRDefault="00EA70A8">
                        <w:pPr>
                          <w:jc w:val="center"/>
                          <w:rPr>
                            <w:color w:val="000000"/>
                            <w:sz w:val="23"/>
                            <w:szCs w:val="23"/>
                          </w:rPr>
                        </w:pPr>
                        <w:r>
                          <w:rPr>
                            <w:b/>
                            <w:bCs/>
                            <w:color w:val="000000"/>
                            <w:sz w:val="23"/>
                            <w:szCs w:val="23"/>
                          </w:rPr>
                          <w:t xml:space="preserve"> </w:t>
                        </w:r>
                      </w:p>
                      <w:p w:rsidR="00EA70A8" w:rsidRDefault="00EA70A8">
                        <w:pPr>
                          <w:jc w:val="center"/>
                          <w:rPr>
                            <w:color w:val="000000"/>
                            <w:sz w:val="23"/>
                            <w:szCs w:val="23"/>
                          </w:rPr>
                        </w:pPr>
                        <w:r>
                          <w:rPr>
                            <w:b/>
                            <w:bCs/>
                            <w:color w:val="000000"/>
                            <w:sz w:val="23"/>
                            <w:szCs w:val="23"/>
                          </w:rPr>
                          <w:t xml:space="preserve">PREMIERE SECTION </w:t>
                        </w:r>
                      </w:p>
                      <w:p w:rsidR="00EA70A8" w:rsidRDefault="00EA70A8">
                        <w:pPr>
                          <w:jc w:val="center"/>
                          <w:rPr>
                            <w:color w:val="000000"/>
                            <w:sz w:val="23"/>
                            <w:szCs w:val="23"/>
                          </w:rPr>
                        </w:pPr>
                        <w:r>
                          <w:rPr>
                            <w:b/>
                            <w:bCs/>
                            <w:color w:val="000000"/>
                            <w:sz w:val="23"/>
                            <w:szCs w:val="23"/>
                          </w:rPr>
                          <w:t xml:space="preserve">-------- </w:t>
                        </w:r>
                      </w:p>
                      <w:p w:rsidR="00EA70A8" w:rsidRDefault="00EA70A8">
                        <w:pPr>
                          <w:pStyle w:val="Titre1"/>
                          <w:jc w:val="center"/>
                          <w:rPr>
                            <w:color w:val="000000"/>
                            <w:sz w:val="23"/>
                            <w:szCs w:val="23"/>
                          </w:rPr>
                        </w:pPr>
                        <w:r>
                          <w:rPr>
                            <w:b/>
                            <w:bCs/>
                            <w:i/>
                            <w:iCs/>
                            <w:color w:val="000000"/>
                            <w:sz w:val="23"/>
                            <w:szCs w:val="23"/>
                          </w:rPr>
                          <w:t xml:space="preserve">Arrêt n° 57806 </w:t>
                        </w:r>
                      </w:p>
                      <w:p w:rsidR="00EA70A8" w:rsidRDefault="00EA70A8">
                        <w:pPr>
                          <w:pStyle w:val="Titre1"/>
                          <w:jc w:val="center"/>
                          <w:rPr>
                            <w:color w:val="000000"/>
                            <w:sz w:val="23"/>
                            <w:szCs w:val="23"/>
                          </w:rPr>
                        </w:pPr>
                        <w:r>
                          <w:rPr>
                            <w:b/>
                            <w:bCs/>
                            <w:color w:val="000000"/>
                            <w:sz w:val="23"/>
                            <w:szCs w:val="23"/>
                          </w:rPr>
                          <w:t xml:space="preserve"> </w:t>
                        </w:r>
                      </w:p>
                    </w:tc>
                  </w:tr>
                </w:tbl>
              </w:txbxContent>
            </v:textbox>
            <w10:wrap type="through" anchorx="page" anchory="page"/>
          </v:shape>
        </w:pict>
      </w:r>
      <w:r w:rsidR="00EA70A8">
        <w:rPr>
          <w:sz w:val="23"/>
          <w:szCs w:val="23"/>
        </w:rPr>
        <w:t xml:space="preserve"> </w:t>
      </w:r>
    </w:p>
    <w:p w:rsidR="00EA70A8" w:rsidRDefault="00EA70A8">
      <w:pPr>
        <w:framePr w:w="875" w:wrap="auto" w:vAnchor="page" w:hAnchor="page" w:x="1418" w:y="3881"/>
        <w:rPr>
          <w:sz w:val="23"/>
          <w:szCs w:val="23"/>
        </w:rPr>
      </w:pPr>
      <w:r>
        <w:rPr>
          <w:sz w:val="23"/>
          <w:szCs w:val="23"/>
        </w:rPr>
        <w:t xml:space="preserve"> </w:t>
      </w:r>
    </w:p>
    <w:p w:rsidR="00EA70A8" w:rsidRDefault="00EA70A8">
      <w:pPr>
        <w:framePr w:w="4998" w:wrap="auto" w:vAnchor="page" w:hAnchor="page" w:x="5954" w:y="4157"/>
        <w:jc w:val="both"/>
        <w:rPr>
          <w:sz w:val="23"/>
          <w:szCs w:val="23"/>
        </w:rPr>
      </w:pPr>
      <w:r>
        <w:rPr>
          <w:sz w:val="23"/>
          <w:szCs w:val="23"/>
        </w:rPr>
        <w:t xml:space="preserve">GESTION DE FAIT DES DENIERS DE LA COMMUNE DE NOISY-LE-GRAND (SEINE-SAINT-DENIS) – AMENDE - </w:t>
      </w:r>
    </w:p>
    <w:p w:rsidR="00EA70A8" w:rsidRDefault="00EA70A8">
      <w:pPr>
        <w:pStyle w:val="Default"/>
        <w:framePr w:w="4684" w:wrap="auto" w:vAnchor="page" w:hAnchor="page" w:x="5954" w:y="4985"/>
        <w:jc w:val="both"/>
        <w:rPr>
          <w:color w:val="auto"/>
          <w:sz w:val="23"/>
          <w:szCs w:val="23"/>
        </w:rPr>
      </w:pPr>
      <w:r>
        <w:rPr>
          <w:color w:val="auto"/>
          <w:sz w:val="23"/>
          <w:szCs w:val="23"/>
        </w:rPr>
        <w:t xml:space="preserve">ASSOCIATION « MICHEL SIMON ARTS PRODUCTION » </w:t>
      </w:r>
    </w:p>
    <w:p w:rsidR="00EA70A8" w:rsidRDefault="00EA70A8">
      <w:pPr>
        <w:pStyle w:val="Default"/>
        <w:framePr w:w="875" w:wrap="auto" w:vAnchor="page" w:hAnchor="page" w:x="5954" w:y="5537"/>
        <w:jc w:val="both"/>
        <w:rPr>
          <w:color w:val="auto"/>
          <w:sz w:val="23"/>
          <w:szCs w:val="23"/>
        </w:rPr>
      </w:pPr>
      <w:r>
        <w:rPr>
          <w:color w:val="auto"/>
          <w:sz w:val="23"/>
          <w:szCs w:val="23"/>
        </w:rPr>
        <w:t xml:space="preserve"> </w:t>
      </w:r>
    </w:p>
    <w:p w:rsidR="00EA70A8" w:rsidRDefault="00EA70A8">
      <w:pPr>
        <w:pStyle w:val="Titre2"/>
        <w:framePr w:w="4620" w:wrap="auto" w:vAnchor="page" w:hAnchor="page" w:x="5954" w:y="5813"/>
        <w:jc w:val="both"/>
        <w:rPr>
          <w:sz w:val="23"/>
          <w:szCs w:val="23"/>
        </w:rPr>
      </w:pPr>
      <w:r>
        <w:rPr>
          <w:sz w:val="23"/>
          <w:szCs w:val="23"/>
        </w:rPr>
        <w:t xml:space="preserve">Appel d’un jugement de la chambre régionale des comptes d’Ile-de-France  </w:t>
      </w:r>
    </w:p>
    <w:p w:rsidR="00EA70A8" w:rsidRDefault="00EA70A8">
      <w:pPr>
        <w:pStyle w:val="Default"/>
        <w:framePr w:w="875" w:wrap="auto" w:vAnchor="page" w:hAnchor="page" w:x="5954" w:y="6364"/>
        <w:jc w:val="both"/>
        <w:rPr>
          <w:color w:val="auto"/>
          <w:sz w:val="23"/>
          <w:szCs w:val="23"/>
        </w:rPr>
      </w:pPr>
      <w:r>
        <w:rPr>
          <w:color w:val="auto"/>
          <w:sz w:val="23"/>
          <w:szCs w:val="23"/>
        </w:rPr>
        <w:t xml:space="preserve"> </w:t>
      </w:r>
    </w:p>
    <w:p w:rsidR="00EA70A8" w:rsidRDefault="00EA70A8">
      <w:pPr>
        <w:pStyle w:val="Titre4"/>
        <w:framePr w:w="3101" w:wrap="auto" w:vAnchor="page" w:hAnchor="page" w:x="5954" w:y="6640"/>
        <w:jc w:val="both"/>
        <w:rPr>
          <w:sz w:val="23"/>
          <w:szCs w:val="23"/>
        </w:rPr>
      </w:pPr>
      <w:r>
        <w:rPr>
          <w:sz w:val="23"/>
          <w:szCs w:val="23"/>
        </w:rPr>
        <w:t xml:space="preserve">Rapport n° 2009-322-1 </w:t>
      </w:r>
    </w:p>
    <w:p w:rsidR="00EA70A8" w:rsidRDefault="00EA70A8">
      <w:pPr>
        <w:pStyle w:val="Default"/>
        <w:framePr w:w="875" w:wrap="auto" w:vAnchor="page" w:hAnchor="page" w:x="5954" w:y="6916"/>
        <w:jc w:val="both"/>
        <w:rPr>
          <w:color w:val="auto"/>
          <w:sz w:val="23"/>
          <w:szCs w:val="23"/>
        </w:rPr>
      </w:pPr>
      <w:r>
        <w:rPr>
          <w:color w:val="auto"/>
          <w:sz w:val="23"/>
          <w:szCs w:val="23"/>
        </w:rPr>
        <w:t xml:space="preserve"> </w:t>
      </w:r>
    </w:p>
    <w:p w:rsidR="00EA70A8" w:rsidRDefault="00EA70A8">
      <w:pPr>
        <w:pStyle w:val="Default"/>
        <w:framePr w:w="3461" w:wrap="auto" w:vAnchor="page" w:hAnchor="page" w:x="5954" w:y="7192"/>
        <w:jc w:val="both"/>
        <w:rPr>
          <w:color w:val="auto"/>
          <w:sz w:val="23"/>
          <w:szCs w:val="23"/>
        </w:rPr>
      </w:pPr>
      <w:r>
        <w:rPr>
          <w:color w:val="auto"/>
          <w:sz w:val="23"/>
          <w:szCs w:val="23"/>
        </w:rPr>
        <w:t xml:space="preserve">Audience du 18 mars 2010 </w:t>
      </w:r>
    </w:p>
    <w:p w:rsidR="00EA70A8" w:rsidRDefault="00EA70A8">
      <w:pPr>
        <w:pStyle w:val="Default"/>
        <w:framePr w:w="875" w:wrap="auto" w:vAnchor="page" w:hAnchor="page" w:x="5954" w:y="7468"/>
        <w:jc w:val="both"/>
        <w:rPr>
          <w:color w:val="auto"/>
          <w:sz w:val="23"/>
          <w:szCs w:val="23"/>
        </w:rPr>
      </w:pPr>
      <w:r>
        <w:rPr>
          <w:color w:val="auto"/>
          <w:sz w:val="23"/>
          <w:szCs w:val="23"/>
        </w:rPr>
        <w:t xml:space="preserve"> </w:t>
      </w:r>
    </w:p>
    <w:p w:rsidR="00EA70A8" w:rsidRDefault="00EA70A8">
      <w:pPr>
        <w:pStyle w:val="Default"/>
        <w:framePr w:w="3048" w:wrap="auto" w:vAnchor="page" w:hAnchor="page" w:x="5954" w:y="7744"/>
        <w:jc w:val="both"/>
        <w:rPr>
          <w:color w:val="auto"/>
          <w:sz w:val="23"/>
          <w:szCs w:val="23"/>
        </w:rPr>
      </w:pPr>
      <w:r>
        <w:rPr>
          <w:color w:val="auto"/>
          <w:sz w:val="23"/>
          <w:szCs w:val="23"/>
        </w:rPr>
        <w:t xml:space="preserve">Lecture du 6 mai 2010 </w:t>
      </w:r>
    </w:p>
    <w:p w:rsidR="00EA70A8" w:rsidRDefault="00EA70A8">
      <w:pPr>
        <w:pStyle w:val="Default"/>
        <w:framePr w:w="875" w:wrap="auto" w:vAnchor="page" w:hAnchor="page" w:x="1418" w:y="8020"/>
        <w:jc w:val="both"/>
        <w:rPr>
          <w:color w:val="auto"/>
          <w:sz w:val="23"/>
          <w:szCs w:val="23"/>
        </w:rPr>
      </w:pPr>
      <w:r>
        <w:rPr>
          <w:color w:val="auto"/>
          <w:sz w:val="23"/>
          <w:szCs w:val="23"/>
        </w:rPr>
        <w:t xml:space="preserve"> </w:t>
      </w:r>
    </w:p>
    <w:p w:rsidR="00EA70A8" w:rsidRDefault="00EA70A8">
      <w:pPr>
        <w:pStyle w:val="Default"/>
        <w:framePr w:w="875" w:wrap="auto" w:vAnchor="page" w:hAnchor="page" w:x="1418" w:y="8296"/>
        <w:jc w:val="both"/>
        <w:rPr>
          <w:color w:val="auto"/>
          <w:sz w:val="23"/>
          <w:szCs w:val="23"/>
        </w:rPr>
      </w:pPr>
      <w:r>
        <w:rPr>
          <w:color w:val="auto"/>
          <w:sz w:val="23"/>
          <w:szCs w:val="23"/>
        </w:rPr>
        <w:t xml:space="preserve"> </w:t>
      </w:r>
    </w:p>
    <w:p w:rsidR="00EA70A8" w:rsidRDefault="00EA70A8">
      <w:pPr>
        <w:pStyle w:val="PS"/>
        <w:framePr w:w="5904" w:wrap="auto" w:vAnchor="page" w:hAnchor="page" w:x="3827" w:y="8572"/>
        <w:jc w:val="both"/>
        <w:rPr>
          <w:sz w:val="23"/>
          <w:szCs w:val="23"/>
        </w:rPr>
      </w:pPr>
      <w:r>
        <w:rPr>
          <w:sz w:val="23"/>
          <w:szCs w:val="23"/>
        </w:rPr>
        <w:t xml:space="preserve">LA COUR DES COMPTES a rendu l’arrêt suivant : </w:t>
      </w:r>
    </w:p>
    <w:p w:rsidR="00EA70A8" w:rsidRDefault="00EA70A8">
      <w:pPr>
        <w:pStyle w:val="Default"/>
        <w:framePr w:w="875" w:wrap="auto" w:vAnchor="page" w:hAnchor="page" w:x="1418" w:y="9328"/>
        <w:jc w:val="both"/>
        <w:rPr>
          <w:color w:val="auto"/>
          <w:sz w:val="23"/>
          <w:szCs w:val="23"/>
        </w:rPr>
      </w:pPr>
      <w:r>
        <w:rPr>
          <w:color w:val="auto"/>
          <w:sz w:val="23"/>
          <w:szCs w:val="23"/>
        </w:rPr>
        <w:t xml:space="preserve"> </w:t>
      </w:r>
    </w:p>
    <w:p w:rsidR="00EA70A8" w:rsidRDefault="00EA70A8">
      <w:pPr>
        <w:pStyle w:val="Default"/>
        <w:framePr w:w="875" w:wrap="auto" w:vAnchor="page" w:hAnchor="page" w:x="1418" w:y="9604"/>
        <w:jc w:val="both"/>
        <w:rPr>
          <w:color w:val="auto"/>
          <w:sz w:val="23"/>
          <w:szCs w:val="23"/>
        </w:rPr>
      </w:pPr>
      <w:r>
        <w:rPr>
          <w:color w:val="auto"/>
          <w:sz w:val="23"/>
          <w:szCs w:val="23"/>
        </w:rPr>
        <w:t xml:space="preserve"> </w:t>
      </w:r>
    </w:p>
    <w:p w:rsidR="00EA70A8" w:rsidRDefault="00EA70A8">
      <w:pPr>
        <w:pStyle w:val="PS"/>
        <w:framePr w:w="2042" w:wrap="auto" w:vAnchor="page" w:hAnchor="page" w:x="3119" w:y="9880"/>
        <w:jc w:val="both"/>
        <w:rPr>
          <w:sz w:val="23"/>
          <w:szCs w:val="23"/>
        </w:rPr>
      </w:pPr>
      <w:r>
        <w:rPr>
          <w:sz w:val="23"/>
          <w:szCs w:val="23"/>
        </w:rPr>
        <w:t xml:space="preserve">LA COUR,  </w:t>
      </w:r>
    </w:p>
    <w:p w:rsidR="00EA70A8" w:rsidRDefault="00EA70A8">
      <w:pPr>
        <w:pStyle w:val="Default"/>
        <w:framePr w:w="8633" w:wrap="auto" w:vAnchor="page" w:hAnchor="page" w:x="1985" w:y="10636"/>
        <w:jc w:val="both"/>
        <w:rPr>
          <w:color w:val="auto"/>
          <w:sz w:val="23"/>
          <w:szCs w:val="23"/>
        </w:rPr>
      </w:pPr>
      <w:r>
        <w:rPr>
          <w:color w:val="auto"/>
          <w:sz w:val="23"/>
          <w:szCs w:val="23"/>
        </w:rPr>
        <w:t>Vu la requête, enregistrée le 28 février 2008 au greffe de la chambre régionale des comptes d’Ile-de-France, par laquelle M</w:t>
      </w:r>
      <w:r>
        <w:rPr>
          <w:color w:val="auto"/>
          <w:sz w:val="16"/>
          <w:szCs w:val="16"/>
        </w:rPr>
        <w:t>me</w:t>
      </w:r>
      <w:r>
        <w:rPr>
          <w:color w:val="auto"/>
          <w:sz w:val="23"/>
          <w:szCs w:val="23"/>
        </w:rPr>
        <w:t xml:space="preserve"> X a élevé appel du jugement n° 07-0941 J du 11 décembre 2007 par lequel ladite chambre a condamné M</w:t>
      </w:r>
      <w:r>
        <w:rPr>
          <w:color w:val="auto"/>
          <w:sz w:val="16"/>
          <w:szCs w:val="16"/>
        </w:rPr>
        <w:t>me</w:t>
      </w:r>
      <w:r>
        <w:rPr>
          <w:color w:val="auto"/>
          <w:sz w:val="23"/>
          <w:szCs w:val="23"/>
        </w:rPr>
        <w:t xml:space="preserve"> X à une amende de 500 € pour immixtion dans les fonctions de comptable public au titre de la gestion de fait des deniers de la COMMUNE DE NOISY-LE-GRAND pour les actions de l’ASSOCIATION MICHEL SIMON ARTS PRODUCTION ; </w:t>
      </w:r>
    </w:p>
    <w:p w:rsidR="00EA70A8" w:rsidRDefault="00EA70A8">
      <w:pPr>
        <w:pStyle w:val="Default"/>
        <w:framePr w:w="8618" w:wrap="auto" w:vAnchor="page" w:hAnchor="page" w:x="1985" w:y="12772"/>
        <w:jc w:val="both"/>
        <w:rPr>
          <w:color w:val="auto"/>
          <w:sz w:val="23"/>
          <w:szCs w:val="23"/>
        </w:rPr>
      </w:pPr>
      <w:r>
        <w:rPr>
          <w:color w:val="auto"/>
          <w:sz w:val="23"/>
          <w:szCs w:val="23"/>
        </w:rPr>
        <w:t xml:space="preserve">Vu le réquisitoire du Procureur général du 30 mai 2008 transmettant la requête précitée ;  </w:t>
      </w:r>
    </w:p>
    <w:p w:rsidR="00EA70A8" w:rsidRDefault="00EA70A8">
      <w:pPr>
        <w:pStyle w:val="Default"/>
        <w:framePr w:w="8605" w:wrap="auto" w:vAnchor="page" w:hAnchor="page" w:x="1985" w:y="13774"/>
        <w:jc w:val="both"/>
        <w:rPr>
          <w:color w:val="auto"/>
          <w:sz w:val="23"/>
          <w:szCs w:val="23"/>
        </w:rPr>
      </w:pPr>
      <w:r>
        <w:rPr>
          <w:color w:val="auto"/>
          <w:sz w:val="23"/>
          <w:szCs w:val="23"/>
        </w:rPr>
        <w:t>Vu les écritures complémentaires produites par M</w:t>
      </w:r>
      <w:r>
        <w:rPr>
          <w:color w:val="auto"/>
          <w:sz w:val="16"/>
          <w:szCs w:val="16"/>
        </w:rPr>
        <w:t>e</w:t>
      </w:r>
      <w:r>
        <w:rPr>
          <w:color w:val="auto"/>
          <w:sz w:val="23"/>
          <w:szCs w:val="23"/>
        </w:rPr>
        <w:t xml:space="preserve"> Saint-Marc, conseil de M</w:t>
      </w:r>
      <w:r>
        <w:rPr>
          <w:color w:val="auto"/>
          <w:sz w:val="16"/>
          <w:szCs w:val="16"/>
        </w:rPr>
        <w:t>me</w:t>
      </w:r>
      <w:r>
        <w:rPr>
          <w:color w:val="auto"/>
          <w:sz w:val="23"/>
          <w:szCs w:val="23"/>
        </w:rPr>
        <w:t xml:space="preserve"> X, les 15 septembre, 9 octobre, 8 novembre 2009 ainsi que le 5 mars 2010, en réplique aux observations du rapporteur et aux conclusions du Procureur général ; </w:t>
      </w:r>
    </w:p>
    <w:p w:rsidR="00EA70A8" w:rsidRDefault="00EA70A8">
      <w:pPr>
        <w:pStyle w:val="Default"/>
        <w:framePr w:w="875" w:wrap="auto" w:vAnchor="page" w:hAnchor="page" w:x="3119" w:y="15112"/>
        <w:jc w:val="both"/>
        <w:rPr>
          <w:color w:val="auto"/>
          <w:sz w:val="23"/>
          <w:szCs w:val="23"/>
        </w:rPr>
      </w:pPr>
      <w:r>
        <w:rPr>
          <w:color w:val="auto"/>
          <w:sz w:val="23"/>
          <w:szCs w:val="23"/>
        </w:rPr>
        <w:t xml:space="preserve"> </w:t>
      </w:r>
    </w:p>
    <w:p w:rsidR="00EA70A8" w:rsidRDefault="00EA70A8">
      <w:pPr>
        <w:pStyle w:val="Default"/>
        <w:pageBreakBefore/>
        <w:framePr w:w="8664" w:wrap="auto" w:vAnchor="page" w:hAnchor="page" w:x="1985" w:y="1397"/>
        <w:jc w:val="both"/>
        <w:rPr>
          <w:color w:val="auto"/>
          <w:sz w:val="23"/>
          <w:szCs w:val="23"/>
        </w:rPr>
      </w:pPr>
      <w:r>
        <w:rPr>
          <w:color w:val="auto"/>
          <w:sz w:val="23"/>
          <w:szCs w:val="23"/>
        </w:rPr>
        <w:lastRenderedPageBreak/>
        <w:t>Vu le jugement du 7 février 1996, confirmé par l’arrêt du 10 juillet 1997 de la Cour des comptes, par lequel la chambre régionale d’Ile-de-France a déclaré M</w:t>
      </w:r>
      <w:r>
        <w:rPr>
          <w:color w:val="auto"/>
          <w:sz w:val="16"/>
          <w:szCs w:val="16"/>
        </w:rPr>
        <w:t>me</w:t>
      </w:r>
      <w:r>
        <w:rPr>
          <w:color w:val="auto"/>
          <w:sz w:val="23"/>
          <w:szCs w:val="23"/>
        </w:rPr>
        <w:t xml:space="preserve"> X et M. Z comptables de fait des deniers de la commune de Noisy-le-Grand, extraits et maniés irrégulièrement par l’intermédiaire de l’association « Michel Simon Arts production» ;  </w:t>
      </w:r>
    </w:p>
    <w:p w:rsidR="00EA70A8" w:rsidRDefault="00EA70A8">
      <w:pPr>
        <w:pStyle w:val="Default"/>
        <w:framePr w:w="8620" w:wrap="auto" w:vAnchor="page" w:hAnchor="page" w:x="1985" w:y="3257"/>
        <w:jc w:val="both"/>
        <w:rPr>
          <w:color w:val="auto"/>
          <w:sz w:val="23"/>
          <w:szCs w:val="23"/>
        </w:rPr>
      </w:pPr>
      <w:r>
        <w:rPr>
          <w:color w:val="auto"/>
          <w:sz w:val="23"/>
          <w:szCs w:val="23"/>
        </w:rPr>
        <w:t xml:space="preserve">Vu l’arrêt de ce jour, par lequel la Cour des comptes, saisie en appel du jugement n° 06-1424 J du 28 décembre 2006 par lequel la chambre régionale des comptes d’Ile-de-France a fixé la ligne de compte de la gestion de fait des deniers de la commune de Noisy-le-Grand au titre des actions de l’association Michel Simon arts production, a rejeté les moyens par lesquels la requérante demandait l’annulation de la déclaration de gestion de fait, annulé l’ensemble des actes de la procédure conduisant à la fixation de la ligne de comptes, y inclus le jugement dont était appel, puis constaté la prescription du compte de la gestion de fait ;  </w:t>
      </w:r>
    </w:p>
    <w:p w:rsidR="00EA70A8" w:rsidRDefault="00EA70A8">
      <w:pPr>
        <w:pStyle w:val="Default"/>
        <w:framePr w:w="8601" w:wrap="auto" w:vAnchor="page" w:hAnchor="page" w:x="1985" w:y="5945"/>
        <w:jc w:val="both"/>
        <w:rPr>
          <w:color w:val="auto"/>
          <w:sz w:val="23"/>
          <w:szCs w:val="23"/>
        </w:rPr>
      </w:pPr>
      <w:r>
        <w:rPr>
          <w:color w:val="auto"/>
          <w:sz w:val="23"/>
          <w:szCs w:val="23"/>
        </w:rPr>
        <w:t xml:space="preserve">Vu le décret n° 62-1587 du 29 décembre 1962 modifié portant règlement général sur la comptabilité publique ;  </w:t>
      </w:r>
    </w:p>
    <w:p w:rsidR="00EA70A8" w:rsidRDefault="00EA70A8">
      <w:pPr>
        <w:pStyle w:val="Default"/>
        <w:framePr w:w="4748" w:wrap="auto" w:vAnchor="page" w:hAnchor="page" w:x="3119" w:y="6977"/>
        <w:jc w:val="both"/>
        <w:rPr>
          <w:color w:val="auto"/>
          <w:sz w:val="23"/>
          <w:szCs w:val="23"/>
        </w:rPr>
      </w:pPr>
      <w:r>
        <w:rPr>
          <w:color w:val="auto"/>
          <w:sz w:val="23"/>
          <w:szCs w:val="23"/>
        </w:rPr>
        <w:t xml:space="preserve">Vu le code des juridictions financières ;  </w:t>
      </w:r>
    </w:p>
    <w:p w:rsidR="00EA70A8" w:rsidRDefault="00EA70A8">
      <w:pPr>
        <w:pStyle w:val="Default"/>
        <w:framePr w:w="6174" w:wrap="auto" w:vAnchor="page" w:hAnchor="page" w:x="3119" w:y="7733"/>
        <w:jc w:val="both"/>
        <w:rPr>
          <w:color w:val="auto"/>
          <w:sz w:val="23"/>
          <w:szCs w:val="23"/>
        </w:rPr>
      </w:pPr>
      <w:r>
        <w:rPr>
          <w:color w:val="auto"/>
          <w:sz w:val="23"/>
          <w:szCs w:val="23"/>
        </w:rPr>
        <w:t xml:space="preserve">Vu le rapport de M. Geoffroy, conseiller référendaire ;  </w:t>
      </w:r>
    </w:p>
    <w:p w:rsidR="00EA70A8" w:rsidRDefault="00EA70A8">
      <w:pPr>
        <w:pStyle w:val="Default"/>
        <w:framePr w:w="4949" w:wrap="auto" w:vAnchor="page" w:hAnchor="page" w:x="3119" w:y="8489"/>
        <w:jc w:val="both"/>
        <w:rPr>
          <w:color w:val="auto"/>
          <w:sz w:val="23"/>
          <w:szCs w:val="23"/>
        </w:rPr>
      </w:pPr>
      <w:r>
        <w:rPr>
          <w:color w:val="auto"/>
          <w:sz w:val="23"/>
          <w:szCs w:val="23"/>
        </w:rPr>
        <w:t xml:space="preserve">Vu les conclusions du Procureur général ;  </w:t>
      </w:r>
    </w:p>
    <w:p w:rsidR="00EA70A8" w:rsidRDefault="00EA70A8">
      <w:pPr>
        <w:pStyle w:val="Default"/>
        <w:framePr w:w="8603" w:wrap="auto" w:vAnchor="page" w:hAnchor="page" w:x="1985" w:y="9244"/>
        <w:jc w:val="both"/>
        <w:rPr>
          <w:color w:val="auto"/>
          <w:sz w:val="23"/>
          <w:szCs w:val="23"/>
        </w:rPr>
      </w:pPr>
      <w:r>
        <w:rPr>
          <w:color w:val="auto"/>
          <w:sz w:val="23"/>
          <w:szCs w:val="23"/>
        </w:rPr>
        <w:t>Entendu, lors de l’audience de ce jour, M. Geoffroy, rapporteur, M. Feller, avocat général, M</w:t>
      </w:r>
      <w:r>
        <w:rPr>
          <w:color w:val="auto"/>
          <w:sz w:val="16"/>
          <w:szCs w:val="16"/>
        </w:rPr>
        <w:t>me</w:t>
      </w:r>
      <w:r>
        <w:rPr>
          <w:color w:val="auto"/>
          <w:sz w:val="23"/>
          <w:szCs w:val="23"/>
        </w:rPr>
        <w:t xml:space="preserve"> X et son conseil, M</w:t>
      </w:r>
      <w:r>
        <w:rPr>
          <w:color w:val="auto"/>
          <w:sz w:val="16"/>
          <w:szCs w:val="16"/>
        </w:rPr>
        <w:t>e</w:t>
      </w:r>
      <w:r>
        <w:rPr>
          <w:color w:val="auto"/>
          <w:sz w:val="23"/>
          <w:szCs w:val="23"/>
        </w:rPr>
        <w:t xml:space="preserve"> Saint-Marc, en leurs interventions, l’un et l’autre étant intervenus en dernier ;  </w:t>
      </w:r>
    </w:p>
    <w:p w:rsidR="00EA70A8" w:rsidRDefault="00EA70A8">
      <w:pPr>
        <w:pStyle w:val="Default"/>
        <w:framePr w:w="8661" w:wrap="auto" w:vAnchor="page" w:hAnchor="page" w:x="1985" w:y="10552"/>
        <w:jc w:val="both"/>
        <w:rPr>
          <w:color w:val="auto"/>
          <w:sz w:val="23"/>
          <w:szCs w:val="23"/>
        </w:rPr>
      </w:pPr>
      <w:r>
        <w:rPr>
          <w:color w:val="auto"/>
          <w:sz w:val="23"/>
          <w:szCs w:val="23"/>
        </w:rPr>
        <w:t xml:space="preserve">Entendu, en délibéré, M. Moreau, conseiller maître, réviseur, en ses observations ;  </w:t>
      </w:r>
    </w:p>
    <w:p w:rsidR="00EA70A8" w:rsidRDefault="00EA70A8">
      <w:pPr>
        <w:pStyle w:val="Default"/>
        <w:framePr w:w="2945" w:wrap="auto" w:vAnchor="page" w:hAnchor="page" w:x="3119" w:y="11581"/>
        <w:jc w:val="both"/>
        <w:rPr>
          <w:color w:val="auto"/>
          <w:sz w:val="23"/>
          <w:szCs w:val="23"/>
        </w:rPr>
      </w:pPr>
      <w:r>
        <w:rPr>
          <w:b/>
          <w:bCs/>
          <w:color w:val="auto"/>
          <w:sz w:val="23"/>
          <w:szCs w:val="23"/>
          <w:u w:val="single"/>
        </w:rPr>
        <w:t>Sur la recevabilité :</w:t>
      </w:r>
      <w:r>
        <w:rPr>
          <w:color w:val="auto"/>
          <w:sz w:val="23"/>
          <w:szCs w:val="23"/>
        </w:rPr>
        <w:t xml:space="preserve">  </w:t>
      </w:r>
    </w:p>
    <w:p w:rsidR="00EA70A8" w:rsidRDefault="00EA70A8">
      <w:pPr>
        <w:pStyle w:val="Default"/>
        <w:framePr w:w="8615" w:wrap="auto" w:vAnchor="page" w:hAnchor="page" w:x="1985" w:y="12340"/>
        <w:jc w:val="both"/>
        <w:rPr>
          <w:color w:val="auto"/>
          <w:sz w:val="23"/>
          <w:szCs w:val="23"/>
        </w:rPr>
      </w:pPr>
      <w:r>
        <w:rPr>
          <w:color w:val="auto"/>
          <w:sz w:val="23"/>
          <w:szCs w:val="23"/>
        </w:rPr>
        <w:t xml:space="preserve">Attendu qu’il n’entre pas dans les compétences du juge des comptes de se prononcer sur la condamnation d’une collectivité publique au paiement des frais et dépens ; que par suite, la requête visant à la mise en œuvre de l’article L. 761-1 du code de justice administrative à l’encontre de la ville de Noisy-le-Grand n’est pas recevable ;  </w:t>
      </w:r>
    </w:p>
    <w:p w:rsidR="00EA70A8" w:rsidRDefault="00EA70A8">
      <w:pPr>
        <w:pStyle w:val="PS"/>
        <w:pageBreakBefore/>
        <w:framePr w:w="7764" w:wrap="auto" w:vAnchor="page" w:hAnchor="page" w:x="3119" w:y="1395"/>
        <w:jc w:val="both"/>
        <w:rPr>
          <w:sz w:val="23"/>
          <w:szCs w:val="23"/>
        </w:rPr>
      </w:pPr>
      <w:r>
        <w:rPr>
          <w:b/>
          <w:bCs/>
          <w:sz w:val="23"/>
          <w:szCs w:val="23"/>
          <w:u w:val="single"/>
        </w:rPr>
        <w:lastRenderedPageBreak/>
        <w:t>Sur la régularité de la procédure et sur la prescription du compte :</w:t>
      </w:r>
      <w:r>
        <w:rPr>
          <w:sz w:val="23"/>
          <w:szCs w:val="23"/>
        </w:rPr>
        <w:t xml:space="preserve">  </w:t>
      </w:r>
    </w:p>
    <w:p w:rsidR="00EA70A8" w:rsidRDefault="00EA70A8">
      <w:pPr>
        <w:pStyle w:val="Default"/>
        <w:framePr w:w="8640" w:wrap="auto" w:vAnchor="page" w:hAnchor="page" w:x="1985" w:y="2033"/>
        <w:jc w:val="both"/>
        <w:rPr>
          <w:color w:val="auto"/>
          <w:sz w:val="23"/>
          <w:szCs w:val="23"/>
        </w:rPr>
      </w:pPr>
      <w:r>
        <w:rPr>
          <w:color w:val="auto"/>
          <w:sz w:val="23"/>
          <w:szCs w:val="23"/>
        </w:rPr>
        <w:t xml:space="preserve">Attendu que les moyens tendant à l’annulation de la procédure, ainsi qu’à la prescription du jugement du compte de gestion de fait, tels que soulevés par la requérante trouvent réponse dans l’arrêt susvisé de la Cour des comptes de ce jour ; qu’il est ainsi répondu à la requête sur ces différents points ;  </w:t>
      </w:r>
    </w:p>
    <w:p w:rsidR="00EA70A8" w:rsidRDefault="00EA70A8">
      <w:pPr>
        <w:pStyle w:val="Default"/>
        <w:framePr w:w="3478" w:wrap="auto" w:vAnchor="page" w:hAnchor="page" w:x="3119" w:y="3495"/>
        <w:jc w:val="both"/>
        <w:rPr>
          <w:color w:val="auto"/>
          <w:sz w:val="23"/>
          <w:szCs w:val="23"/>
        </w:rPr>
      </w:pPr>
      <w:r>
        <w:rPr>
          <w:b/>
          <w:bCs/>
          <w:color w:val="auto"/>
          <w:sz w:val="23"/>
          <w:szCs w:val="23"/>
          <w:u w:val="single"/>
        </w:rPr>
        <w:t>Sur l’amende définitive :</w:t>
      </w:r>
      <w:r>
        <w:rPr>
          <w:color w:val="auto"/>
          <w:sz w:val="23"/>
          <w:szCs w:val="23"/>
        </w:rPr>
        <w:t xml:space="preserve">  </w:t>
      </w:r>
    </w:p>
    <w:p w:rsidR="00EA70A8" w:rsidRDefault="00EA70A8">
      <w:pPr>
        <w:pStyle w:val="Default"/>
        <w:framePr w:w="8637" w:wrap="auto" w:vAnchor="page" w:hAnchor="page" w:x="1985" w:y="4133"/>
        <w:jc w:val="both"/>
        <w:rPr>
          <w:color w:val="auto"/>
          <w:sz w:val="23"/>
          <w:szCs w:val="23"/>
        </w:rPr>
      </w:pPr>
      <w:r>
        <w:rPr>
          <w:color w:val="auto"/>
          <w:sz w:val="23"/>
          <w:szCs w:val="23"/>
        </w:rPr>
        <w:t xml:space="preserve">Attendu qu’aux termes de l’article L. 131-11 du code des juridictions financières, « </w:t>
      </w:r>
      <w:r>
        <w:rPr>
          <w:i/>
          <w:iCs/>
          <w:color w:val="auto"/>
          <w:sz w:val="23"/>
          <w:szCs w:val="23"/>
        </w:rPr>
        <w:t>les comptables de fait peuvent, dans le cas où ils n'ont pas fait l'objet pour les mêmes opérations des poursuites prévues à l'article 433-12 du code pénal, être condamnés à l'amende par la Cour des comptes en raison de leur immixtion dans les fonctions de comptable public. Le montant de l’amende tient compte de l’importance et de la durée de la détention ou du maniement des deniers, des circonstances dans lesquelles l’immixtion dans les fonctions de comptable public s’est produite, ainsi que du comportement et de la situation matérielle du comptable de fait. Son montant ne pourra dépasser le total des sommes indûment détenues ou maniées</w:t>
      </w:r>
      <w:r>
        <w:rPr>
          <w:color w:val="auto"/>
          <w:sz w:val="23"/>
          <w:szCs w:val="23"/>
        </w:rPr>
        <w:t xml:space="preserve"> </w:t>
      </w:r>
      <w:r>
        <w:rPr>
          <w:i/>
          <w:iCs/>
          <w:color w:val="auto"/>
          <w:sz w:val="23"/>
          <w:szCs w:val="23"/>
        </w:rPr>
        <w:t xml:space="preserve">» ; </w:t>
      </w:r>
      <w:r>
        <w:rPr>
          <w:color w:val="auto"/>
          <w:sz w:val="23"/>
          <w:szCs w:val="23"/>
        </w:rPr>
        <w:t xml:space="preserve"> </w:t>
      </w:r>
    </w:p>
    <w:p w:rsidR="00EA70A8" w:rsidRDefault="00EA70A8">
      <w:pPr>
        <w:pStyle w:val="Default"/>
        <w:framePr w:w="8684" w:wrap="auto" w:vAnchor="page" w:hAnchor="page" w:x="1985" w:y="6977"/>
        <w:jc w:val="both"/>
        <w:rPr>
          <w:color w:val="auto"/>
          <w:sz w:val="23"/>
          <w:szCs w:val="23"/>
        </w:rPr>
      </w:pPr>
      <w:r>
        <w:rPr>
          <w:color w:val="auto"/>
          <w:sz w:val="23"/>
          <w:szCs w:val="23"/>
        </w:rPr>
        <w:t>Attendu que la chambre d’Ile-de-France, dans le jugement dont est appel, a justifié du montant de l’amende infligée à M</w:t>
      </w:r>
      <w:r>
        <w:rPr>
          <w:color w:val="auto"/>
          <w:sz w:val="16"/>
          <w:szCs w:val="16"/>
        </w:rPr>
        <w:t>me</w:t>
      </w:r>
      <w:r>
        <w:rPr>
          <w:color w:val="auto"/>
          <w:sz w:val="23"/>
          <w:szCs w:val="23"/>
        </w:rPr>
        <w:t xml:space="preserve"> X ; qu’en alléguant que « la responsabilité administrative, financière et politique incombait prioritairement sinon même exclusivement » à d’autres « catégories de responsables, l’autorité préfectorale, le comptable public et le conseil municipal », la requérante n’a pas répondu à l’argumentation la concernant ;  </w:t>
      </w:r>
    </w:p>
    <w:p w:rsidR="00EA70A8" w:rsidRDefault="00EA70A8">
      <w:pPr>
        <w:pStyle w:val="Default"/>
        <w:framePr w:w="8613" w:wrap="auto" w:vAnchor="page" w:hAnchor="page" w:x="1985" w:y="8962"/>
        <w:jc w:val="both"/>
        <w:rPr>
          <w:color w:val="auto"/>
          <w:sz w:val="23"/>
          <w:szCs w:val="23"/>
        </w:rPr>
      </w:pPr>
      <w:r>
        <w:rPr>
          <w:color w:val="auto"/>
          <w:sz w:val="23"/>
          <w:szCs w:val="23"/>
        </w:rPr>
        <w:t>Attendu, toutefois, comme il a été dit plus haut, que M</w:t>
      </w:r>
      <w:r>
        <w:rPr>
          <w:color w:val="auto"/>
          <w:sz w:val="16"/>
          <w:szCs w:val="16"/>
        </w:rPr>
        <w:t>me</w:t>
      </w:r>
      <w:r>
        <w:rPr>
          <w:color w:val="auto"/>
          <w:sz w:val="23"/>
          <w:szCs w:val="23"/>
        </w:rPr>
        <w:t xml:space="preserve"> X a été déchargée de sa gestion par l’effet de la prescription du jugement des comptes ; que, dès lors, le montant des sommes maniées n’est pas arrêté ; qu’ainsi, il n’est pas possible d’asseoir la quotité de l’amende ; qu’il en résulte que le jugement de la chambre régionale des comptes dont est appel doit être infirmé sur ce point ;  </w:t>
      </w:r>
    </w:p>
    <w:p w:rsidR="00EA70A8" w:rsidRDefault="00EA70A8">
      <w:pPr>
        <w:pStyle w:val="Default"/>
        <w:framePr w:w="2354" w:wrap="auto" w:vAnchor="page" w:hAnchor="page" w:x="3119" w:y="10732"/>
        <w:jc w:val="both"/>
        <w:rPr>
          <w:color w:val="auto"/>
          <w:sz w:val="23"/>
          <w:szCs w:val="23"/>
        </w:rPr>
      </w:pPr>
      <w:r>
        <w:rPr>
          <w:color w:val="auto"/>
          <w:sz w:val="23"/>
          <w:szCs w:val="23"/>
        </w:rPr>
        <w:t xml:space="preserve">Par ces motifs,  </w:t>
      </w:r>
    </w:p>
    <w:p w:rsidR="00EA70A8" w:rsidRDefault="00EA70A8">
      <w:pPr>
        <w:pStyle w:val="PS"/>
        <w:framePr w:w="2176" w:wrap="auto" w:vAnchor="page" w:hAnchor="page" w:x="5303" w:y="11488"/>
        <w:jc w:val="center"/>
        <w:rPr>
          <w:sz w:val="23"/>
          <w:szCs w:val="23"/>
        </w:rPr>
      </w:pPr>
      <w:r>
        <w:rPr>
          <w:sz w:val="23"/>
          <w:szCs w:val="23"/>
        </w:rPr>
        <w:t xml:space="preserve">ORDONNE : </w:t>
      </w:r>
    </w:p>
    <w:p w:rsidR="00EA70A8" w:rsidRDefault="00EA70A8">
      <w:pPr>
        <w:pStyle w:val="Default"/>
        <w:framePr w:w="8590" w:wrap="auto" w:vAnchor="page" w:hAnchor="page" w:x="1985" w:y="12214"/>
        <w:jc w:val="both"/>
        <w:rPr>
          <w:color w:val="auto"/>
          <w:sz w:val="23"/>
          <w:szCs w:val="23"/>
        </w:rPr>
      </w:pPr>
      <w:r>
        <w:rPr>
          <w:color w:val="auto"/>
          <w:sz w:val="23"/>
          <w:szCs w:val="23"/>
        </w:rPr>
        <w:t>Article 1</w:t>
      </w:r>
      <w:r>
        <w:rPr>
          <w:color w:val="auto"/>
          <w:sz w:val="16"/>
          <w:szCs w:val="16"/>
        </w:rPr>
        <w:t xml:space="preserve">er </w:t>
      </w:r>
      <w:r>
        <w:rPr>
          <w:color w:val="auto"/>
          <w:sz w:val="23"/>
          <w:szCs w:val="23"/>
        </w:rPr>
        <w:t>: la requête de M</w:t>
      </w:r>
      <w:r>
        <w:rPr>
          <w:color w:val="auto"/>
          <w:sz w:val="16"/>
          <w:szCs w:val="16"/>
        </w:rPr>
        <w:t>me</w:t>
      </w:r>
      <w:r>
        <w:rPr>
          <w:color w:val="auto"/>
          <w:sz w:val="23"/>
          <w:szCs w:val="23"/>
        </w:rPr>
        <w:t xml:space="preserve"> X tendant à la condamnation de la commune de Noisy-le-Grand aux frais et dépens en application de l’article L. 761-1 du code de justice administra</w:t>
      </w:r>
      <w:r w:rsidR="00141D31">
        <w:rPr>
          <w:color w:val="auto"/>
          <w:sz w:val="23"/>
          <w:szCs w:val="23"/>
        </w:rPr>
        <w:t>tive est déclarée irrecevable.</w:t>
      </w:r>
    </w:p>
    <w:p w:rsidR="00EA70A8" w:rsidRDefault="00EA70A8">
      <w:pPr>
        <w:pStyle w:val="Default"/>
        <w:framePr w:w="8579" w:wrap="auto" w:vAnchor="page" w:hAnchor="page" w:x="1985" w:y="13552"/>
        <w:jc w:val="both"/>
        <w:rPr>
          <w:color w:val="auto"/>
          <w:sz w:val="23"/>
          <w:szCs w:val="23"/>
        </w:rPr>
      </w:pPr>
      <w:r>
        <w:rPr>
          <w:color w:val="auto"/>
          <w:sz w:val="23"/>
          <w:szCs w:val="23"/>
        </w:rPr>
        <w:t>Article 2 : la décision de la chambre régionale des comptes d’Ile-de-France du 11 décembre 2007 condamnant M</w:t>
      </w:r>
      <w:r>
        <w:rPr>
          <w:color w:val="auto"/>
          <w:sz w:val="16"/>
          <w:szCs w:val="16"/>
        </w:rPr>
        <w:t>me</w:t>
      </w:r>
      <w:r>
        <w:rPr>
          <w:color w:val="auto"/>
          <w:sz w:val="23"/>
          <w:szCs w:val="23"/>
        </w:rPr>
        <w:t xml:space="preserve"> X à une amende de 500 € pour immixtion dans les fonctions de comptable public est infirmée.  </w:t>
      </w:r>
    </w:p>
    <w:p w:rsidR="00EA70A8" w:rsidRDefault="00EA70A8">
      <w:pPr>
        <w:pStyle w:val="Default"/>
        <w:framePr w:w="1835" w:wrap="auto" w:vAnchor="page" w:hAnchor="page" w:x="5474" w:y="14860"/>
        <w:jc w:val="center"/>
        <w:rPr>
          <w:color w:val="auto"/>
          <w:sz w:val="23"/>
          <w:szCs w:val="23"/>
        </w:rPr>
      </w:pPr>
      <w:r>
        <w:rPr>
          <w:color w:val="auto"/>
          <w:sz w:val="23"/>
          <w:szCs w:val="23"/>
        </w:rPr>
        <w:t xml:space="preserve">------------ </w:t>
      </w:r>
    </w:p>
    <w:p w:rsidR="00EA70A8" w:rsidRDefault="00EA70A8">
      <w:pPr>
        <w:pStyle w:val="Default"/>
        <w:pageBreakBefore/>
        <w:framePr w:w="8588" w:wrap="auto" w:vAnchor="page" w:hAnchor="page" w:x="1985" w:y="1397"/>
        <w:jc w:val="both"/>
        <w:rPr>
          <w:color w:val="auto"/>
          <w:sz w:val="23"/>
          <w:szCs w:val="23"/>
        </w:rPr>
      </w:pPr>
      <w:r>
        <w:rPr>
          <w:color w:val="auto"/>
          <w:sz w:val="23"/>
          <w:szCs w:val="23"/>
        </w:rPr>
        <w:lastRenderedPageBreak/>
        <w:t xml:space="preserve">Fait et jugé en la Cour des comptes, quatrième chambre, première section. Présents, MM. Pichon, président, Cazanave, président de section, Moreau, Ritz, Martin, Mmes Gadriot-Renard et Démier, et M. Rolland, conseillers maîtres.  </w:t>
      </w:r>
    </w:p>
    <w:p w:rsidR="00EA70A8" w:rsidRDefault="00EA70A8">
      <w:pPr>
        <w:pStyle w:val="Default"/>
        <w:framePr w:w="5442" w:wrap="auto" w:vAnchor="page" w:hAnchor="page" w:x="3119" w:y="2705"/>
        <w:jc w:val="both"/>
        <w:rPr>
          <w:color w:val="auto"/>
          <w:sz w:val="23"/>
          <w:szCs w:val="23"/>
        </w:rPr>
      </w:pPr>
      <w:r>
        <w:rPr>
          <w:color w:val="auto"/>
          <w:sz w:val="23"/>
          <w:szCs w:val="23"/>
        </w:rPr>
        <w:t xml:space="preserve">Signé : Pichon, président, et Reynaud, greffier.  </w:t>
      </w:r>
    </w:p>
    <w:p w:rsidR="00EA70A8" w:rsidRDefault="00EA70A8">
      <w:pPr>
        <w:pStyle w:val="Default"/>
        <w:framePr w:w="8602" w:wrap="auto" w:vAnchor="page" w:hAnchor="page" w:x="1985" w:y="3461"/>
        <w:jc w:val="both"/>
        <w:rPr>
          <w:color w:val="auto"/>
          <w:sz w:val="23"/>
          <w:szCs w:val="23"/>
        </w:rPr>
      </w:pPr>
      <w:r>
        <w:rPr>
          <w:color w:val="auto"/>
          <w:sz w:val="23"/>
          <w:szCs w:val="23"/>
        </w:rPr>
        <w:t xml:space="preserve">Collationné, certifié conforme à la minute étant au greffe de la Cour des comptes et délivré par moi, secrétaire générale.  </w:t>
      </w:r>
    </w:p>
    <w:p w:rsidR="00EA70A8" w:rsidRDefault="00EA70A8">
      <w:pPr>
        <w:pStyle w:val="PS"/>
        <w:framePr w:w="875" w:wrap="auto" w:vAnchor="page" w:hAnchor="page" w:x="2552" w:y="4493"/>
        <w:jc w:val="both"/>
        <w:rPr>
          <w:sz w:val="23"/>
          <w:szCs w:val="23"/>
        </w:rPr>
      </w:pPr>
      <w:r>
        <w:rPr>
          <w:sz w:val="23"/>
          <w:szCs w:val="23"/>
        </w:rPr>
        <w:t xml:space="preserve"> </w:t>
      </w:r>
    </w:p>
    <w:p w:rsidR="00EA70A8" w:rsidRDefault="00EA70A8">
      <w:pPr>
        <w:pStyle w:val="StylepsNoirPremireligne222cmAvantAutomatiqueApr"/>
        <w:framePr w:w="3658" w:wrap="auto" w:vAnchor="page" w:hAnchor="page" w:x="6832" w:y="5347"/>
        <w:jc w:val="center"/>
        <w:rPr>
          <w:sz w:val="23"/>
          <w:szCs w:val="23"/>
        </w:rPr>
      </w:pPr>
      <w:r>
        <w:rPr>
          <w:b/>
          <w:bCs/>
          <w:sz w:val="23"/>
          <w:szCs w:val="23"/>
        </w:rPr>
        <w:t xml:space="preserve">Pour la Secrétaire générale </w:t>
      </w:r>
    </w:p>
    <w:p w:rsidR="00EA70A8" w:rsidRDefault="00EA70A8">
      <w:pPr>
        <w:pStyle w:val="StylepsNoirPremireligne222cmAvantAutomatiqueApr"/>
        <w:framePr w:w="2599" w:wrap="auto" w:vAnchor="page" w:hAnchor="page" w:x="7361" w:y="5622"/>
        <w:jc w:val="center"/>
        <w:rPr>
          <w:sz w:val="23"/>
          <w:szCs w:val="23"/>
        </w:rPr>
      </w:pPr>
      <w:r>
        <w:rPr>
          <w:b/>
          <w:bCs/>
          <w:sz w:val="23"/>
          <w:szCs w:val="23"/>
        </w:rPr>
        <w:t xml:space="preserve">et par délégation </w:t>
      </w:r>
    </w:p>
    <w:p w:rsidR="00EA70A8" w:rsidRDefault="00EA70A8">
      <w:pPr>
        <w:pStyle w:val="Default"/>
        <w:framePr w:w="4612" w:wrap="auto" w:vAnchor="page" w:hAnchor="page" w:x="6354" w:y="5898"/>
        <w:jc w:val="center"/>
        <w:rPr>
          <w:color w:val="auto"/>
          <w:sz w:val="23"/>
          <w:szCs w:val="23"/>
        </w:rPr>
      </w:pPr>
      <w:r>
        <w:rPr>
          <w:b/>
          <w:bCs/>
          <w:color w:val="auto"/>
          <w:sz w:val="23"/>
          <w:szCs w:val="23"/>
        </w:rPr>
        <w:t xml:space="preserve">le Chef du greffe central par intérim </w:t>
      </w:r>
    </w:p>
    <w:p w:rsidR="00EA70A8" w:rsidRDefault="00EA70A8">
      <w:pPr>
        <w:pStyle w:val="StylepsNoirPremireligne222cmAvantAutomatiqueApr"/>
        <w:framePr w:w="879" w:wrap="auto" w:vAnchor="page" w:hAnchor="page" w:x="8222" w:y="6275"/>
        <w:jc w:val="center"/>
        <w:rPr>
          <w:sz w:val="23"/>
          <w:szCs w:val="23"/>
        </w:rPr>
      </w:pPr>
      <w:r>
        <w:rPr>
          <w:b/>
          <w:bCs/>
          <w:sz w:val="23"/>
          <w:szCs w:val="23"/>
        </w:rPr>
        <w:t xml:space="preserve"> </w:t>
      </w:r>
    </w:p>
    <w:p w:rsidR="00EA70A8" w:rsidRDefault="00EA70A8">
      <w:pPr>
        <w:pStyle w:val="Default"/>
        <w:framePr w:w="879" w:wrap="auto" w:vAnchor="page" w:hAnchor="page" w:x="8222" w:y="6751"/>
        <w:jc w:val="center"/>
        <w:rPr>
          <w:color w:val="auto"/>
          <w:sz w:val="23"/>
          <w:szCs w:val="23"/>
        </w:rPr>
      </w:pPr>
      <w:r>
        <w:rPr>
          <w:b/>
          <w:bCs/>
          <w:color w:val="auto"/>
          <w:sz w:val="23"/>
          <w:szCs w:val="23"/>
        </w:rPr>
        <w:t xml:space="preserve"> </w:t>
      </w:r>
    </w:p>
    <w:p w:rsidR="00EA70A8" w:rsidRDefault="00EA70A8">
      <w:pPr>
        <w:pStyle w:val="Default"/>
        <w:framePr w:w="879" w:wrap="auto" w:vAnchor="page" w:hAnchor="page" w:x="8222" w:y="7227"/>
        <w:jc w:val="center"/>
        <w:rPr>
          <w:color w:val="auto"/>
          <w:sz w:val="23"/>
          <w:szCs w:val="23"/>
        </w:rPr>
      </w:pPr>
      <w:r>
        <w:rPr>
          <w:b/>
          <w:bCs/>
          <w:color w:val="auto"/>
          <w:sz w:val="23"/>
          <w:szCs w:val="23"/>
        </w:rPr>
        <w:t xml:space="preserve"> </w:t>
      </w:r>
    </w:p>
    <w:p w:rsidR="00EA70A8" w:rsidRDefault="00EA70A8">
      <w:pPr>
        <w:pStyle w:val="Default"/>
        <w:framePr w:w="4309" w:wrap="auto" w:vAnchor="page" w:hAnchor="page" w:x="6504" w:y="7703"/>
        <w:jc w:val="center"/>
        <w:rPr>
          <w:color w:val="auto"/>
          <w:sz w:val="23"/>
          <w:szCs w:val="23"/>
        </w:rPr>
      </w:pPr>
      <w:r>
        <w:rPr>
          <w:b/>
          <w:bCs/>
          <w:color w:val="auto"/>
          <w:sz w:val="23"/>
          <w:szCs w:val="23"/>
        </w:rPr>
        <w:t xml:space="preserve">Catherine PAILOT-BONNÉTAT </w:t>
      </w:r>
    </w:p>
    <w:p w:rsidR="00EA70A8" w:rsidRDefault="00EA70A8">
      <w:pPr>
        <w:pStyle w:val="PS"/>
        <w:framePr w:w="3364" w:wrap="auto" w:vAnchor="page" w:hAnchor="page" w:x="6863" w:y="7978"/>
        <w:jc w:val="center"/>
        <w:rPr>
          <w:sz w:val="23"/>
          <w:szCs w:val="23"/>
        </w:rPr>
      </w:pPr>
      <w:r>
        <w:rPr>
          <w:b/>
          <w:bCs/>
          <w:sz w:val="23"/>
          <w:szCs w:val="23"/>
        </w:rPr>
        <w:t>Conseillère référendaire</w:t>
      </w:r>
      <w:r>
        <w:rPr>
          <w:sz w:val="23"/>
          <w:szCs w:val="23"/>
        </w:rPr>
        <w:t xml:space="preserve"> </w:t>
      </w:r>
    </w:p>
    <w:p w:rsidR="00EA70A8" w:rsidRDefault="00EA70A8">
      <w:pPr>
        <w:pStyle w:val="Default"/>
        <w:framePr w:w="875" w:wrap="auto" w:vAnchor="page" w:hAnchor="page" w:x="2552" w:y="8736"/>
        <w:jc w:val="both"/>
      </w:pPr>
      <w:r>
        <w:rPr>
          <w:color w:val="auto"/>
          <w:sz w:val="23"/>
          <w:szCs w:val="23"/>
        </w:rPr>
        <w:t xml:space="preserve"> </w:t>
      </w:r>
    </w:p>
    <w:sectPr w:rsidR="00EA70A8">
      <w:pgSz w:w="11904" w:h="17340"/>
      <w:pgMar w:top="1346" w:right="840" w:bottom="1417" w:left="128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08"/>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1D31"/>
    <w:rsid w:val="00141D31"/>
    <w:rsid w:val="002228C5"/>
    <w:rsid w:val="00EA70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qFormat/>
    <w:pPr>
      <w:widowControl w:val="0"/>
      <w:autoSpaceDE w:val="0"/>
      <w:autoSpaceDN w:val="0"/>
      <w:adjustRightInd w:val="0"/>
      <w:spacing w:after="0" w:line="240" w:lineRule="auto"/>
    </w:pPr>
    <w:rPr>
      <w:rFonts w:ascii="Times New Roman" w:hAnsi="Times New Roman"/>
      <w:sz w:val="24"/>
      <w:szCs w:val="24"/>
    </w:rPr>
  </w:style>
  <w:style w:type="paragraph" w:styleId="Titre1">
    <w:name w:val="heading 1"/>
    <w:basedOn w:val="Default"/>
    <w:next w:val="Default"/>
    <w:link w:val="Titre1Car"/>
    <w:uiPriority w:val="99"/>
    <w:qFormat/>
    <w:pPr>
      <w:outlineLvl w:val="0"/>
    </w:pPr>
    <w:rPr>
      <w:color w:val="auto"/>
    </w:rPr>
  </w:style>
  <w:style w:type="paragraph" w:styleId="Titre2">
    <w:name w:val="heading 2"/>
    <w:basedOn w:val="Default"/>
    <w:next w:val="Default"/>
    <w:link w:val="Titre2Car"/>
    <w:uiPriority w:val="99"/>
    <w:qFormat/>
    <w:pPr>
      <w:outlineLvl w:val="1"/>
    </w:pPr>
    <w:rPr>
      <w:color w:val="auto"/>
    </w:rPr>
  </w:style>
  <w:style w:type="paragraph" w:styleId="Titre4">
    <w:name w:val="heading 4"/>
    <w:basedOn w:val="Default"/>
    <w:next w:val="Default"/>
    <w:link w:val="Titre4Car"/>
    <w:uiPriority w:val="99"/>
    <w:qFormat/>
    <w:pPr>
      <w:outlineLvl w:val="3"/>
    </w:pPr>
    <w:rPr>
      <w:color w:val="auto"/>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Pr>
      <w:rFonts w:asciiTheme="majorHAnsi" w:eastAsiaTheme="majorEastAsia" w:hAnsiTheme="majorHAnsi" w:cs="Times New Roman"/>
      <w:b/>
      <w:bCs/>
      <w:kern w:val="32"/>
      <w:sz w:val="32"/>
      <w:szCs w:val="32"/>
    </w:rPr>
  </w:style>
  <w:style w:type="character" w:customStyle="1" w:styleId="Titre2Car">
    <w:name w:val="Titre 2 Car"/>
    <w:basedOn w:val="Policepardfaut"/>
    <w:link w:val="Titre2"/>
    <w:uiPriority w:val="9"/>
    <w:semiHidden/>
    <w:locked/>
    <w:rPr>
      <w:rFonts w:asciiTheme="majorHAnsi" w:eastAsiaTheme="majorEastAsia" w:hAnsiTheme="majorHAnsi" w:cs="Times New Roman"/>
      <w:b/>
      <w:bCs/>
      <w:i/>
      <w:iCs/>
      <w:sz w:val="28"/>
      <w:szCs w:val="28"/>
    </w:rPr>
  </w:style>
  <w:style w:type="character" w:customStyle="1" w:styleId="Titre4Car">
    <w:name w:val="Titre 4 Car"/>
    <w:basedOn w:val="Policepardfaut"/>
    <w:link w:val="Titre4"/>
    <w:uiPriority w:val="9"/>
    <w:semiHidden/>
    <w:locked/>
    <w:rPr>
      <w:rFonts w:cs="Times New Roman"/>
      <w:b/>
      <w:bCs/>
      <w:sz w:val="28"/>
      <w:szCs w:val="28"/>
    </w:rPr>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PS">
    <w:name w:val="PS"/>
    <w:basedOn w:val="Default"/>
    <w:next w:val="Default"/>
    <w:uiPriority w:val="99"/>
    <w:rPr>
      <w:color w:val="auto"/>
    </w:rPr>
  </w:style>
  <w:style w:type="paragraph" w:customStyle="1" w:styleId="StylepsNoirPremireligne222cmAvantAutomatiqueApr">
    <w:name w:val="Style ps + Noir PremiÃ¨re ligne : 2.22 cm Avant : Automatique Apr..."/>
    <w:basedOn w:val="Default"/>
    <w:next w:val="Default"/>
    <w:uiPriority w:val="9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927</Words>
  <Characters>5102</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Montferrat, arrêt</vt:lpstr>
    </vt:vector>
  </TitlesOfParts>
  <Company/>
  <LinksUpToDate>false</LinksUpToDate>
  <CharactersWithSpaces>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gmoreau</dc:creator>
  <cp:keywords/>
  <dc:description/>
  <cp:lastModifiedBy>mtlecroisey</cp:lastModifiedBy>
  <cp:revision>2</cp:revision>
  <dcterms:created xsi:type="dcterms:W3CDTF">2012-11-06T16:42:00Z</dcterms:created>
  <dcterms:modified xsi:type="dcterms:W3CDTF">2012-11-06T16:42:00Z</dcterms:modified>
</cp:coreProperties>
</file>