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14C" w:rsidRDefault="00DF114C">
      <w:pPr>
        <w:pStyle w:val="ET"/>
      </w:pPr>
      <w:r>
        <w:t>COUR DES COMPTES</w:t>
      </w:r>
    </w:p>
    <w:p w:rsidR="00DF114C" w:rsidRDefault="00DF114C">
      <w:pPr>
        <w:pStyle w:val="ET"/>
      </w:pPr>
      <w:r>
        <w:tab/>
        <w:t xml:space="preserve">    ------ </w:t>
      </w:r>
    </w:p>
    <w:p w:rsidR="00DF114C" w:rsidRDefault="00DF114C">
      <w:pPr>
        <w:pStyle w:val="ET"/>
      </w:pPr>
      <w:r>
        <w:t>premiere CHAMBRE</w:t>
      </w:r>
    </w:p>
    <w:p w:rsidR="00DF114C" w:rsidRDefault="00DF114C" w:rsidP="005366A9">
      <w:pPr>
        <w:pStyle w:val="ET"/>
      </w:pPr>
      <w:r>
        <w:tab/>
        <w:t xml:space="preserve">    ------ </w:t>
      </w:r>
    </w:p>
    <w:p w:rsidR="00DF114C" w:rsidRDefault="00DF114C">
      <w:pPr>
        <w:pStyle w:val="ET"/>
      </w:pPr>
      <w:r>
        <w:t>premiere section</w:t>
      </w:r>
    </w:p>
    <w:p w:rsidR="00DF114C" w:rsidRDefault="00DF114C">
      <w:pPr>
        <w:pStyle w:val="ET"/>
      </w:pPr>
      <w:r>
        <w:tab/>
        <w:t xml:space="preserve">    ------ </w:t>
      </w:r>
    </w:p>
    <w:p w:rsidR="00DF114C" w:rsidRPr="00947C81" w:rsidRDefault="00DF114C" w:rsidP="002D6406">
      <w:pPr>
        <w:pStyle w:val="En-tte"/>
        <w:ind w:left="567"/>
        <w:rPr>
          <w:b/>
          <w:bCs/>
          <w:i/>
          <w:iCs/>
        </w:rPr>
      </w:pPr>
      <w:r w:rsidRPr="00947C81">
        <w:rPr>
          <w:b/>
          <w:bCs/>
          <w:i/>
          <w:iCs/>
        </w:rPr>
        <w:t xml:space="preserve">Arrêt n° </w:t>
      </w:r>
      <w:r>
        <w:rPr>
          <w:b/>
          <w:bCs/>
          <w:i/>
          <w:iCs/>
        </w:rPr>
        <w:t>59455</w:t>
      </w:r>
    </w:p>
    <w:p w:rsidR="00DF114C" w:rsidRDefault="00DF114C" w:rsidP="005366A9">
      <w:pPr>
        <w:pStyle w:val="OR"/>
      </w:pPr>
      <w:r>
        <w:t>TRESORIER-PAYEUR GENERAL</w:t>
      </w:r>
    </w:p>
    <w:p w:rsidR="00DF114C" w:rsidRDefault="00DF114C" w:rsidP="005366A9">
      <w:pPr>
        <w:pStyle w:val="OR"/>
      </w:pPr>
      <w:r>
        <w:t>DU PAS-DE-CALAIS</w:t>
      </w:r>
    </w:p>
    <w:p w:rsidR="00DF114C" w:rsidRDefault="00DF114C" w:rsidP="005366A9">
      <w:pPr>
        <w:pStyle w:val="OR"/>
      </w:pPr>
    </w:p>
    <w:p w:rsidR="00DF114C" w:rsidRDefault="00DF114C" w:rsidP="005366A9">
      <w:pPr>
        <w:pStyle w:val="OR"/>
      </w:pPr>
      <w:r>
        <w:t>Exercice 2007</w:t>
      </w:r>
    </w:p>
    <w:p w:rsidR="00DF114C" w:rsidRDefault="00DF114C" w:rsidP="005366A9">
      <w:pPr>
        <w:pStyle w:val="OR"/>
      </w:pPr>
    </w:p>
    <w:p w:rsidR="00DF114C" w:rsidRDefault="00DF114C" w:rsidP="005366A9">
      <w:pPr>
        <w:pStyle w:val="OR"/>
      </w:pPr>
      <w:r>
        <w:t>Rapport n° 2010-420-0</w:t>
      </w:r>
    </w:p>
    <w:p w:rsidR="00DF114C" w:rsidRDefault="00DF114C" w:rsidP="005366A9">
      <w:pPr>
        <w:pStyle w:val="OR"/>
      </w:pPr>
    </w:p>
    <w:p w:rsidR="00DF114C" w:rsidRDefault="00DF114C" w:rsidP="005366A9">
      <w:pPr>
        <w:pStyle w:val="OR"/>
      </w:pPr>
      <w:r>
        <w:t>Audience publique du 21 septembre 2010</w:t>
      </w:r>
    </w:p>
    <w:p w:rsidR="00DF114C" w:rsidRDefault="00DF114C" w:rsidP="005366A9">
      <w:pPr>
        <w:pStyle w:val="OR"/>
      </w:pPr>
    </w:p>
    <w:p w:rsidR="00DF114C" w:rsidRDefault="00DF114C" w:rsidP="00AE18D3">
      <w:pPr>
        <w:pStyle w:val="OR"/>
        <w:spacing w:after="480"/>
      </w:pPr>
      <w:r>
        <w:t>Lecture publique du 9 décembre 2010</w:t>
      </w:r>
    </w:p>
    <w:p w:rsidR="00DF114C" w:rsidRDefault="00DF114C" w:rsidP="00AE18D3">
      <w:pPr>
        <w:pStyle w:val="P0"/>
        <w:jc w:val="center"/>
      </w:pPr>
      <w:bookmarkStart w:id="0" w:name="_GoBack"/>
      <w:r>
        <w:t>REPUBLIQUE FRANÇAISE</w:t>
      </w:r>
    </w:p>
    <w:p w:rsidR="00DF114C" w:rsidRDefault="00DF114C" w:rsidP="00AE18D3">
      <w:pPr>
        <w:pStyle w:val="P0"/>
        <w:jc w:val="center"/>
      </w:pPr>
    </w:p>
    <w:p w:rsidR="00DF114C" w:rsidRDefault="00DF114C" w:rsidP="00AE18D3">
      <w:pPr>
        <w:pStyle w:val="P0"/>
        <w:jc w:val="center"/>
      </w:pPr>
      <w:r>
        <w:t>AU NOM DU PEUPLE FRANÇAIS</w:t>
      </w:r>
    </w:p>
    <w:p w:rsidR="00DF114C" w:rsidRDefault="00DF114C" w:rsidP="00AE18D3">
      <w:pPr>
        <w:pStyle w:val="P0"/>
        <w:jc w:val="center"/>
      </w:pPr>
    </w:p>
    <w:p w:rsidR="00DF114C" w:rsidRDefault="00DF114C" w:rsidP="00AE18D3">
      <w:pPr>
        <w:pStyle w:val="P0"/>
        <w:spacing w:after="360"/>
        <w:jc w:val="center"/>
      </w:pPr>
      <w:r>
        <w:t>LA COUR DES COMPTES a rendu l’arrêt suivant :</w:t>
      </w:r>
    </w:p>
    <w:p w:rsidR="00DF114C" w:rsidRDefault="00DF114C">
      <w:pPr>
        <w:pStyle w:val="PS"/>
      </w:pPr>
      <w:r>
        <w:t>LA COUR,</w:t>
      </w:r>
    </w:p>
    <w:p w:rsidR="00DF114C" w:rsidRDefault="00DF114C" w:rsidP="00D66C4C">
      <w:pPr>
        <w:pStyle w:val="PS"/>
        <w:spacing w:after="360"/>
      </w:pPr>
      <w:r>
        <w:t>Vu les comptes produits au titre de l’exercice 2007 par le trésorier-payeur général du Pas-de-Calais en sa qualité de comptable principal de l’Etat ;</w:t>
      </w:r>
    </w:p>
    <w:p w:rsidR="00DF114C" w:rsidRDefault="00DF114C" w:rsidP="00D66C4C">
      <w:pPr>
        <w:pStyle w:val="PS"/>
        <w:spacing w:after="360"/>
      </w:pPr>
      <w:r>
        <w:t>Vu les pièces produites à l’appui de ces comptes ou recueillies au cours de l’instruction ;</w:t>
      </w:r>
    </w:p>
    <w:p w:rsidR="00DF114C" w:rsidRDefault="00DF114C" w:rsidP="00D66C4C">
      <w:pPr>
        <w:pStyle w:val="PS"/>
        <w:spacing w:after="360"/>
      </w:pPr>
      <w:r>
        <w:t>Vu l’article 60 modifié de la loi de finances n° 63-156 du 23 février 1963 ;</w:t>
      </w:r>
    </w:p>
    <w:p w:rsidR="00DF114C" w:rsidRDefault="00DF114C" w:rsidP="00D66C4C">
      <w:pPr>
        <w:pStyle w:val="PS"/>
        <w:spacing w:after="360"/>
      </w:pPr>
      <w:r>
        <w:t>Vu les lois et règlements applicables à la comptabilité des comptables de l’Etat, notamment</w:t>
      </w:r>
      <w:r w:rsidRPr="00DF21B4">
        <w:t xml:space="preserve"> </w:t>
      </w:r>
      <w:r>
        <w:t>la loi organique n° 2001-692 du 1</w:t>
      </w:r>
      <w:r w:rsidRPr="00070B11">
        <w:rPr>
          <w:vertAlign w:val="superscript"/>
        </w:rPr>
        <w:t>er</w:t>
      </w:r>
      <w:r>
        <w:t> août 2001 relative aux lois de finances, le décret n° 62-1587 du 29 décembre 1962 portant règlement général sur la comptabilité publique et l’instruction n° 87-128 PR du 29 octobre 1987 sur la comptabilité générale de l’Etat ;</w:t>
      </w:r>
    </w:p>
    <w:p w:rsidR="00DF114C" w:rsidRDefault="00DF114C" w:rsidP="00D66C4C">
      <w:pPr>
        <w:pStyle w:val="PS"/>
        <w:spacing w:after="360"/>
      </w:pPr>
      <w:r>
        <w:t>Vu la loi n° 2008-1091 du 28 octobre 2008 relative à la Cour des comptes et aux chambres régionales des comptes et notamment l’article 34-1° alinéa ;</w:t>
      </w:r>
    </w:p>
    <w:p w:rsidR="00DF114C" w:rsidRDefault="00DF114C" w:rsidP="00140544">
      <w:pPr>
        <w:pStyle w:val="PS"/>
        <w:spacing w:after="240"/>
      </w:pPr>
      <w:r>
        <w:t>Vu le code des juridictions financières, notamment ses articles L. 111-1, L. 142-1, R. 112-8 et R. 141-10 à 141-12 ;</w:t>
      </w:r>
    </w:p>
    <w:p w:rsidR="00DF114C" w:rsidRDefault="00DF114C" w:rsidP="00D66C4C">
      <w:pPr>
        <w:pStyle w:val="PS"/>
        <w:spacing w:after="360"/>
      </w:pPr>
      <w:r>
        <w:t>Vu la loi de finances de l’exercice 2007 ;</w:t>
      </w:r>
    </w:p>
    <w:p w:rsidR="00DF114C" w:rsidRDefault="00DF114C" w:rsidP="00D66C4C">
      <w:pPr>
        <w:pStyle w:val="PS"/>
        <w:spacing w:after="360"/>
        <w:sectPr w:rsidR="00DF114C" w:rsidSect="005A2B08">
          <w:headerReference w:type="default" r:id="rId8"/>
          <w:headerReference w:type="first" r:id="rId9"/>
          <w:pgSz w:w="11907" w:h="16840" w:code="9"/>
          <w:pgMar w:top="1134" w:right="1134" w:bottom="1134" w:left="567" w:header="720" w:footer="720" w:gutter="0"/>
          <w:cols w:space="720"/>
          <w:titlePg/>
        </w:sectPr>
      </w:pPr>
    </w:p>
    <w:p w:rsidR="00DF114C" w:rsidRDefault="00DF114C" w:rsidP="00D66C4C">
      <w:pPr>
        <w:pStyle w:val="PS"/>
        <w:spacing w:after="360"/>
      </w:pPr>
      <w:r>
        <w:lastRenderedPageBreak/>
        <w:t>Vu le code du domaine de l’Etat ;</w:t>
      </w:r>
    </w:p>
    <w:p w:rsidR="00DF114C" w:rsidRDefault="00DF114C" w:rsidP="00D66C4C">
      <w:pPr>
        <w:pStyle w:val="PS"/>
        <w:spacing w:after="360"/>
      </w:pPr>
      <w:r>
        <w:t>Vu le décret n° 95-869 du 2 août 1995 fixant le statut particulier des personnels de la catégorie A du Trésor public ;</w:t>
      </w:r>
    </w:p>
    <w:p w:rsidR="00DF114C" w:rsidRDefault="00DF114C" w:rsidP="00D66C4C">
      <w:pPr>
        <w:pStyle w:val="PS"/>
        <w:spacing w:after="360"/>
      </w:pPr>
      <w:r>
        <w:t>Vu l’arrêté du Premier président du 2 janvier 2007 modifié portant répartition des attributions entre les chambres de la Cour ;</w:t>
      </w:r>
    </w:p>
    <w:p w:rsidR="00DF114C" w:rsidRDefault="00DF114C" w:rsidP="00D66C4C">
      <w:pPr>
        <w:pStyle w:val="PS"/>
        <w:spacing w:after="360"/>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DF114C" w:rsidRDefault="00DF114C" w:rsidP="00D66C4C">
      <w:pPr>
        <w:pStyle w:val="PS"/>
        <w:spacing w:after="360"/>
      </w:pPr>
      <w:r>
        <w:t>Vu</w:t>
      </w:r>
      <w:r w:rsidRPr="001F30DB">
        <w:t xml:space="preserve"> l’arrêté modifi</w:t>
      </w:r>
      <w:r>
        <w:t xml:space="preserve">é n° 06-346 du 10 octobre 2006 </w:t>
      </w:r>
      <w:r w:rsidRPr="001F30DB">
        <w:t>du Premier président de la Cour des compt</w:t>
      </w:r>
      <w:r>
        <w:t xml:space="preserve">es </w:t>
      </w:r>
      <w:r w:rsidRPr="001F30DB">
        <w:t xml:space="preserve">portant création et fixant la composition des sections au sein de la </w:t>
      </w:r>
      <w:r>
        <w:t>p</w:t>
      </w:r>
      <w:r w:rsidRPr="001F30DB">
        <w:t>remière chambre ;</w:t>
      </w:r>
    </w:p>
    <w:p w:rsidR="00DF114C" w:rsidRDefault="00DF114C" w:rsidP="00D66C4C">
      <w:pPr>
        <w:pStyle w:val="PS"/>
        <w:spacing w:after="360"/>
      </w:pPr>
      <w:r>
        <w:t>Vu la lettre du 2 mars 2009 par laquelle, en application de l’article R. 141</w:t>
      </w:r>
      <w:r>
        <w:noBreakHyphen/>
        <w:t>10 du code des juridictions financières, le président de la première chambre de la Cour des comptes a notifié au trésorier-payeur général en fonction, le contrôle des comptes de la trésorerie générale du Pas-de-Calais pour les exercices 2002 à 2007 ;</w:t>
      </w:r>
    </w:p>
    <w:p w:rsidR="00DF114C" w:rsidRDefault="00DF114C" w:rsidP="00D66C4C">
      <w:pPr>
        <w:pStyle w:val="PS"/>
        <w:spacing w:after="360"/>
      </w:pPr>
      <w:r>
        <w:t>Vu</w:t>
      </w:r>
      <w:r w:rsidRPr="000F386C">
        <w:t xml:space="preserve"> </w:t>
      </w:r>
      <w:r>
        <w:t>le réquisitoire à fin d’instruction de charge du Procureur général près la Cour des comptes n° 2009-88 RQ-DB du 22 octobre 2009, notifié le 28 janvier 2010, dont M. X a accusé réception le 1</w:t>
      </w:r>
      <w:r w:rsidRPr="008A29D3">
        <w:rPr>
          <w:vertAlign w:val="superscript"/>
        </w:rPr>
        <w:t>er</w:t>
      </w:r>
      <w:r>
        <w:t> février 2010 ;</w:t>
      </w:r>
    </w:p>
    <w:p w:rsidR="00DF114C" w:rsidRDefault="00DF114C" w:rsidP="00D66C4C">
      <w:pPr>
        <w:pStyle w:val="PS"/>
        <w:spacing w:after="360"/>
      </w:pPr>
      <w:r>
        <w:t>Vu la lettre du président de la première chambre de la Cour des comptes du 26 janvier 2010 désignant M. J.-M. Lair, conseiller maître, pour instruire les suites à donner au réquisitoire susvisé ;</w:t>
      </w:r>
    </w:p>
    <w:p w:rsidR="00DF114C" w:rsidRDefault="00DF114C" w:rsidP="00D66C4C">
      <w:pPr>
        <w:pStyle w:val="PS"/>
        <w:spacing w:after="360"/>
      </w:pPr>
      <w:r>
        <w:t>Vu les éléments de réponse produits par le comptable le 23 avril 2010 ;</w:t>
      </w:r>
    </w:p>
    <w:p w:rsidR="00DF114C" w:rsidRDefault="00DF114C" w:rsidP="00D66C4C">
      <w:pPr>
        <w:pStyle w:val="PS"/>
        <w:spacing w:after="360"/>
      </w:pPr>
      <w:r>
        <w:t>Sur le rapport de M. J.-M. Lair, conseiller maître ;</w:t>
      </w:r>
    </w:p>
    <w:p w:rsidR="00DF114C" w:rsidRDefault="00DF114C" w:rsidP="00D66C4C">
      <w:pPr>
        <w:pStyle w:val="PS"/>
        <w:spacing w:after="360"/>
      </w:pPr>
      <w:r>
        <w:t>Vu les conclusions n° 422 du Procureur général près la Cour des comptes du 19 mai 2010 ;</w:t>
      </w:r>
    </w:p>
    <w:p w:rsidR="00DF114C" w:rsidRDefault="00DF114C" w:rsidP="00D66C4C">
      <w:pPr>
        <w:pStyle w:val="PS"/>
        <w:spacing w:after="360"/>
      </w:pPr>
      <w:r>
        <w:t>Vu la lettre du 10 mai 2010 du président de la première chambre désignant M. X.-H. Martin, conseiller maître, comme réviseur ;</w:t>
      </w:r>
    </w:p>
    <w:p w:rsidR="00DF114C" w:rsidRDefault="00DF114C" w:rsidP="00D66C4C">
      <w:pPr>
        <w:pStyle w:val="PS"/>
        <w:spacing w:after="360"/>
      </w:pPr>
      <w:r>
        <w:t>Vu la lettre du 30 juillet 2010 informant M. X de la date de l’audience publique et l’accusé de réception de cette lettre ;</w:t>
      </w:r>
    </w:p>
    <w:p w:rsidR="00DF114C" w:rsidRDefault="00DF114C" w:rsidP="00D66C4C">
      <w:pPr>
        <w:pStyle w:val="PS"/>
        <w:spacing w:after="360"/>
      </w:pPr>
      <w:r>
        <w:t>Entendus en audience publique, M. J.-M. Lair, conseiller maître, en son rapport oral, M. Y. Perrin, avocat général, en ses conclusions orales ;</w:t>
      </w:r>
    </w:p>
    <w:p w:rsidR="00DF114C" w:rsidRDefault="00DF114C" w:rsidP="00D66C4C">
      <w:pPr>
        <w:pStyle w:val="PS"/>
        <w:spacing w:after="360"/>
      </w:pPr>
      <w:r>
        <w:t>Entendu M. X en audience publique ;</w:t>
      </w:r>
    </w:p>
    <w:p w:rsidR="00DF114C" w:rsidRDefault="00DF114C" w:rsidP="00D66C4C">
      <w:pPr>
        <w:pStyle w:val="PS"/>
        <w:spacing w:after="360"/>
      </w:pPr>
      <w:r>
        <w:lastRenderedPageBreak/>
        <w:t>Entendu à huis clos, le ministère public et le rapporteur s’étant retirés, M. X.-H. Martin, conseiller maître, en ses observations ;</w:t>
      </w:r>
    </w:p>
    <w:p w:rsidR="00DF114C" w:rsidRDefault="00DF114C" w:rsidP="00D66C4C">
      <w:pPr>
        <w:pStyle w:val="PS"/>
        <w:spacing w:after="360"/>
        <w:ind w:firstLine="0"/>
        <w:jc w:val="center"/>
      </w:pPr>
      <w:r>
        <w:t>ORDONNE :</w:t>
      </w:r>
    </w:p>
    <w:p w:rsidR="00DF114C" w:rsidRDefault="00DF114C" w:rsidP="00D66C4C">
      <w:pPr>
        <w:pStyle w:val="PS"/>
        <w:spacing w:after="360"/>
        <w:rPr>
          <w:b/>
          <w:bCs/>
          <w:u w:val="single"/>
        </w:rPr>
      </w:pPr>
      <w:r>
        <w:rPr>
          <w:b/>
          <w:bCs/>
          <w:u w:val="single"/>
        </w:rPr>
        <w:t>A l’égard de M. X</w:t>
      </w:r>
    </w:p>
    <w:p w:rsidR="00DF114C" w:rsidRPr="008E57C8" w:rsidRDefault="00DF114C" w:rsidP="00D66C4C">
      <w:pPr>
        <w:pStyle w:val="PS"/>
        <w:rPr>
          <w:u w:val="single"/>
        </w:rPr>
      </w:pPr>
      <w:r w:rsidRPr="008E57C8">
        <w:rPr>
          <w:u w:val="single"/>
        </w:rPr>
        <w:t>Charge unique du réquisitoire - Absence de pièces justifiant de l’attribution des concessions de logement – mandats n° 1148, 1157, 1158, 748, 751, 1022 de 2007</w:t>
      </w:r>
    </w:p>
    <w:p w:rsidR="00DF114C" w:rsidRDefault="00DF114C" w:rsidP="00D66C4C">
      <w:pPr>
        <w:pStyle w:val="PS"/>
      </w:pPr>
      <w:r>
        <w:t xml:space="preserve">Attendu que, par le réquisitoire n° 2009-88 susvisé, le Procureur général a relevé que par </w:t>
      </w:r>
      <w:r w:rsidRPr="0074429A">
        <w:t>mandats n</w:t>
      </w:r>
      <w:r w:rsidRPr="009A5E01">
        <w:rPr>
          <w:vertAlign w:val="superscript"/>
        </w:rPr>
        <w:t>os</w:t>
      </w:r>
      <w:r>
        <w:t> 1148, 1157, 1158, 1022, 748 et 751, des loyers, pour un total de 22 434,95 €,</w:t>
      </w:r>
      <w:r w:rsidRPr="0074429A">
        <w:t xml:space="preserve"> ont été payés </w:t>
      </w:r>
      <w:r>
        <w:t xml:space="preserve">les 12 juin, 20 août, 24 et 26 septembre  2007, loyers correspondant aux logements </w:t>
      </w:r>
      <w:r w:rsidRPr="0074429A">
        <w:t>de</w:t>
      </w:r>
      <w:r>
        <w:t xml:space="preserve"> divers agents de l’Etat ;</w:t>
      </w:r>
    </w:p>
    <w:p w:rsidR="00DF114C" w:rsidRDefault="00DF114C" w:rsidP="00D66C4C">
      <w:pPr>
        <w:pStyle w:val="PS"/>
        <w:rPr>
          <w:spacing w:val="2"/>
        </w:rPr>
      </w:pPr>
      <w:r>
        <w:t>Attendu que c</w:t>
      </w:r>
      <w:r w:rsidRPr="0074429A">
        <w:rPr>
          <w:spacing w:val="2"/>
        </w:rPr>
        <w:t>es mandats</w:t>
      </w:r>
      <w:r>
        <w:rPr>
          <w:spacing w:val="2"/>
        </w:rPr>
        <w:t>, retracés dans le tableau figurant en annexe de la présente charge,</w:t>
      </w:r>
      <w:r w:rsidRPr="0074429A">
        <w:rPr>
          <w:spacing w:val="2"/>
        </w:rPr>
        <w:t xml:space="preserve"> sont appuyés de quittances de loyer et/ou contrats de bail, ou extraits</w:t>
      </w:r>
      <w:r>
        <w:rPr>
          <w:spacing w:val="2"/>
        </w:rPr>
        <w:t> ;</w:t>
      </w:r>
    </w:p>
    <w:p w:rsidR="00DF114C" w:rsidRDefault="00DF114C" w:rsidP="00D66C4C">
      <w:pPr>
        <w:pStyle w:val="PS"/>
      </w:pPr>
      <w:r>
        <w:t>Attendu, toutefois, qu’</w:t>
      </w:r>
      <w:r w:rsidRPr="0074429A">
        <w:t xml:space="preserve">aucun de ces mandats ne </w:t>
      </w:r>
      <w:r>
        <w:t>s’appuie sur un arrêté d</w:t>
      </w:r>
      <w:r w:rsidRPr="0074429A">
        <w:t>’attribution aux agents concernés de logement</w:t>
      </w:r>
      <w:r>
        <w:t>s</w:t>
      </w:r>
      <w:r w:rsidRPr="0074429A">
        <w:t xml:space="preserve"> pour nécessité absolue </w:t>
      </w:r>
      <w:r>
        <w:t xml:space="preserve">ou pour utilité </w:t>
      </w:r>
      <w:r w:rsidRPr="0074429A">
        <w:t>de service</w:t>
      </w:r>
      <w:r>
        <w:t> ;</w:t>
      </w:r>
    </w:p>
    <w:p w:rsidR="00DF114C" w:rsidRDefault="00DF114C" w:rsidP="00D66C4C">
      <w:pPr>
        <w:pStyle w:val="PS"/>
      </w:pPr>
      <w:r>
        <w:t>Considérant pourtant que l</w:t>
      </w:r>
      <w:r w:rsidRPr="00967B6F">
        <w:t>’article R.</w:t>
      </w:r>
      <w:r>
        <w:t> </w:t>
      </w:r>
      <w:r w:rsidRPr="00967B6F">
        <w:t>95 du code du domaine de l’Etat</w:t>
      </w:r>
      <w:r>
        <w:t xml:space="preserve"> </w:t>
      </w:r>
      <w:r w:rsidRPr="00967B6F">
        <w:t>prévoit qu’il « </w:t>
      </w:r>
      <w:r w:rsidRPr="00967B6F">
        <w:rPr>
          <w:i/>
          <w:iCs/>
        </w:rPr>
        <w:t>ne peut être accordé de logement par nécessité absolue ou par utilité de service que par arrêté signé par le ministre sous l'autorité duquel se trouve placé l'agent bénéficiaire et par le ministre des finances. Toutefois, les ministres désignés à l'alinéa précédent peuvent, par arrêté, déléguer leurs pouvoirs aux préfets ou, le cas échéant, aux autorités habilitées à recevoir une délégation directe en application des décrets n°</w:t>
      </w:r>
      <w:r>
        <w:rPr>
          <w:i/>
          <w:iCs/>
        </w:rPr>
        <w:t> </w:t>
      </w:r>
      <w:r w:rsidRPr="00967B6F">
        <w:rPr>
          <w:i/>
          <w:iCs/>
        </w:rPr>
        <w:t>64-250 du 14 mars 1964 et n° 68-57 du 19 janvier 1968</w:t>
      </w:r>
      <w:r w:rsidRPr="00967B6F">
        <w:t> »</w:t>
      </w:r>
      <w:r>
        <w:t> ;</w:t>
      </w:r>
    </w:p>
    <w:p w:rsidR="00DF114C" w:rsidRDefault="00DF114C" w:rsidP="00D66C4C">
      <w:pPr>
        <w:pStyle w:val="PS"/>
      </w:pPr>
      <w:r>
        <w:t>Attendu qu’à</w:t>
      </w:r>
      <w:r w:rsidRPr="00553B67">
        <w:t xml:space="preserve"> défaut de disposer</w:t>
      </w:r>
      <w:r>
        <w:t>, à la date du paiement des mandats précités,</w:t>
      </w:r>
      <w:r w:rsidRPr="00553B67">
        <w:t xml:space="preserve"> de l’arrêté par lequel </w:t>
      </w:r>
      <w:r>
        <w:t xml:space="preserve">une </w:t>
      </w:r>
      <w:r w:rsidRPr="00553B67">
        <w:t>concession de logement pour né</w:t>
      </w:r>
      <w:r>
        <w:t>cessité absolue de service ou pour utilité de service aurait été</w:t>
      </w:r>
      <w:r w:rsidRPr="00553B67">
        <w:t xml:space="preserve"> accordée aux intéressés</w:t>
      </w:r>
      <w:r>
        <w:t xml:space="preserve"> à la date du paiement des mandats précités</w:t>
      </w:r>
      <w:r w:rsidRPr="00553B67">
        <w:t>, l</w:t>
      </w:r>
      <w:r>
        <w:t>e</w:t>
      </w:r>
      <w:r w:rsidRPr="00553B67">
        <w:t xml:space="preserve"> comptable ne pouvait vérifier la validité, ni m</w:t>
      </w:r>
      <w:r>
        <w:t>ême l’existence de la créance ;</w:t>
      </w:r>
    </w:p>
    <w:p w:rsidR="00DF114C" w:rsidRDefault="00DF114C" w:rsidP="00D66C4C">
      <w:pPr>
        <w:pStyle w:val="PS"/>
      </w:pPr>
      <w:r>
        <w:t>Considérant qu’e</w:t>
      </w:r>
      <w:r w:rsidRPr="00553B67">
        <w:t xml:space="preserve">n application de l’article 12 du </w:t>
      </w:r>
      <w:r w:rsidRPr="00387E9F">
        <w:t>décret n° 62-1587 du 29 décembre 1962 portant règlement général sur la comptabilité publique</w:t>
      </w:r>
      <w:r>
        <w:t xml:space="preserve">, </w:t>
      </w:r>
      <w:r w:rsidRPr="00553B67">
        <w:t>«</w:t>
      </w:r>
      <w:r w:rsidRPr="00553B67">
        <w:rPr>
          <w:i/>
          <w:iCs/>
        </w:rPr>
        <w:t> les comptables sont tenus d’exercer [...] B. - En matière d</w:t>
      </w:r>
      <w:r>
        <w:rPr>
          <w:i/>
          <w:iCs/>
        </w:rPr>
        <w:t>e dépenses, le contrôle : [...] ;</w:t>
      </w:r>
      <w:r w:rsidRPr="00553B67">
        <w:rPr>
          <w:i/>
          <w:iCs/>
        </w:rPr>
        <w:t xml:space="preserve"> </w:t>
      </w:r>
      <w:r>
        <w:rPr>
          <w:i/>
          <w:iCs/>
        </w:rPr>
        <w:t>d</w:t>
      </w:r>
      <w:r w:rsidRPr="00553B67">
        <w:rPr>
          <w:i/>
          <w:iCs/>
        </w:rPr>
        <w:t>e la validité de la créance</w:t>
      </w:r>
      <w:r>
        <w:t> » ;</w:t>
      </w:r>
    </w:p>
    <w:p w:rsidR="00DF114C" w:rsidRDefault="00DF114C" w:rsidP="00D66C4C">
      <w:pPr>
        <w:pStyle w:val="PS"/>
      </w:pPr>
      <w:r>
        <w:lastRenderedPageBreak/>
        <w:t>Attendu que, par le réquisitoire susvisé, le Procureur général conclut que la responsabilité de M. X pourrait en conséquence être engagée au titre de l’exercice 2007 ;</w:t>
      </w:r>
    </w:p>
    <w:p w:rsidR="00DF114C" w:rsidRDefault="00DF114C" w:rsidP="00D66C4C">
      <w:pPr>
        <w:pStyle w:val="PS"/>
      </w:pPr>
      <w:r>
        <w:t>Considérant que tant en réponse à la Cour que lors de l’audience publique, M. X a distingué deux cas ; que dans le premier cas</w:t>
      </w:r>
      <w:r>
        <w:rPr>
          <w:rStyle w:val="Appelnotedebasdep"/>
        </w:rPr>
        <w:footnoteReference w:id="1"/>
      </w:r>
      <w:r>
        <w:t xml:space="preserve">, les loyers concernent des logements des comptables chefs de poste qui, conformément à l’article 33 du décret du 2 août 1995 susvisé, ont </w:t>
      </w:r>
      <w:r w:rsidRPr="00EC1135">
        <w:rPr>
          <w:i/>
          <w:iCs/>
        </w:rPr>
        <w:t>« l’obligation pour l’intéressé de résider, lorsqu’il en existe un, dans le logement de fonction attaché au poste, dans les conditions prévues à l’article R</w:t>
      </w:r>
      <w:r>
        <w:rPr>
          <w:i/>
          <w:iCs/>
        </w:rPr>
        <w:t>.</w:t>
      </w:r>
      <w:r w:rsidRPr="00EC1135">
        <w:rPr>
          <w:i/>
          <w:iCs/>
        </w:rPr>
        <w:t>94 du code des domaines, alinéa 1, sauf dérogation accordée par le trésorier-payeur général en ce qui concerne les trésoreries et par le directeur général de la comptabilité publique en ce qui concerne les recettes des finances »</w:t>
      </w:r>
      <w:r>
        <w:t xml:space="preserve"> ; que selon le comptable, en l’absence de dérogation formelle, l’obligation du chef de poste de résider dans le logement de fonction donnerait l’assurance que le comptable a respecté ses obligations réglementaires et légales quant au contrôle de la validité de la créance ; </w:t>
      </w:r>
    </w:p>
    <w:p w:rsidR="00DF114C" w:rsidRDefault="00DF114C" w:rsidP="00D66C4C">
      <w:pPr>
        <w:pStyle w:val="PS"/>
      </w:pPr>
      <w:r>
        <w:t>Attendu que M. X distingue un second cas</w:t>
      </w:r>
      <w:r>
        <w:rPr>
          <w:rStyle w:val="Appelnotedebasdep"/>
        </w:rPr>
        <w:footnoteReference w:id="2"/>
      </w:r>
      <w:r>
        <w:t>, relatif aux logements pour lesquels l’Etat s’engage à verser un loyer à un bailleur en vue de loger un fonctionnaire relevant de certaines dispositions des articles R. 95 à R. 100 du code du domaine de l’Etat ; que le comptable ne conteste pas que les mandats de loyers afférents ne sont pas appuyés</w:t>
      </w:r>
      <w:r w:rsidRPr="00EC1135">
        <w:t xml:space="preserve"> </w:t>
      </w:r>
      <w:r>
        <w:t>sur un arrêté d</w:t>
      </w:r>
      <w:r w:rsidRPr="0074429A">
        <w:t>’attribution aux agents concernés de logement</w:t>
      </w:r>
      <w:r>
        <w:t xml:space="preserve">s par utilité </w:t>
      </w:r>
      <w:r w:rsidRPr="0074429A">
        <w:t>de service</w:t>
      </w:r>
      <w:r>
        <w:t> ;</w:t>
      </w:r>
    </w:p>
    <w:p w:rsidR="00DF114C" w:rsidRDefault="00DF114C" w:rsidP="00D66C4C">
      <w:pPr>
        <w:pStyle w:val="PS"/>
      </w:pPr>
      <w:r>
        <w:t>Attendu que, dans les deux cas, M. X fait valoir que l’instruction codificatrice n° 03-060-B du 17 novembre 2003 répertoriant la nomenclature des pièces justificatives des dépenses de l’Etat ne mentionne pas l’arrêté portant attribution de logement par nécessité absolue de service ou par utilité de service comme une pièce justificative de dépenses ;</w:t>
      </w:r>
    </w:p>
    <w:p w:rsidR="00DF114C" w:rsidRDefault="00DF114C" w:rsidP="00D66C4C">
      <w:pPr>
        <w:pStyle w:val="PS"/>
      </w:pPr>
      <w:r>
        <w:t>Considérant que l’article R. 94, alinéa 1, du code du domaine de l’Etat, dispose qu’</w:t>
      </w:r>
      <w:r w:rsidRPr="00A52700">
        <w:rPr>
          <w:i/>
          <w:iCs/>
        </w:rPr>
        <w:t>« </w:t>
      </w:r>
      <w:r>
        <w:rPr>
          <w:i/>
          <w:iCs/>
        </w:rPr>
        <w:t>i</w:t>
      </w:r>
      <w:r w:rsidRPr="00A52700">
        <w:rPr>
          <w:i/>
          <w:iCs/>
        </w:rPr>
        <w:t>l y a nécessité absolue de service, lorsque l’agent ne peut accomplir normalement son service sans être logé dans les bâtiments où il doit exercer ses fonctions »</w:t>
      </w:r>
      <w:r>
        <w:t> ;</w:t>
      </w:r>
    </w:p>
    <w:p w:rsidR="00DF114C" w:rsidRDefault="00DF114C" w:rsidP="00D66C4C">
      <w:pPr>
        <w:pStyle w:val="PS"/>
      </w:pPr>
      <w:r>
        <w:t xml:space="preserve">Considérant que l’article R. 97 du même code dispose que </w:t>
      </w:r>
      <w:r w:rsidRPr="00EF2360">
        <w:rPr>
          <w:i/>
          <w:iCs/>
        </w:rPr>
        <w:t>« </w:t>
      </w:r>
      <w:r>
        <w:rPr>
          <w:i/>
          <w:iCs/>
        </w:rPr>
        <w:t>l</w:t>
      </w:r>
      <w:r w:rsidRPr="00EF2360">
        <w:rPr>
          <w:i/>
          <w:iCs/>
        </w:rPr>
        <w:t>es arrêtés prévus à l’article R.</w:t>
      </w:r>
      <w:r>
        <w:rPr>
          <w:i/>
          <w:iCs/>
        </w:rPr>
        <w:t> </w:t>
      </w:r>
      <w:r w:rsidRPr="00EF2360">
        <w:rPr>
          <w:i/>
          <w:iCs/>
        </w:rPr>
        <w:t>95 (1</w:t>
      </w:r>
      <w:r w:rsidRPr="00EF2360">
        <w:rPr>
          <w:i/>
          <w:iCs/>
          <w:vertAlign w:val="superscript"/>
        </w:rPr>
        <w:t>er</w:t>
      </w:r>
      <w:r w:rsidRPr="00EF2360">
        <w:rPr>
          <w:i/>
          <w:iCs/>
        </w:rPr>
        <w:t xml:space="preserve"> alinéa) peuvent être nominatifs ou concerner impersonnellement les titulaires de certains emplois. </w:t>
      </w:r>
      <w:r>
        <w:rPr>
          <w:i/>
          <w:iCs/>
        </w:rPr>
        <w:t>Ils doivent indiquer la situation et la consistance des locaux mis à la disposition des intéressés ainsi que les conditions financières de la concession</w:t>
      </w:r>
      <w:r w:rsidRPr="00EF2360">
        <w:rPr>
          <w:i/>
          <w:iCs/>
        </w:rPr>
        <w:t> »</w:t>
      </w:r>
      <w:r>
        <w:t> ;</w:t>
      </w:r>
    </w:p>
    <w:p w:rsidR="00DF114C" w:rsidRDefault="00DF114C" w:rsidP="00D66C4C">
      <w:pPr>
        <w:pStyle w:val="PS"/>
      </w:pPr>
    </w:p>
    <w:p w:rsidR="00DF114C" w:rsidRDefault="00DF114C" w:rsidP="00D66C4C">
      <w:pPr>
        <w:pStyle w:val="PS"/>
      </w:pPr>
      <w:r>
        <w:lastRenderedPageBreak/>
        <w:t xml:space="preserve">Considérant que l’instruction codificatrice du 17 novembre 2003 précitée dispose que </w:t>
      </w:r>
      <w:r w:rsidRPr="00043197">
        <w:rPr>
          <w:i/>
          <w:iCs/>
        </w:rPr>
        <w:t>« de façon générale, les comptables de l’Etat ne doivent pas demander aux ordonnateurs d’autres pièces justificatives de la dépense que celles listées dans la présente nomenclature »</w:t>
      </w:r>
      <w:r>
        <w:t xml:space="preserve">, laquelle </w:t>
      </w:r>
      <w:r w:rsidRPr="00043197">
        <w:rPr>
          <w:i/>
          <w:iCs/>
        </w:rPr>
        <w:t>« s’en tient aux pièces exigées par les seules obligations légales ou réglementaires »</w:t>
      </w:r>
      <w:r>
        <w:t> ; que la rédaction de cette circulaire, outre le fait qu’elle ne récapitule pas, en annexe, toutes les pièces exigées par les obligations réglementaires telles qu’elles ressortent, entre autres, du code du domaine de l’Etat, n’interdit pas que, dans des cas particuliers, le comptable puisse être amené à demander la communication d’autres pièces que celles strictement répertoriées pour pouvoir satisfaire à ses obligations de contrôle ;</w:t>
      </w:r>
    </w:p>
    <w:p w:rsidR="00DF114C" w:rsidRDefault="00DF114C" w:rsidP="00D66C4C">
      <w:pPr>
        <w:pStyle w:val="PS"/>
      </w:pPr>
      <w:r>
        <w:t>Considérant en conséquence, que les arguments en défense précités, mentionnés tant en réponse à la Cour que lors de l’audience publique, ne sauraient dégager la responsabilité de M. X ;</w:t>
      </w:r>
    </w:p>
    <w:p w:rsidR="00DF114C" w:rsidRDefault="00DF114C" w:rsidP="00D66C4C">
      <w:pPr>
        <w:pStyle w:val="PS"/>
      </w:pPr>
      <w:r>
        <w:t>Considérant que, selon les dispositions de l’article 60 modifié</w:t>
      </w:r>
      <w:r w:rsidRPr="00A0771F">
        <w:t xml:space="preserve"> </w:t>
      </w:r>
      <w:r>
        <w:t>susvisé de la loi de finances du 23 février 1963 : « </w:t>
      </w:r>
      <w:r w:rsidRPr="00A10CE2">
        <w:rPr>
          <w:i/>
          <w:iCs/>
        </w:rPr>
        <w:t>I</w:t>
      </w:r>
      <w:r>
        <w:rPr>
          <w:i/>
          <w:iCs/>
        </w:rPr>
        <w:t xml:space="preserve"> </w:t>
      </w:r>
      <w:r w:rsidRPr="00A10CE2">
        <w:rPr>
          <w:i/>
          <w:iCs/>
        </w:rPr>
        <w:t>-</w:t>
      </w:r>
      <w:r>
        <w:t xml:space="preserve"> </w:t>
      </w:r>
      <w:r>
        <w:rPr>
          <w:i/>
          <w:iCs/>
          <w:shd w:val="clear" w:color="auto" w:fill="FFFFFF"/>
        </w:rPr>
        <w:t>L</w:t>
      </w:r>
      <w:r>
        <w:rPr>
          <w:i/>
          <w:iCs/>
        </w:rPr>
        <w:t xml:space="preserve">es comptables publics sont personnellement et pécuniairement responsables (…) du paiement des dépenses (…). La responsabilité personnelle et pécuniaire prévue ci-dessus se trouve engagée dès lors (…) qu’une dépense a été irrégulièrement payée (…). IV - La responsabilité pécuniaire d’un comptable public ne peut être mise en jeu que par le ministre dont il relève, le ministre chargé du budget ou le juge des comptes </w:t>
      </w:r>
      <w:r>
        <w:t>» ;</w:t>
      </w:r>
    </w:p>
    <w:p w:rsidR="00DF114C" w:rsidRDefault="00DF114C" w:rsidP="00D66C4C">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DF114C" w:rsidRDefault="00DF114C" w:rsidP="00D66C4C">
      <w:pPr>
        <w:pStyle w:val="PS"/>
      </w:pPr>
      <w:r>
        <w:t>Attendu que le premier acte de la mise en jeu de la responsabilité personnelle et pécuniaire du comptable est la notification au comptable du réquisitoire du ministère public, le 1</w:t>
      </w:r>
      <w:r w:rsidRPr="00F14F66">
        <w:rPr>
          <w:vertAlign w:val="superscript"/>
        </w:rPr>
        <w:t>er</w:t>
      </w:r>
      <w:r>
        <w:t> février 2010, date à laquelle M. X a accusé réception dudit réquisitoire ; que les intérêts doivent donc courir à compter de cette date ;</w:t>
      </w:r>
    </w:p>
    <w:p w:rsidR="00DF114C" w:rsidRDefault="00DF114C" w:rsidP="00D66C4C">
      <w:pPr>
        <w:pStyle w:val="PS"/>
      </w:pPr>
      <w:r>
        <w:t>Par ces motifs,</w:t>
      </w:r>
    </w:p>
    <w:p w:rsidR="00DF114C" w:rsidRDefault="00DF114C" w:rsidP="005D259E">
      <w:pPr>
        <w:pStyle w:val="PS"/>
      </w:pPr>
      <w:r>
        <w:t>- M. X est constitué débiteur envers l’Etat, au titre de l’année 2007, de la somme de vingt-deux mille quatre cent trente quatre euros quatre-vingt quinze centimes (22 434,95 €), augmentée des intérêts de droit à compter du 1</w:t>
      </w:r>
      <w:r w:rsidRPr="00F14F66">
        <w:rPr>
          <w:vertAlign w:val="superscript"/>
        </w:rPr>
        <w:t>er</w:t>
      </w:r>
      <w:r>
        <w:t> février 2010,</w:t>
      </w:r>
      <w:r w:rsidRPr="00403906">
        <w:t xml:space="preserve"> </w:t>
      </w:r>
      <w:r>
        <w:t>date de la réception par M. X du réquisitoire.</w:t>
      </w:r>
    </w:p>
    <w:p w:rsidR="00DF114C" w:rsidRPr="00933515" w:rsidRDefault="00DF114C" w:rsidP="00D66C4C">
      <w:pPr>
        <w:pStyle w:val="PS"/>
        <w:spacing w:after="360"/>
      </w:pPr>
      <w:r>
        <w:rPr>
          <w:b/>
          <w:bCs/>
          <w:u w:val="single"/>
        </w:rPr>
        <w:br w:type="page"/>
      </w:r>
      <w:r w:rsidRPr="00933515">
        <w:lastRenderedPageBreak/>
        <w:t>Annexe à la charge constatée à l’égard</w:t>
      </w:r>
      <w:r>
        <w:t xml:space="preserve"> de M. X</w:t>
      </w:r>
    </w:p>
    <w:tbl>
      <w:tblPr>
        <w:tblW w:w="9903" w:type="dxa"/>
        <w:jc w:val="center"/>
        <w:tblCellMar>
          <w:left w:w="70" w:type="dxa"/>
          <w:right w:w="70" w:type="dxa"/>
        </w:tblCellMar>
        <w:tblLook w:val="0000" w:firstRow="0" w:lastRow="0" w:firstColumn="0" w:lastColumn="0" w:noHBand="0" w:noVBand="0"/>
      </w:tblPr>
      <w:tblGrid>
        <w:gridCol w:w="941"/>
        <w:gridCol w:w="1520"/>
        <w:gridCol w:w="1179"/>
        <w:gridCol w:w="948"/>
        <w:gridCol w:w="998"/>
        <w:gridCol w:w="1839"/>
        <w:gridCol w:w="2479"/>
      </w:tblGrid>
      <w:tr w:rsidR="00DF114C" w:rsidRPr="00214481" w:rsidTr="00FB3E9C">
        <w:trPr>
          <w:trHeight w:val="792"/>
          <w:jc w:val="center"/>
        </w:trPr>
        <w:tc>
          <w:tcPr>
            <w:tcW w:w="940" w:type="dxa"/>
            <w:tcBorders>
              <w:top w:val="single" w:sz="4" w:space="0" w:color="auto"/>
              <w:left w:val="single" w:sz="4" w:space="0" w:color="auto"/>
              <w:bottom w:val="single" w:sz="4" w:space="0" w:color="auto"/>
              <w:right w:val="single" w:sz="4" w:space="0" w:color="auto"/>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mandat / date de paiement</w:t>
            </w:r>
          </w:p>
        </w:tc>
        <w:tc>
          <w:tcPr>
            <w:tcW w:w="1520" w:type="dxa"/>
            <w:tcBorders>
              <w:top w:val="single" w:sz="4" w:space="0" w:color="auto"/>
              <w:left w:val="nil"/>
              <w:bottom w:val="single" w:sz="4" w:space="0" w:color="auto"/>
              <w:right w:val="single" w:sz="4" w:space="0" w:color="auto"/>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poste comptable /commune</w:t>
            </w:r>
          </w:p>
        </w:tc>
        <w:tc>
          <w:tcPr>
            <w:tcW w:w="1179" w:type="dxa"/>
            <w:tcBorders>
              <w:top w:val="single" w:sz="4" w:space="0" w:color="auto"/>
              <w:left w:val="nil"/>
              <w:bottom w:val="single" w:sz="4" w:space="0" w:color="auto"/>
              <w:right w:val="nil"/>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Montant de l'échéance</w:t>
            </w:r>
          </w:p>
        </w:tc>
        <w:tc>
          <w:tcPr>
            <w:tcW w:w="948" w:type="dxa"/>
            <w:tcBorders>
              <w:top w:val="single" w:sz="4" w:space="0" w:color="auto"/>
              <w:left w:val="single" w:sz="4" w:space="0" w:color="auto"/>
              <w:bottom w:val="single" w:sz="4" w:space="0" w:color="auto"/>
              <w:right w:val="nil"/>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 répartition  logement</w:t>
            </w:r>
          </w:p>
        </w:tc>
        <w:tc>
          <w:tcPr>
            <w:tcW w:w="998" w:type="dxa"/>
            <w:tcBorders>
              <w:top w:val="single" w:sz="4" w:space="0" w:color="auto"/>
              <w:left w:val="single" w:sz="4" w:space="0" w:color="auto"/>
              <w:bottom w:val="single" w:sz="4" w:space="0" w:color="auto"/>
              <w:right w:val="nil"/>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montant payé en l'absence d'arrêté</w:t>
            </w:r>
          </w:p>
        </w:tc>
        <w:tc>
          <w:tcPr>
            <w:tcW w:w="1839" w:type="dxa"/>
            <w:tcBorders>
              <w:top w:val="single" w:sz="4" w:space="0" w:color="auto"/>
              <w:left w:val="single" w:sz="4" w:space="0" w:color="auto"/>
              <w:bottom w:val="single" w:sz="4" w:space="0" w:color="auto"/>
              <w:right w:val="single" w:sz="4" w:space="0" w:color="auto"/>
            </w:tcBorders>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Nom</w:t>
            </w:r>
          </w:p>
        </w:tc>
        <w:tc>
          <w:tcPr>
            <w:tcW w:w="2479" w:type="dxa"/>
            <w:tcBorders>
              <w:top w:val="single" w:sz="4" w:space="0" w:color="auto"/>
              <w:left w:val="nil"/>
              <w:bottom w:val="single" w:sz="4" w:space="0" w:color="auto"/>
              <w:right w:val="single" w:sz="4" w:space="0" w:color="auto"/>
            </w:tcBorders>
            <w:noWrap/>
            <w:vAlign w:val="center"/>
          </w:tcPr>
          <w:p w:rsidR="00DF114C" w:rsidRPr="009A5E01" w:rsidRDefault="00DF114C" w:rsidP="009A5E01">
            <w:pPr>
              <w:jc w:val="center"/>
              <w:rPr>
                <w:rFonts w:ascii="Arial" w:hAnsi="Arial" w:cs="Arial"/>
                <w:b/>
                <w:bCs/>
                <w:sz w:val="16"/>
                <w:szCs w:val="16"/>
              </w:rPr>
            </w:pPr>
            <w:r w:rsidRPr="009A5E01">
              <w:rPr>
                <w:rFonts w:ascii="Arial" w:hAnsi="Arial" w:cs="Arial"/>
                <w:b/>
                <w:bCs/>
                <w:sz w:val="16"/>
                <w:szCs w:val="16"/>
              </w:rPr>
              <w:t>observations</w:t>
            </w:r>
          </w:p>
        </w:tc>
      </w:tr>
      <w:tr w:rsidR="00DF114C" w:rsidRPr="00214481" w:rsidTr="00FB3E9C">
        <w:trPr>
          <w:trHeight w:val="264"/>
          <w:jc w:val="center"/>
        </w:trPr>
        <w:tc>
          <w:tcPr>
            <w:tcW w:w="940" w:type="dxa"/>
            <w:vMerge w:val="restart"/>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1148</w:t>
            </w:r>
            <w:r w:rsidRPr="00214481">
              <w:rPr>
                <w:rFonts w:ascii="Arial" w:hAnsi="Arial" w:cs="Arial"/>
                <w:sz w:val="16"/>
                <w:szCs w:val="16"/>
              </w:rPr>
              <w:br/>
              <w:t>24/09/2007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Arras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870,00 €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100,00%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870,00 €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w:t>
            </w:r>
            <w:r w:rsidRPr="00FB3E9C">
              <w:rPr>
                <w:rFonts w:ascii="Arial" w:hAnsi="Arial" w:cs="Arial"/>
                <w:sz w:val="16"/>
                <w:szCs w:val="16"/>
                <w:vertAlign w:val="superscript"/>
              </w:rPr>
              <w:t>me</w:t>
            </w:r>
            <w:r>
              <w:rPr>
                <w:rFonts w:ascii="Arial" w:hAnsi="Arial" w:cs="Arial"/>
                <w:sz w:val="16"/>
                <w:szCs w:val="16"/>
              </w:rPr>
              <w:t xml:space="preserve"> </w:t>
            </w:r>
            <w:r w:rsidRPr="00214481">
              <w:rPr>
                <w:rFonts w:ascii="Arial" w:hAnsi="Arial" w:cs="Arial"/>
                <w:sz w:val="16"/>
                <w:szCs w:val="16"/>
              </w:rPr>
              <w:t>Y</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31/10/2007</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Arras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5 757,56 €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18,06%</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1 039,82 €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Z</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264"/>
          <w:jc w:val="center"/>
        </w:trPr>
        <w:tc>
          <w:tcPr>
            <w:tcW w:w="940" w:type="dxa"/>
            <w:vMerge w:val="restart"/>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1157</w:t>
            </w:r>
            <w:r w:rsidRPr="00214481">
              <w:rPr>
                <w:rFonts w:ascii="Arial" w:hAnsi="Arial" w:cs="Arial"/>
                <w:sz w:val="16"/>
                <w:szCs w:val="16"/>
              </w:rPr>
              <w:br/>
              <w:t>26/09/2007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Aire-sur-la-Lys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4 397,05 €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48,00%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2 110,58 €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A</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21/04/2009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Oye Plage</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2 250,00 €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53,00%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1 192,50 €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B</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absence d'arrêté</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Boulogne-sur-Mer</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6 988,00 €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50,00%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3 494,00 €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C</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28/07/2009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Desvres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1 289,75 €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40,00%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515,90 €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D</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28/07/2009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Campagne les Hesdin</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2 863,75 €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47,00%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1 345,96 €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w:t>
            </w:r>
            <w:r w:rsidRPr="00FB3E9C">
              <w:rPr>
                <w:rFonts w:ascii="Arial" w:hAnsi="Arial" w:cs="Arial"/>
                <w:sz w:val="16"/>
                <w:szCs w:val="16"/>
                <w:vertAlign w:val="superscript"/>
              </w:rPr>
              <w:t>me</w:t>
            </w:r>
            <w:r>
              <w:rPr>
                <w:rFonts w:ascii="Arial" w:hAnsi="Arial" w:cs="Arial"/>
                <w:sz w:val="16"/>
                <w:szCs w:val="16"/>
              </w:rPr>
              <w:t> </w:t>
            </w:r>
            <w:r w:rsidRPr="00214481">
              <w:rPr>
                <w:rFonts w:ascii="Arial" w:hAnsi="Arial" w:cs="Arial"/>
                <w:sz w:val="16"/>
                <w:szCs w:val="16"/>
              </w:rPr>
              <w:t xml:space="preserve"> E</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28/07/2009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Le Touquet</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5 523,19 €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30,00%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1 656,96 €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F</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264"/>
          <w:jc w:val="center"/>
        </w:trPr>
        <w:tc>
          <w:tcPr>
            <w:tcW w:w="940" w:type="dxa"/>
            <w:vMerge w:val="restart"/>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1158</w:t>
            </w:r>
            <w:r w:rsidRPr="00214481">
              <w:rPr>
                <w:rFonts w:ascii="Arial" w:hAnsi="Arial" w:cs="Arial"/>
                <w:sz w:val="16"/>
                <w:szCs w:val="16"/>
              </w:rPr>
              <w:br/>
              <w:t>26/09/2007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Croisilles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3 371,11 €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48,00%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1 618,13 €</w:t>
            </w:r>
          </w:p>
        </w:tc>
        <w:tc>
          <w:tcPr>
            <w:tcW w:w="1839" w:type="dxa"/>
            <w:tcBorders>
              <w:top w:val="nil"/>
              <w:left w:val="single" w:sz="4" w:space="0" w:color="auto"/>
              <w:bottom w:val="single" w:sz="4" w:space="0" w:color="auto"/>
              <w:right w:val="single" w:sz="4" w:space="0" w:color="auto"/>
            </w:tcBorders>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w:t>
            </w:r>
            <w:r w:rsidRPr="00FB3E9C">
              <w:rPr>
                <w:rFonts w:ascii="Arial" w:hAnsi="Arial" w:cs="Arial"/>
                <w:sz w:val="16"/>
                <w:szCs w:val="16"/>
                <w:vertAlign w:val="superscript"/>
              </w:rPr>
              <w:t>me</w:t>
            </w:r>
            <w:r>
              <w:rPr>
                <w:rFonts w:ascii="Arial" w:hAnsi="Arial" w:cs="Arial"/>
                <w:sz w:val="16"/>
                <w:szCs w:val="16"/>
              </w:rPr>
              <w:t>  G</w:t>
            </w:r>
          </w:p>
        </w:tc>
        <w:tc>
          <w:tcPr>
            <w:tcW w:w="2479" w:type="dxa"/>
            <w:tcBorders>
              <w:top w:val="nil"/>
              <w:left w:val="nil"/>
              <w:bottom w:val="single" w:sz="4" w:space="0" w:color="auto"/>
              <w:right w:val="single" w:sz="4" w:space="0" w:color="auto"/>
            </w:tcBorders>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28/07/2009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Frévent</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2 122,00 €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55,00%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1 167,10 €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H</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Auchel</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4 840,79 €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45,00%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2 178,36 €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 xml:space="preserve"> I</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264"/>
          <w:jc w:val="center"/>
        </w:trPr>
        <w:tc>
          <w:tcPr>
            <w:tcW w:w="940" w:type="dxa"/>
            <w:vMerge/>
            <w:tcBorders>
              <w:top w:val="nil"/>
              <w:left w:val="single" w:sz="4" w:space="0" w:color="auto"/>
              <w:bottom w:val="single" w:sz="4" w:space="0" w:color="000000"/>
              <w:right w:val="single" w:sz="4" w:space="0" w:color="auto"/>
            </w:tcBorders>
            <w:vAlign w:val="center"/>
          </w:tcPr>
          <w:p w:rsidR="00DF114C" w:rsidRPr="00214481" w:rsidRDefault="00DF114C" w:rsidP="009A5E01">
            <w:pPr>
              <w:spacing w:before="20" w:after="20"/>
              <w:rPr>
                <w:rFonts w:ascii="Arial" w:hAnsi="Arial" w:cs="Arial"/>
                <w:sz w:val="16"/>
                <w:szCs w:val="16"/>
              </w:rPr>
            </w:pP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Bruay-la-Bussière</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9 832,96 €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13,00%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1 278,28 €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w:t>
            </w:r>
            <w:r w:rsidRPr="00214481">
              <w:rPr>
                <w:rFonts w:ascii="Arial" w:hAnsi="Arial" w:cs="Arial"/>
                <w:sz w:val="16"/>
                <w:szCs w:val="16"/>
              </w:rPr>
              <w:t>J</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528"/>
          <w:jc w:val="center"/>
        </w:trPr>
        <w:tc>
          <w:tcPr>
            <w:tcW w:w="940" w:type="dxa"/>
            <w:tcBorders>
              <w:top w:val="nil"/>
              <w:left w:val="single" w:sz="4" w:space="0" w:color="auto"/>
              <w:bottom w:val="single" w:sz="4" w:space="0" w:color="auto"/>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748</w:t>
            </w:r>
            <w:r w:rsidRPr="00214481">
              <w:rPr>
                <w:rFonts w:ascii="Arial" w:hAnsi="Arial" w:cs="Arial"/>
                <w:sz w:val="16"/>
                <w:szCs w:val="16"/>
              </w:rPr>
              <w:br/>
              <w:t>12/06/2007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Arras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388,40 €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100,00%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388,40 €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w:t>
            </w:r>
            <w:r w:rsidRPr="00FB3E9C">
              <w:rPr>
                <w:rFonts w:ascii="Arial" w:hAnsi="Arial" w:cs="Arial"/>
                <w:sz w:val="16"/>
                <w:szCs w:val="16"/>
                <w:vertAlign w:val="superscript"/>
              </w:rPr>
              <w:t>me</w:t>
            </w:r>
            <w:r>
              <w:rPr>
                <w:rFonts w:ascii="Arial" w:hAnsi="Arial" w:cs="Arial"/>
                <w:sz w:val="16"/>
                <w:szCs w:val="16"/>
              </w:rPr>
              <w:t xml:space="preserve"> </w:t>
            </w:r>
            <w:r w:rsidRPr="00214481">
              <w:rPr>
                <w:rFonts w:ascii="Arial" w:hAnsi="Arial" w:cs="Arial"/>
                <w:sz w:val="16"/>
                <w:szCs w:val="16"/>
              </w:rPr>
              <w:t>K</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23/08/2007</w:t>
            </w:r>
          </w:p>
        </w:tc>
      </w:tr>
      <w:tr w:rsidR="00DF114C" w:rsidRPr="00214481" w:rsidTr="00FB3E9C">
        <w:trPr>
          <w:trHeight w:val="528"/>
          <w:jc w:val="center"/>
        </w:trPr>
        <w:tc>
          <w:tcPr>
            <w:tcW w:w="940" w:type="dxa"/>
            <w:tcBorders>
              <w:top w:val="nil"/>
              <w:left w:val="single" w:sz="4" w:space="0" w:color="auto"/>
              <w:bottom w:val="single" w:sz="4" w:space="0" w:color="auto"/>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751</w:t>
            </w:r>
            <w:r w:rsidRPr="00214481">
              <w:rPr>
                <w:rFonts w:ascii="Arial" w:hAnsi="Arial" w:cs="Arial"/>
                <w:sz w:val="16"/>
                <w:szCs w:val="16"/>
              </w:rPr>
              <w:br/>
              <w:t>12/06/2007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Arras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152 447,82 €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2,00%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3 048,96 €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sidRPr="00214481">
              <w:rPr>
                <w:rFonts w:ascii="Arial" w:hAnsi="Arial" w:cs="Arial"/>
                <w:sz w:val="16"/>
                <w:szCs w:val="16"/>
              </w:rPr>
              <w:t>gardien DSF Pas-de-Calais</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03/07/2009</w:t>
            </w:r>
          </w:p>
        </w:tc>
      </w:tr>
      <w:tr w:rsidR="00DF114C" w:rsidRPr="00214481" w:rsidTr="00FB3E9C">
        <w:trPr>
          <w:trHeight w:val="528"/>
          <w:jc w:val="center"/>
        </w:trPr>
        <w:tc>
          <w:tcPr>
            <w:tcW w:w="940" w:type="dxa"/>
            <w:tcBorders>
              <w:top w:val="nil"/>
              <w:left w:val="single" w:sz="4" w:space="0" w:color="auto"/>
              <w:bottom w:val="single" w:sz="4" w:space="0" w:color="auto"/>
              <w:right w:val="single" w:sz="4" w:space="0" w:color="auto"/>
            </w:tcBorders>
            <w:vAlign w:val="center"/>
          </w:tcPr>
          <w:p w:rsidR="00DF114C" w:rsidRPr="00214481" w:rsidRDefault="00DF114C" w:rsidP="009A5E01">
            <w:pPr>
              <w:spacing w:before="20" w:after="20"/>
              <w:jc w:val="center"/>
              <w:rPr>
                <w:rFonts w:ascii="Arial" w:hAnsi="Arial" w:cs="Arial"/>
                <w:sz w:val="16"/>
                <w:szCs w:val="16"/>
              </w:rPr>
            </w:pPr>
            <w:r w:rsidRPr="00214481">
              <w:rPr>
                <w:rFonts w:ascii="Arial" w:hAnsi="Arial" w:cs="Arial"/>
                <w:sz w:val="16"/>
                <w:szCs w:val="16"/>
              </w:rPr>
              <w:t>1022</w:t>
            </w:r>
            <w:r w:rsidRPr="00214481">
              <w:rPr>
                <w:rFonts w:ascii="Arial" w:hAnsi="Arial" w:cs="Arial"/>
                <w:sz w:val="16"/>
                <w:szCs w:val="16"/>
              </w:rPr>
              <w:br/>
              <w:t>20/08/2007</w:t>
            </w:r>
          </w:p>
        </w:tc>
        <w:tc>
          <w:tcPr>
            <w:tcW w:w="1520" w:type="dxa"/>
            <w:tcBorders>
              <w:top w:val="nil"/>
              <w:left w:val="nil"/>
              <w:bottom w:val="single" w:sz="4" w:space="0" w:color="auto"/>
              <w:right w:val="single" w:sz="4" w:space="0" w:color="auto"/>
            </w:tcBorders>
            <w:noWrap/>
            <w:vAlign w:val="center"/>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Arras</w:t>
            </w:r>
          </w:p>
        </w:tc>
        <w:tc>
          <w:tcPr>
            <w:tcW w:w="1179" w:type="dxa"/>
            <w:tcBorders>
              <w:top w:val="nil"/>
              <w:left w:val="nil"/>
              <w:bottom w:val="single" w:sz="4" w:space="0" w:color="auto"/>
              <w:right w:val="nil"/>
            </w:tcBorders>
            <w:noWrap/>
            <w:vAlign w:val="center"/>
          </w:tcPr>
          <w:p w:rsidR="00DF114C" w:rsidRPr="00214481" w:rsidRDefault="00DF114C" w:rsidP="009A5E01">
            <w:pPr>
              <w:spacing w:before="20" w:after="20"/>
              <w:jc w:val="right"/>
              <w:rPr>
                <w:rFonts w:ascii="Arial" w:hAnsi="Arial" w:cs="Arial"/>
                <w:sz w:val="16"/>
                <w:szCs w:val="16"/>
              </w:rPr>
            </w:pPr>
            <w:r w:rsidRPr="00214481">
              <w:rPr>
                <w:rFonts w:ascii="Arial" w:hAnsi="Arial" w:cs="Arial"/>
                <w:sz w:val="16"/>
                <w:szCs w:val="16"/>
              </w:rPr>
              <w:t>530,00 €</w:t>
            </w:r>
          </w:p>
        </w:tc>
        <w:tc>
          <w:tcPr>
            <w:tcW w:w="94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100,00%</w:t>
            </w:r>
          </w:p>
        </w:tc>
        <w:tc>
          <w:tcPr>
            <w:tcW w:w="998" w:type="dxa"/>
            <w:tcBorders>
              <w:top w:val="nil"/>
              <w:left w:val="single" w:sz="4" w:space="0" w:color="auto"/>
              <w:bottom w:val="single" w:sz="4" w:space="0" w:color="auto"/>
              <w:right w:val="nil"/>
            </w:tcBorders>
            <w:noWrap/>
            <w:vAlign w:val="center"/>
          </w:tcPr>
          <w:p w:rsidR="00DF114C" w:rsidRPr="00214481" w:rsidRDefault="00DF114C" w:rsidP="00FB3E9C">
            <w:pPr>
              <w:spacing w:before="20" w:after="20"/>
              <w:ind w:right="57"/>
              <w:jc w:val="right"/>
              <w:rPr>
                <w:rFonts w:ascii="Arial" w:hAnsi="Arial" w:cs="Arial"/>
                <w:sz w:val="16"/>
                <w:szCs w:val="16"/>
              </w:rPr>
            </w:pPr>
            <w:r w:rsidRPr="00214481">
              <w:rPr>
                <w:rFonts w:ascii="Arial" w:hAnsi="Arial" w:cs="Arial"/>
                <w:sz w:val="16"/>
                <w:szCs w:val="16"/>
              </w:rPr>
              <w:t>530,00 €</w:t>
            </w:r>
          </w:p>
        </w:tc>
        <w:tc>
          <w:tcPr>
            <w:tcW w:w="1839" w:type="dxa"/>
            <w:tcBorders>
              <w:top w:val="nil"/>
              <w:left w:val="single" w:sz="4" w:space="0" w:color="auto"/>
              <w:bottom w:val="single" w:sz="4" w:space="0" w:color="auto"/>
              <w:right w:val="single" w:sz="4" w:space="0" w:color="auto"/>
            </w:tcBorders>
            <w:noWrap/>
            <w:vAlign w:val="center"/>
          </w:tcPr>
          <w:p w:rsidR="00DF114C" w:rsidRPr="00214481" w:rsidRDefault="00DF114C" w:rsidP="00FB3E9C">
            <w:pPr>
              <w:spacing w:before="20" w:after="20"/>
              <w:rPr>
                <w:rFonts w:ascii="Arial" w:hAnsi="Arial" w:cs="Arial"/>
                <w:sz w:val="16"/>
                <w:szCs w:val="16"/>
              </w:rPr>
            </w:pPr>
            <w:r>
              <w:rPr>
                <w:rFonts w:ascii="Arial" w:hAnsi="Arial" w:cs="Arial"/>
                <w:sz w:val="16"/>
                <w:szCs w:val="16"/>
              </w:rPr>
              <w:t>M.  L</w:t>
            </w:r>
          </w:p>
        </w:tc>
        <w:tc>
          <w:tcPr>
            <w:tcW w:w="2479" w:type="dxa"/>
            <w:tcBorders>
              <w:top w:val="nil"/>
              <w:left w:val="nil"/>
              <w:bottom w:val="single" w:sz="4" w:space="0" w:color="auto"/>
              <w:right w:val="single" w:sz="4" w:space="0" w:color="auto"/>
            </w:tcBorders>
            <w:noWrap/>
            <w:vAlign w:val="bottom"/>
          </w:tcPr>
          <w:p w:rsidR="00DF114C" w:rsidRPr="00214481" w:rsidRDefault="00DF114C" w:rsidP="009A5E01">
            <w:pPr>
              <w:spacing w:before="20" w:after="20"/>
              <w:rPr>
                <w:rFonts w:ascii="Arial" w:hAnsi="Arial" w:cs="Arial"/>
                <w:sz w:val="16"/>
                <w:szCs w:val="16"/>
              </w:rPr>
            </w:pPr>
            <w:r w:rsidRPr="00214481">
              <w:rPr>
                <w:rFonts w:ascii="Arial" w:hAnsi="Arial" w:cs="Arial"/>
                <w:sz w:val="16"/>
                <w:szCs w:val="16"/>
              </w:rPr>
              <w:t>arrêté du 23/08/2007</w:t>
            </w:r>
          </w:p>
        </w:tc>
      </w:tr>
      <w:tr w:rsidR="00DF114C" w:rsidRPr="00214481" w:rsidTr="00FB3E9C">
        <w:trPr>
          <w:trHeight w:val="264"/>
          <w:jc w:val="center"/>
        </w:trPr>
        <w:tc>
          <w:tcPr>
            <w:tcW w:w="940" w:type="dxa"/>
            <w:tcBorders>
              <w:top w:val="single" w:sz="4" w:space="0" w:color="auto"/>
            </w:tcBorders>
            <w:noWrap/>
            <w:vAlign w:val="bottom"/>
          </w:tcPr>
          <w:p w:rsidR="00DF114C" w:rsidRPr="00214481" w:rsidRDefault="00DF114C" w:rsidP="00D66C4C">
            <w:pPr>
              <w:rPr>
                <w:rFonts w:ascii="Arial" w:hAnsi="Arial" w:cs="Arial"/>
                <w:sz w:val="16"/>
                <w:szCs w:val="16"/>
              </w:rPr>
            </w:pPr>
          </w:p>
        </w:tc>
        <w:tc>
          <w:tcPr>
            <w:tcW w:w="1520" w:type="dxa"/>
            <w:tcBorders>
              <w:top w:val="single" w:sz="4" w:space="0" w:color="auto"/>
            </w:tcBorders>
            <w:noWrap/>
            <w:vAlign w:val="bottom"/>
          </w:tcPr>
          <w:p w:rsidR="00DF114C" w:rsidRPr="00214481" w:rsidRDefault="00DF114C" w:rsidP="00D66C4C">
            <w:pPr>
              <w:rPr>
                <w:rFonts w:ascii="Arial" w:hAnsi="Arial" w:cs="Arial"/>
                <w:sz w:val="16"/>
                <w:szCs w:val="16"/>
              </w:rPr>
            </w:pPr>
          </w:p>
        </w:tc>
        <w:tc>
          <w:tcPr>
            <w:tcW w:w="1179" w:type="dxa"/>
            <w:tcBorders>
              <w:top w:val="single" w:sz="4" w:space="0" w:color="auto"/>
            </w:tcBorders>
            <w:noWrap/>
            <w:vAlign w:val="center"/>
          </w:tcPr>
          <w:p w:rsidR="00DF114C" w:rsidRPr="00214481" w:rsidRDefault="00DF114C" w:rsidP="009A5E01">
            <w:pPr>
              <w:jc w:val="right"/>
              <w:rPr>
                <w:rFonts w:ascii="Arial" w:hAnsi="Arial" w:cs="Arial"/>
                <w:sz w:val="16"/>
                <w:szCs w:val="16"/>
              </w:rPr>
            </w:pPr>
          </w:p>
        </w:tc>
        <w:tc>
          <w:tcPr>
            <w:tcW w:w="948" w:type="dxa"/>
            <w:tcBorders>
              <w:top w:val="single" w:sz="4" w:space="0" w:color="auto"/>
              <w:right w:val="single" w:sz="4" w:space="0" w:color="auto"/>
            </w:tcBorders>
            <w:noWrap/>
            <w:vAlign w:val="bottom"/>
          </w:tcPr>
          <w:p w:rsidR="00DF114C" w:rsidRPr="00214481" w:rsidRDefault="00DF114C" w:rsidP="00D66C4C">
            <w:pPr>
              <w:rPr>
                <w:rFonts w:ascii="Arial" w:hAnsi="Arial" w:cs="Arial"/>
                <w:sz w:val="16"/>
                <w:szCs w:val="16"/>
              </w:rPr>
            </w:pPr>
          </w:p>
        </w:tc>
        <w:tc>
          <w:tcPr>
            <w:tcW w:w="998" w:type="dxa"/>
            <w:tcBorders>
              <w:top w:val="single" w:sz="4" w:space="0" w:color="auto"/>
              <w:left w:val="single" w:sz="4" w:space="0" w:color="auto"/>
              <w:bottom w:val="single" w:sz="4" w:space="0" w:color="auto"/>
              <w:right w:val="single" w:sz="4" w:space="0" w:color="auto"/>
            </w:tcBorders>
            <w:noWrap/>
            <w:vAlign w:val="center"/>
          </w:tcPr>
          <w:p w:rsidR="00DF114C" w:rsidRPr="00214481" w:rsidRDefault="00DF114C" w:rsidP="00FB3E9C">
            <w:pPr>
              <w:ind w:right="57"/>
              <w:jc w:val="right"/>
              <w:rPr>
                <w:rFonts w:ascii="Arial" w:hAnsi="Arial" w:cs="Arial"/>
                <w:sz w:val="16"/>
                <w:szCs w:val="16"/>
              </w:rPr>
            </w:pPr>
            <w:r>
              <w:rPr>
                <w:rFonts w:ascii="Arial" w:hAnsi="Arial" w:cs="Arial"/>
                <w:sz w:val="16"/>
                <w:szCs w:val="16"/>
              </w:rPr>
              <w:t>22 434,95</w:t>
            </w:r>
            <w:r w:rsidRPr="00214481">
              <w:rPr>
                <w:rFonts w:ascii="Arial" w:hAnsi="Arial" w:cs="Arial"/>
                <w:sz w:val="16"/>
                <w:szCs w:val="16"/>
              </w:rPr>
              <w:t>€</w:t>
            </w:r>
          </w:p>
        </w:tc>
        <w:tc>
          <w:tcPr>
            <w:tcW w:w="1839" w:type="dxa"/>
            <w:tcBorders>
              <w:top w:val="single" w:sz="4" w:space="0" w:color="auto"/>
              <w:left w:val="single" w:sz="4" w:space="0" w:color="auto"/>
            </w:tcBorders>
            <w:noWrap/>
            <w:vAlign w:val="bottom"/>
          </w:tcPr>
          <w:p w:rsidR="00DF114C" w:rsidRPr="00214481" w:rsidRDefault="00DF114C" w:rsidP="00D66C4C">
            <w:pPr>
              <w:rPr>
                <w:rFonts w:ascii="Arial" w:hAnsi="Arial" w:cs="Arial"/>
                <w:sz w:val="16"/>
                <w:szCs w:val="16"/>
              </w:rPr>
            </w:pPr>
          </w:p>
        </w:tc>
        <w:tc>
          <w:tcPr>
            <w:tcW w:w="2479" w:type="dxa"/>
            <w:tcBorders>
              <w:top w:val="single" w:sz="4" w:space="0" w:color="auto"/>
            </w:tcBorders>
            <w:noWrap/>
            <w:vAlign w:val="bottom"/>
          </w:tcPr>
          <w:p w:rsidR="00DF114C" w:rsidRPr="00214481" w:rsidRDefault="00DF114C" w:rsidP="00D66C4C">
            <w:pPr>
              <w:rPr>
                <w:rFonts w:ascii="Arial" w:hAnsi="Arial" w:cs="Arial"/>
                <w:sz w:val="16"/>
                <w:szCs w:val="16"/>
              </w:rPr>
            </w:pPr>
          </w:p>
        </w:tc>
      </w:tr>
    </w:tbl>
    <w:p w:rsidR="00DF114C" w:rsidRDefault="00DF114C" w:rsidP="00D66C4C">
      <w:pPr>
        <w:pStyle w:val="PS"/>
        <w:spacing w:after="360"/>
        <w:rPr>
          <w:b/>
          <w:bCs/>
          <w:u w:val="single"/>
        </w:rPr>
      </w:pPr>
    </w:p>
    <w:p w:rsidR="00DF114C" w:rsidRDefault="00DF114C" w:rsidP="00D66C4C">
      <w:pPr>
        <w:pStyle w:val="PS"/>
        <w:spacing w:after="360"/>
        <w:rPr>
          <w:b/>
          <w:bCs/>
          <w:u w:val="single"/>
        </w:rPr>
      </w:pPr>
    </w:p>
    <w:p w:rsidR="00DF114C" w:rsidRDefault="00DF114C" w:rsidP="003D34CE">
      <w:pPr>
        <w:pStyle w:val="PS"/>
        <w:spacing w:after="360"/>
      </w:pPr>
    </w:p>
    <w:p w:rsidR="00DF114C" w:rsidRDefault="00DF114C" w:rsidP="00D12409">
      <w:pPr>
        <w:pStyle w:val="PS"/>
        <w:ind w:firstLine="0"/>
        <w:jc w:val="center"/>
      </w:pPr>
      <w:r>
        <w:t>----------</w:t>
      </w:r>
    </w:p>
    <w:p w:rsidR="00DF114C" w:rsidRDefault="00DF114C" w:rsidP="00907722">
      <w:pPr>
        <w:pStyle w:val="PS"/>
      </w:pPr>
      <w:r>
        <w:br w:type="page"/>
      </w:r>
      <w:r>
        <w:lastRenderedPageBreak/>
        <w:t>Fait et jugé en la Cour des comptes, première chambre, première section, le vingt-et-un septembre deux mil dix, présents : M</w:t>
      </w:r>
      <w:r w:rsidRPr="00FB3E9C">
        <w:rPr>
          <w:vertAlign w:val="superscript"/>
        </w:rPr>
        <w:t>me</w:t>
      </w:r>
      <w:r>
        <w:t> Fradin, président de section, M. X.</w:t>
      </w:r>
      <w:r>
        <w:noBreakHyphen/>
        <w:t>H. Martin, M</w:t>
      </w:r>
      <w:r w:rsidRPr="00FB3E9C">
        <w:rPr>
          <w:vertAlign w:val="superscript"/>
        </w:rPr>
        <w:t>mes</w:t>
      </w:r>
      <w:r>
        <w:t> Moati et Dos Reis, conseillers maîtres.</w:t>
      </w:r>
    </w:p>
    <w:p w:rsidR="00DF114C" w:rsidRDefault="00DF114C" w:rsidP="002265D5">
      <w:pPr>
        <w:pStyle w:val="PS"/>
        <w:spacing w:before="240" w:after="240"/>
      </w:pPr>
      <w:r>
        <w:t>Signé : Fradin, président de section, et Rackelboom, greffier.</w:t>
      </w:r>
    </w:p>
    <w:p w:rsidR="00DF114C" w:rsidRPr="00A304A2" w:rsidRDefault="00DF114C" w:rsidP="00203F37">
      <w:pPr>
        <w:pStyle w:val="PS"/>
      </w:pPr>
      <w:r w:rsidRPr="00A304A2">
        <w:t>Collationné, certifié conforme à la minute étant au greffe de la Cour des comptes.</w:t>
      </w:r>
    </w:p>
    <w:p w:rsidR="00DF114C" w:rsidRDefault="00DF114C" w:rsidP="00203F37">
      <w:pPr>
        <w:pStyle w:val="PS"/>
      </w:pPr>
      <w:r w:rsidRPr="00A304A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F114C" w:rsidRDefault="00DF114C" w:rsidP="00203F37">
      <w:pPr>
        <w:pStyle w:val="PS"/>
        <w:spacing w:after="240"/>
      </w:pPr>
      <w:r>
        <w:t>Délivré par moi, secrétaire générale.</w:t>
      </w:r>
    </w:p>
    <w:p w:rsidR="00DF114C" w:rsidRPr="002D126B" w:rsidRDefault="00DF114C" w:rsidP="00203F37">
      <w:pPr>
        <w:pStyle w:val="StylepsNoirPremireligne222cmAvantAutomatiqueApr"/>
        <w:spacing w:before="0" w:beforeAutospacing="0" w:after="0" w:afterAutospacing="0"/>
        <w:ind w:left="5398" w:hanging="11"/>
        <w:jc w:val="center"/>
        <w:rPr>
          <w:b/>
          <w:bCs/>
          <w:color w:val="auto"/>
        </w:rPr>
      </w:pPr>
      <w:r w:rsidRPr="002D126B">
        <w:rPr>
          <w:b/>
          <w:bCs/>
          <w:color w:val="auto"/>
        </w:rPr>
        <w:t>Pour la Secrétaire générale</w:t>
      </w:r>
    </w:p>
    <w:p w:rsidR="00DF114C" w:rsidRPr="002D126B" w:rsidRDefault="00DF114C" w:rsidP="00203F37">
      <w:pPr>
        <w:pStyle w:val="StylepsNoirPremireligne222cmAvantAutomatiqueApr"/>
        <w:spacing w:before="0" w:beforeAutospacing="0" w:after="0" w:afterAutospacing="0"/>
        <w:ind w:left="5398" w:hanging="11"/>
        <w:jc w:val="center"/>
        <w:rPr>
          <w:b/>
          <w:bCs/>
          <w:color w:val="auto"/>
        </w:rPr>
      </w:pPr>
      <w:r w:rsidRPr="002D126B">
        <w:rPr>
          <w:b/>
          <w:bCs/>
          <w:color w:val="auto"/>
        </w:rPr>
        <w:t>et par délégation</w:t>
      </w:r>
    </w:p>
    <w:p w:rsidR="00DF114C" w:rsidRPr="002D126B" w:rsidRDefault="00DF114C" w:rsidP="00203F37">
      <w:pPr>
        <w:pStyle w:val="StylepsNoirPremireligne222cmAvantAutomatiqueApr"/>
        <w:spacing w:before="0" w:beforeAutospacing="0"/>
        <w:ind w:left="5398" w:hanging="11"/>
        <w:jc w:val="center"/>
        <w:rPr>
          <w:b/>
          <w:bCs/>
          <w:color w:val="auto"/>
        </w:rPr>
      </w:pPr>
      <w:r w:rsidRPr="002D126B">
        <w:rPr>
          <w:b/>
          <w:bCs/>
          <w:color w:val="auto"/>
        </w:rPr>
        <w:t>le Chef du greffe contentieux</w:t>
      </w:r>
    </w:p>
    <w:p w:rsidR="00DF114C" w:rsidRPr="002D126B" w:rsidRDefault="00DF114C" w:rsidP="00203F37">
      <w:pPr>
        <w:pStyle w:val="StylepsNoirPremireligne222cmAvantAutomatiqueApr"/>
        <w:ind w:left="5398" w:hanging="11"/>
        <w:jc w:val="center"/>
        <w:rPr>
          <w:b/>
          <w:bCs/>
          <w:color w:val="auto"/>
        </w:rPr>
      </w:pPr>
    </w:p>
    <w:p w:rsidR="00DF114C" w:rsidRPr="002D126B" w:rsidRDefault="00DF114C" w:rsidP="00203F37">
      <w:pPr>
        <w:pStyle w:val="StylepsNoirPremireligne222cmAvantAutomatiqueApr"/>
        <w:ind w:left="5398" w:hanging="11"/>
        <w:jc w:val="center"/>
        <w:rPr>
          <w:b/>
          <w:bCs/>
          <w:color w:val="auto"/>
        </w:rPr>
      </w:pPr>
    </w:p>
    <w:p w:rsidR="00DF114C" w:rsidRPr="002D126B" w:rsidRDefault="00DF114C" w:rsidP="00203F37">
      <w:pPr>
        <w:pStyle w:val="StylepsNoirPremireligne222cmAvantAutomatiqueApr"/>
        <w:ind w:left="5398" w:hanging="11"/>
        <w:jc w:val="center"/>
        <w:rPr>
          <w:b/>
          <w:bCs/>
          <w:color w:val="auto"/>
        </w:rPr>
      </w:pPr>
    </w:p>
    <w:p w:rsidR="00DF114C" w:rsidRPr="002D126B" w:rsidRDefault="00DF114C" w:rsidP="00203F37">
      <w:pPr>
        <w:pStyle w:val="StylepsNoirPremireligne222cmAvantAutomatiqueApr"/>
        <w:spacing w:after="0" w:afterAutospacing="0"/>
        <w:ind w:left="5398" w:hanging="11"/>
        <w:jc w:val="center"/>
        <w:rPr>
          <w:b/>
          <w:bCs/>
        </w:rPr>
      </w:pPr>
      <w:r w:rsidRPr="002D126B">
        <w:rPr>
          <w:b/>
          <w:bCs/>
          <w:color w:val="auto"/>
        </w:rPr>
        <w:t>Daniel FEREZ</w:t>
      </w:r>
    </w:p>
    <w:bookmarkEnd w:id="0"/>
    <w:p w:rsidR="00DF114C" w:rsidRDefault="00DF114C" w:rsidP="002265D5">
      <w:pPr>
        <w:pStyle w:val="PS"/>
        <w:spacing w:before="240" w:after="240"/>
      </w:pPr>
    </w:p>
    <w:sectPr w:rsidR="00DF114C" w:rsidSect="005A2B08">
      <w:headerReference w:type="first" r:id="rId10"/>
      <w:pgSz w:w="11907" w:h="16840"/>
      <w:pgMar w:top="1418" w:right="1134" w:bottom="1418"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14C" w:rsidRDefault="00DF114C">
      <w:r>
        <w:separator/>
      </w:r>
    </w:p>
  </w:endnote>
  <w:endnote w:type="continuationSeparator" w:id="0">
    <w:p w:rsidR="00DF114C" w:rsidRDefault="00DF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14C" w:rsidRDefault="00DF114C" w:rsidP="0034065A">
      <w:pPr>
        <w:ind w:left="1701"/>
      </w:pPr>
      <w:r>
        <w:separator/>
      </w:r>
    </w:p>
  </w:footnote>
  <w:footnote w:type="continuationSeparator" w:id="0">
    <w:p w:rsidR="00DF114C" w:rsidRDefault="00DF114C">
      <w:r>
        <w:continuationSeparator/>
      </w:r>
    </w:p>
  </w:footnote>
  <w:footnote w:id="1">
    <w:p w:rsidR="00DF114C" w:rsidRDefault="00DF114C" w:rsidP="009A5E01">
      <w:pPr>
        <w:pStyle w:val="Notedebasdepage"/>
        <w:ind w:left="1701" w:firstLine="0"/>
      </w:pPr>
      <w:r w:rsidRPr="009A5E01">
        <w:rPr>
          <w:rStyle w:val="Appelnotedebasdep"/>
          <w:vertAlign w:val="baseline"/>
        </w:rPr>
        <w:footnoteRef/>
      </w:r>
      <w:r>
        <w:t>. </w:t>
      </w:r>
      <w:r w:rsidRPr="009A5E01">
        <w:t> </w:t>
      </w:r>
      <w:r>
        <w:t>MM. Pralat, Adam, Kril, Fasquel, Bouvergne, M</w:t>
      </w:r>
      <w:r w:rsidRPr="009A5E01">
        <w:rPr>
          <w:vertAlign w:val="superscript"/>
        </w:rPr>
        <w:t>me</w:t>
      </w:r>
      <w:r>
        <w:t> Jour, M. Adamczak, M</w:t>
      </w:r>
      <w:r w:rsidRPr="009A5E01">
        <w:rPr>
          <w:vertAlign w:val="superscript"/>
        </w:rPr>
        <w:t>me</w:t>
      </w:r>
      <w:r>
        <w:t> Vantouroux, MM. Czulewycz, Wanquet et Denis.</w:t>
      </w:r>
    </w:p>
  </w:footnote>
  <w:footnote w:id="2">
    <w:p w:rsidR="00DF114C" w:rsidRDefault="00DF114C" w:rsidP="0034065A">
      <w:pPr>
        <w:pStyle w:val="Notedebasdepage"/>
        <w:ind w:firstLine="1701"/>
      </w:pPr>
      <w:r w:rsidRPr="009A5E01">
        <w:rPr>
          <w:rStyle w:val="Appelnotedebasdep"/>
          <w:vertAlign w:val="baseline"/>
        </w:rPr>
        <w:footnoteRef/>
      </w:r>
      <w:r w:rsidRPr="009A5E01">
        <w:t>.  </w:t>
      </w:r>
      <w:r>
        <w:t>M</w:t>
      </w:r>
      <w:r w:rsidRPr="009A5E01">
        <w:rPr>
          <w:vertAlign w:val="superscript"/>
        </w:rPr>
        <w:t>mes</w:t>
      </w:r>
      <w:r>
        <w:t xml:space="preserve"> Michel-Moreaux, Gabelle, M. Castagnet.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C" w:rsidRPr="00B15512" w:rsidRDefault="00DF114C" w:rsidP="005366A9">
    <w:pPr>
      <w:pStyle w:val="En-tte"/>
      <w:jc w:val="right"/>
      <w:rPr>
        <w:sz w:val="24"/>
        <w:szCs w:val="24"/>
      </w:rPr>
    </w:pPr>
    <w:r w:rsidRPr="00B15512">
      <w:rPr>
        <w:rStyle w:val="Numrodepage"/>
        <w:sz w:val="24"/>
        <w:szCs w:val="24"/>
      </w:rPr>
      <w:fldChar w:fldCharType="begin"/>
    </w:r>
    <w:r w:rsidRPr="00B15512">
      <w:rPr>
        <w:rStyle w:val="Numrodepage"/>
        <w:sz w:val="24"/>
        <w:szCs w:val="24"/>
      </w:rPr>
      <w:instrText xml:space="preserve"> PAGE </w:instrText>
    </w:r>
    <w:r w:rsidRPr="00B15512">
      <w:rPr>
        <w:rStyle w:val="Numrodepage"/>
        <w:sz w:val="24"/>
        <w:szCs w:val="24"/>
      </w:rPr>
      <w:fldChar w:fldCharType="separate"/>
    </w:r>
    <w:r w:rsidR="00387E9F">
      <w:rPr>
        <w:rStyle w:val="Numrodepage"/>
        <w:noProof/>
        <w:sz w:val="24"/>
        <w:szCs w:val="24"/>
      </w:rPr>
      <w:t>7</w:t>
    </w:r>
    <w:r w:rsidRPr="00B15512">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C" w:rsidRDefault="00DF114C" w:rsidP="005A2B08">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C" w:rsidRPr="005A2B08" w:rsidRDefault="00DF114C" w:rsidP="005A2B08">
    <w:pPr>
      <w:pStyle w:val="En-tte"/>
      <w:jc w:val="right"/>
      <w:rPr>
        <w:sz w:val="24"/>
        <w:szCs w:val="24"/>
      </w:rPr>
    </w:pPr>
    <w:r w:rsidRPr="005A2B08">
      <w:rPr>
        <w:rStyle w:val="Numrodepage"/>
        <w:sz w:val="24"/>
        <w:szCs w:val="24"/>
      </w:rPr>
      <w:fldChar w:fldCharType="begin"/>
    </w:r>
    <w:r w:rsidRPr="005A2B08">
      <w:rPr>
        <w:rStyle w:val="Numrodepage"/>
        <w:sz w:val="24"/>
        <w:szCs w:val="24"/>
      </w:rPr>
      <w:instrText xml:space="preserve"> PAGE </w:instrText>
    </w:r>
    <w:r w:rsidRPr="005A2B08">
      <w:rPr>
        <w:rStyle w:val="Numrodepage"/>
        <w:sz w:val="24"/>
        <w:szCs w:val="24"/>
      </w:rPr>
      <w:fldChar w:fldCharType="separate"/>
    </w:r>
    <w:r w:rsidR="00387E9F">
      <w:rPr>
        <w:rStyle w:val="Numrodepage"/>
        <w:noProof/>
        <w:sz w:val="24"/>
        <w:szCs w:val="24"/>
      </w:rPr>
      <w:t>2</w:t>
    </w:r>
    <w:r w:rsidRPr="005A2B08">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08BF"/>
    <w:rsid w:val="00012A2C"/>
    <w:rsid w:val="00015322"/>
    <w:rsid w:val="00043197"/>
    <w:rsid w:val="00070B11"/>
    <w:rsid w:val="00084326"/>
    <w:rsid w:val="00090B49"/>
    <w:rsid w:val="000915B0"/>
    <w:rsid w:val="000B2EE9"/>
    <w:rsid w:val="000B3B23"/>
    <w:rsid w:val="000F386C"/>
    <w:rsid w:val="00106114"/>
    <w:rsid w:val="00115BD6"/>
    <w:rsid w:val="00121AB3"/>
    <w:rsid w:val="001349A5"/>
    <w:rsid w:val="00140544"/>
    <w:rsid w:val="00144FF9"/>
    <w:rsid w:val="00167A4C"/>
    <w:rsid w:val="001F30DB"/>
    <w:rsid w:val="00203F37"/>
    <w:rsid w:val="00214481"/>
    <w:rsid w:val="00220D8F"/>
    <w:rsid w:val="002265D5"/>
    <w:rsid w:val="00227FF4"/>
    <w:rsid w:val="00263BD5"/>
    <w:rsid w:val="002B0244"/>
    <w:rsid w:val="002B12D1"/>
    <w:rsid w:val="002D126B"/>
    <w:rsid w:val="002D6406"/>
    <w:rsid w:val="002F5361"/>
    <w:rsid w:val="00301BFD"/>
    <w:rsid w:val="003110CF"/>
    <w:rsid w:val="003213BB"/>
    <w:rsid w:val="00335658"/>
    <w:rsid w:val="00336B4E"/>
    <w:rsid w:val="0034065A"/>
    <w:rsid w:val="00350E10"/>
    <w:rsid w:val="00387E9F"/>
    <w:rsid w:val="003C043B"/>
    <w:rsid w:val="003D34CE"/>
    <w:rsid w:val="003E0002"/>
    <w:rsid w:val="003E0D4D"/>
    <w:rsid w:val="003E5251"/>
    <w:rsid w:val="00403906"/>
    <w:rsid w:val="004157BD"/>
    <w:rsid w:val="00417771"/>
    <w:rsid w:val="004331C3"/>
    <w:rsid w:val="004449FF"/>
    <w:rsid w:val="004B3562"/>
    <w:rsid w:val="004C2EA0"/>
    <w:rsid w:val="005106A9"/>
    <w:rsid w:val="005366A9"/>
    <w:rsid w:val="00536E01"/>
    <w:rsid w:val="00553B67"/>
    <w:rsid w:val="0055476D"/>
    <w:rsid w:val="0057211F"/>
    <w:rsid w:val="00580904"/>
    <w:rsid w:val="005A2A63"/>
    <w:rsid w:val="005A2B08"/>
    <w:rsid w:val="005B1B2C"/>
    <w:rsid w:val="005B4596"/>
    <w:rsid w:val="005B6747"/>
    <w:rsid w:val="005C57D8"/>
    <w:rsid w:val="005D259E"/>
    <w:rsid w:val="005F15CB"/>
    <w:rsid w:val="006044D9"/>
    <w:rsid w:val="006106F0"/>
    <w:rsid w:val="006202A5"/>
    <w:rsid w:val="00624F67"/>
    <w:rsid w:val="00625A94"/>
    <w:rsid w:val="00641451"/>
    <w:rsid w:val="0064394D"/>
    <w:rsid w:val="00661A0F"/>
    <w:rsid w:val="006B1073"/>
    <w:rsid w:val="006C7427"/>
    <w:rsid w:val="006F2616"/>
    <w:rsid w:val="00724CF7"/>
    <w:rsid w:val="0074429A"/>
    <w:rsid w:val="00746AA5"/>
    <w:rsid w:val="00746B68"/>
    <w:rsid w:val="00747C36"/>
    <w:rsid w:val="00793247"/>
    <w:rsid w:val="007A3E17"/>
    <w:rsid w:val="007A7419"/>
    <w:rsid w:val="007F6D32"/>
    <w:rsid w:val="00837C74"/>
    <w:rsid w:val="00893C0D"/>
    <w:rsid w:val="00894371"/>
    <w:rsid w:val="008A29D3"/>
    <w:rsid w:val="008B3A65"/>
    <w:rsid w:val="008E308D"/>
    <w:rsid w:val="008E57C8"/>
    <w:rsid w:val="00907722"/>
    <w:rsid w:val="00933515"/>
    <w:rsid w:val="00947C81"/>
    <w:rsid w:val="009600B2"/>
    <w:rsid w:val="00967B6F"/>
    <w:rsid w:val="009A5E01"/>
    <w:rsid w:val="009B33EB"/>
    <w:rsid w:val="009F24FA"/>
    <w:rsid w:val="00A0771F"/>
    <w:rsid w:val="00A07B55"/>
    <w:rsid w:val="00A10CE2"/>
    <w:rsid w:val="00A304A2"/>
    <w:rsid w:val="00A373C4"/>
    <w:rsid w:val="00A52700"/>
    <w:rsid w:val="00AB2D37"/>
    <w:rsid w:val="00AE18D3"/>
    <w:rsid w:val="00AF0B26"/>
    <w:rsid w:val="00B15512"/>
    <w:rsid w:val="00B53074"/>
    <w:rsid w:val="00B564B5"/>
    <w:rsid w:val="00BA3B37"/>
    <w:rsid w:val="00BB1EE7"/>
    <w:rsid w:val="00BC1AD2"/>
    <w:rsid w:val="00BD6687"/>
    <w:rsid w:val="00BF6D8A"/>
    <w:rsid w:val="00C251A8"/>
    <w:rsid w:val="00C70837"/>
    <w:rsid w:val="00CB1725"/>
    <w:rsid w:val="00CC18DC"/>
    <w:rsid w:val="00CE3C96"/>
    <w:rsid w:val="00CF4CF0"/>
    <w:rsid w:val="00CF7FAE"/>
    <w:rsid w:val="00D12409"/>
    <w:rsid w:val="00D33451"/>
    <w:rsid w:val="00D4155D"/>
    <w:rsid w:val="00D5775A"/>
    <w:rsid w:val="00D66C4C"/>
    <w:rsid w:val="00D85434"/>
    <w:rsid w:val="00D94F2A"/>
    <w:rsid w:val="00DA6623"/>
    <w:rsid w:val="00DE709B"/>
    <w:rsid w:val="00DF114C"/>
    <w:rsid w:val="00DF21B4"/>
    <w:rsid w:val="00E03161"/>
    <w:rsid w:val="00E20F5E"/>
    <w:rsid w:val="00E763A1"/>
    <w:rsid w:val="00E771E5"/>
    <w:rsid w:val="00EC1135"/>
    <w:rsid w:val="00EE2A32"/>
    <w:rsid w:val="00EE48CD"/>
    <w:rsid w:val="00EF1CBD"/>
    <w:rsid w:val="00EF2360"/>
    <w:rsid w:val="00F14703"/>
    <w:rsid w:val="00F14F66"/>
    <w:rsid w:val="00F20F89"/>
    <w:rsid w:val="00F31399"/>
    <w:rsid w:val="00F35844"/>
    <w:rsid w:val="00F509A2"/>
    <w:rsid w:val="00F54AD9"/>
    <w:rsid w:val="00FA1AC5"/>
    <w:rsid w:val="00FB0A36"/>
    <w:rsid w:val="00FB3E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9FF"/>
    <w:rPr>
      <w:sz w:val="20"/>
      <w:szCs w:val="20"/>
    </w:rPr>
  </w:style>
  <w:style w:type="paragraph" w:styleId="Titre1">
    <w:name w:val="heading 1"/>
    <w:basedOn w:val="Normal"/>
    <w:next w:val="Normal"/>
    <w:link w:val="Titre1Car"/>
    <w:uiPriority w:val="99"/>
    <w:qFormat/>
    <w:rsid w:val="004449FF"/>
    <w:pPr>
      <w:spacing w:before="240"/>
      <w:outlineLvl w:val="0"/>
    </w:pPr>
    <w:rPr>
      <w:b/>
      <w:bCs/>
      <w:sz w:val="24"/>
      <w:szCs w:val="24"/>
      <w:u w:val="single"/>
    </w:rPr>
  </w:style>
  <w:style w:type="paragraph" w:styleId="Titre2">
    <w:name w:val="heading 2"/>
    <w:basedOn w:val="Normal"/>
    <w:next w:val="Normal"/>
    <w:link w:val="Titre2Car"/>
    <w:uiPriority w:val="99"/>
    <w:qFormat/>
    <w:rsid w:val="004449FF"/>
    <w:pPr>
      <w:spacing w:before="120"/>
      <w:outlineLvl w:val="1"/>
    </w:pPr>
    <w:rPr>
      <w:b/>
      <w:bCs/>
      <w:sz w:val="24"/>
      <w:szCs w:val="24"/>
    </w:rPr>
  </w:style>
  <w:style w:type="paragraph" w:styleId="Titre3">
    <w:name w:val="heading 3"/>
    <w:basedOn w:val="Normal"/>
    <w:next w:val="Retraitnormal"/>
    <w:link w:val="Titre3Car"/>
    <w:uiPriority w:val="99"/>
    <w:qFormat/>
    <w:rsid w:val="004449FF"/>
    <w:pPr>
      <w:ind w:left="354"/>
      <w:outlineLvl w:val="2"/>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F14703"/>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F14703"/>
    <w:rPr>
      <w:rFonts w:ascii="Cambria" w:hAnsi="Cambria" w:cs="Cambria"/>
      <w:b/>
      <w:bCs/>
      <w:i/>
      <w:iCs/>
      <w:sz w:val="28"/>
      <w:szCs w:val="28"/>
    </w:rPr>
  </w:style>
  <w:style w:type="character" w:customStyle="1" w:styleId="Titre3Car">
    <w:name w:val="Titre 3 Car"/>
    <w:basedOn w:val="Policepardfaut"/>
    <w:link w:val="Titre3"/>
    <w:uiPriority w:val="99"/>
    <w:semiHidden/>
    <w:locked/>
    <w:rsid w:val="00F14703"/>
    <w:rPr>
      <w:rFonts w:ascii="Cambria" w:hAnsi="Cambria" w:cs="Cambria"/>
      <w:b/>
      <w:bCs/>
      <w:sz w:val="26"/>
      <w:szCs w:val="26"/>
    </w:rPr>
  </w:style>
  <w:style w:type="paragraph" w:styleId="Retraitnormal">
    <w:name w:val="Normal Indent"/>
    <w:basedOn w:val="Normal"/>
    <w:uiPriority w:val="99"/>
    <w:rsid w:val="004449FF"/>
    <w:pPr>
      <w:ind w:left="708"/>
    </w:pPr>
  </w:style>
  <w:style w:type="paragraph" w:styleId="En-tte">
    <w:name w:val="header"/>
    <w:basedOn w:val="Normal"/>
    <w:link w:val="En-tteCar"/>
    <w:uiPriority w:val="99"/>
    <w:rsid w:val="004449FF"/>
    <w:pPr>
      <w:tabs>
        <w:tab w:val="center" w:pos="4819"/>
        <w:tab w:val="right" w:pos="9071"/>
      </w:tabs>
    </w:pPr>
  </w:style>
  <w:style w:type="character" w:customStyle="1" w:styleId="En-tteCar">
    <w:name w:val="En-tête Car"/>
    <w:basedOn w:val="Policepardfaut"/>
    <w:link w:val="En-tte"/>
    <w:uiPriority w:val="99"/>
    <w:semiHidden/>
    <w:locked/>
    <w:rsid w:val="00F14703"/>
    <w:rPr>
      <w:rFonts w:cs="Times New Roman"/>
      <w:sz w:val="20"/>
      <w:szCs w:val="20"/>
    </w:rPr>
  </w:style>
  <w:style w:type="paragraph" w:customStyle="1" w:styleId="ET">
    <w:name w:val="ET"/>
    <w:basedOn w:val="Normal"/>
    <w:link w:val="ETCar"/>
    <w:uiPriority w:val="99"/>
    <w:rsid w:val="004449FF"/>
    <w:rPr>
      <w:b/>
      <w:bCs/>
      <w:caps/>
      <w:sz w:val="24"/>
      <w:szCs w:val="24"/>
    </w:rPr>
  </w:style>
  <w:style w:type="paragraph" w:customStyle="1" w:styleId="OR">
    <w:name w:val="OR"/>
    <w:basedOn w:val="ET"/>
    <w:uiPriority w:val="99"/>
    <w:rsid w:val="004449FF"/>
    <w:pPr>
      <w:ind w:left="5670"/>
    </w:pPr>
    <w:rPr>
      <w:b w:val="0"/>
      <w:bCs w:val="0"/>
      <w:caps w:val="0"/>
    </w:rPr>
  </w:style>
  <w:style w:type="paragraph" w:customStyle="1" w:styleId="TI">
    <w:name w:val="TI"/>
    <w:basedOn w:val="OR"/>
    <w:uiPriority w:val="99"/>
    <w:rsid w:val="004449FF"/>
    <w:pPr>
      <w:ind w:left="1701"/>
      <w:jc w:val="center"/>
    </w:pPr>
    <w:rPr>
      <w:caps/>
      <w:u w:val="single"/>
    </w:rPr>
  </w:style>
  <w:style w:type="paragraph" w:customStyle="1" w:styleId="P0">
    <w:name w:val="P0"/>
    <w:basedOn w:val="ET"/>
    <w:link w:val="P0Car"/>
    <w:uiPriority w:val="99"/>
    <w:rsid w:val="004449FF"/>
    <w:pPr>
      <w:ind w:left="1701"/>
      <w:jc w:val="both"/>
    </w:pPr>
    <w:rPr>
      <w:b w:val="0"/>
      <w:bCs w:val="0"/>
      <w:caps w:val="0"/>
    </w:rPr>
  </w:style>
  <w:style w:type="paragraph" w:customStyle="1" w:styleId="EL">
    <w:name w:val="EL"/>
    <w:basedOn w:val="P0"/>
    <w:uiPriority w:val="99"/>
    <w:rsid w:val="004449FF"/>
    <w:pPr>
      <w:spacing w:after="240"/>
      <w:ind w:firstLine="1418"/>
    </w:pPr>
  </w:style>
  <w:style w:type="paragraph" w:customStyle="1" w:styleId="IN">
    <w:name w:val="IN"/>
    <w:basedOn w:val="P0"/>
    <w:uiPriority w:val="99"/>
    <w:rsid w:val="004449FF"/>
    <w:pPr>
      <w:ind w:left="0"/>
      <w:jc w:val="left"/>
    </w:pPr>
    <w:rPr>
      <w:i/>
      <w:iCs/>
      <w:sz w:val="16"/>
      <w:szCs w:val="16"/>
    </w:rPr>
  </w:style>
  <w:style w:type="paragraph" w:customStyle="1" w:styleId="RE">
    <w:name w:val="RE"/>
    <w:basedOn w:val="P0"/>
    <w:uiPriority w:val="99"/>
    <w:rsid w:val="004449FF"/>
    <w:pPr>
      <w:ind w:left="0"/>
    </w:pPr>
  </w:style>
  <w:style w:type="paragraph" w:customStyle="1" w:styleId="PE">
    <w:name w:val="PE"/>
    <w:basedOn w:val="IN"/>
    <w:uiPriority w:val="99"/>
    <w:rsid w:val="004449FF"/>
    <w:pPr>
      <w:keepNext/>
      <w:ind w:left="1701"/>
      <w:jc w:val="both"/>
    </w:pPr>
    <w:rPr>
      <w:i w:val="0"/>
      <w:iCs w:val="0"/>
      <w:sz w:val="24"/>
      <w:szCs w:val="24"/>
    </w:rPr>
  </w:style>
  <w:style w:type="paragraph" w:customStyle="1" w:styleId="PC">
    <w:name w:val="PC"/>
    <w:basedOn w:val="IN"/>
    <w:uiPriority w:val="99"/>
    <w:rsid w:val="004449FF"/>
    <w:pPr>
      <w:spacing w:after="480"/>
      <w:ind w:left="2268" w:firstLine="1134"/>
      <w:jc w:val="both"/>
    </w:pPr>
    <w:rPr>
      <w:i w:val="0"/>
      <w:iCs w:val="0"/>
      <w:sz w:val="24"/>
      <w:szCs w:val="24"/>
    </w:rPr>
  </w:style>
  <w:style w:type="paragraph" w:customStyle="1" w:styleId="PS">
    <w:name w:val="PS"/>
    <w:basedOn w:val="IN"/>
    <w:link w:val="PSCar"/>
    <w:uiPriority w:val="99"/>
    <w:rsid w:val="004449FF"/>
    <w:pPr>
      <w:spacing w:after="480"/>
      <w:ind w:left="1701" w:firstLine="1134"/>
      <w:jc w:val="both"/>
    </w:pPr>
    <w:rPr>
      <w:i w:val="0"/>
      <w:iCs w:val="0"/>
      <w:sz w:val="24"/>
      <w:szCs w:val="24"/>
    </w:rPr>
  </w:style>
  <w:style w:type="paragraph" w:customStyle="1" w:styleId="AR">
    <w:name w:val="AR"/>
    <w:basedOn w:val="IN"/>
    <w:uiPriority w:val="99"/>
    <w:rsid w:val="004449FF"/>
    <w:pPr>
      <w:spacing w:before="720" w:after="720"/>
      <w:ind w:left="5103"/>
    </w:pPr>
    <w:rPr>
      <w:i w:val="0"/>
      <w:iCs w:val="0"/>
      <w:caps/>
      <w:sz w:val="24"/>
      <w:szCs w:val="24"/>
      <w:u w:val="single"/>
    </w:rPr>
  </w:style>
  <w:style w:type="paragraph" w:styleId="Pieddepage">
    <w:name w:val="footer"/>
    <w:basedOn w:val="Normal"/>
    <w:link w:val="PieddepageCar"/>
    <w:uiPriority w:val="99"/>
    <w:rsid w:val="002D6406"/>
    <w:pPr>
      <w:tabs>
        <w:tab w:val="center" w:pos="4536"/>
        <w:tab w:val="right" w:pos="9072"/>
      </w:tabs>
    </w:pPr>
  </w:style>
  <w:style w:type="character" w:customStyle="1" w:styleId="PieddepageCar">
    <w:name w:val="Pied de page Car"/>
    <w:basedOn w:val="Policepardfaut"/>
    <w:link w:val="Pieddepage"/>
    <w:uiPriority w:val="99"/>
    <w:semiHidden/>
    <w:locked/>
    <w:rsid w:val="00F14703"/>
    <w:rPr>
      <w:rFonts w:cs="Times New Roman"/>
      <w:sz w:val="20"/>
      <w:szCs w:val="20"/>
    </w:rPr>
  </w:style>
  <w:style w:type="character" w:styleId="Numrodepage">
    <w:name w:val="page number"/>
    <w:basedOn w:val="Policepardfaut"/>
    <w:uiPriority w:val="99"/>
    <w:rsid w:val="002D6406"/>
    <w:rPr>
      <w:rFonts w:cs="Times New Roman"/>
    </w:rPr>
  </w:style>
  <w:style w:type="character" w:customStyle="1" w:styleId="ETCar">
    <w:name w:val="ET Car"/>
    <w:basedOn w:val="Policepardfaut"/>
    <w:link w:val="ET"/>
    <w:uiPriority w:val="99"/>
    <w:locked/>
    <w:rsid w:val="002D6406"/>
    <w:rPr>
      <w:rFonts w:cs="Times New Roman"/>
      <w:b/>
      <w:bCs/>
      <w:caps/>
      <w:sz w:val="24"/>
      <w:szCs w:val="24"/>
      <w:lang w:val="fr-FR" w:eastAsia="fr-FR"/>
    </w:rPr>
  </w:style>
  <w:style w:type="character" w:customStyle="1" w:styleId="PSCar">
    <w:name w:val="PS Car"/>
    <w:basedOn w:val="Policepardfau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Corpsdetexte">
    <w:name w:val="Body Text"/>
    <w:aliases w:val="Corps de texte Car Car,Corps de texte Car Car Car Car,Corps de texte Car Car Car,Corps de texte Car Car C"/>
    <w:basedOn w:val="Normal"/>
    <w:link w:val="CorpsdetexteCar"/>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Policepardfaut"/>
    <w:uiPriority w:val="99"/>
    <w:semiHidden/>
    <w:locked/>
    <w:rsid w:val="00F14703"/>
    <w:rPr>
      <w:rFonts w:cs="Times New Roman"/>
      <w:sz w:val="20"/>
      <w:szCs w:val="20"/>
    </w:rPr>
  </w:style>
  <w:style w:type="character" w:styleId="Appelnotedebasdep">
    <w:name w:val="footnote reference"/>
    <w:basedOn w:val="Policepardfaut"/>
    <w:uiPriority w:val="99"/>
    <w:semiHidden/>
    <w:rsid w:val="00D12409"/>
    <w:rPr>
      <w:rFonts w:cs="Times New Roman"/>
      <w:sz w:val="20"/>
      <w:szCs w:val="20"/>
      <w:vertAlign w:val="superscript"/>
    </w:rPr>
  </w:style>
  <w:style w:type="paragraph" w:styleId="Notedebasdepage">
    <w:name w:val="footnote text"/>
    <w:basedOn w:val="Normal"/>
    <w:next w:val="Corpsdetexte"/>
    <w:link w:val="NotedebasdepageCar"/>
    <w:uiPriority w:val="99"/>
    <w:semiHidden/>
    <w:rsid w:val="00D12409"/>
    <w:pPr>
      <w:spacing w:before="120"/>
      <w:ind w:firstLine="709"/>
      <w:jc w:val="both"/>
    </w:pPr>
  </w:style>
  <w:style w:type="character" w:customStyle="1" w:styleId="NotedebasdepageCar">
    <w:name w:val="Note de bas de page Car"/>
    <w:basedOn w:val="Policepardfaut"/>
    <w:link w:val="Notedebasdepage"/>
    <w:uiPriority w:val="99"/>
    <w:semiHidden/>
    <w:locked/>
    <w:rsid w:val="00F14703"/>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CorpsdetexteCar">
    <w:name w:val="Corps de texte Car"/>
    <w:aliases w:val="Corps de texte Car Car Car1,Corps de texte Car Car Car Car Car,Corps de texte Car Car Car Car1,Corps de texte Car Car C Car"/>
    <w:basedOn w:val="Policepardfaut"/>
    <w:link w:val="Corpsdetexte"/>
    <w:uiPriority w:val="99"/>
    <w:locked/>
    <w:rsid w:val="00012A2C"/>
    <w:rPr>
      <w:rFonts w:cs="Times New Roman"/>
      <w:sz w:val="24"/>
      <w:szCs w:val="24"/>
      <w:lang w:val="fr-FR" w:eastAsia="fr-FR"/>
    </w:rPr>
  </w:style>
  <w:style w:type="character" w:customStyle="1" w:styleId="P0Car">
    <w:name w:val="P0 Car"/>
    <w:basedOn w:val="Policepardfaut"/>
    <w:link w:val="P0"/>
    <w:uiPriority w:val="99"/>
    <w:locked/>
    <w:rsid w:val="00015322"/>
    <w:rPr>
      <w:rFonts w:cs="Times New Roman"/>
      <w:sz w:val="24"/>
      <w:szCs w:val="24"/>
      <w:lang w:val="fr-FR" w:eastAsia="fr-FR"/>
    </w:rPr>
  </w:style>
  <w:style w:type="paragraph" w:customStyle="1" w:styleId="corpsdetexte0">
    <w:name w:val="corps de texte"/>
    <w:basedOn w:val="Normal"/>
    <w:uiPriority w:val="99"/>
    <w:rsid w:val="00B15512"/>
    <w:pPr>
      <w:spacing w:before="240"/>
      <w:jc w:val="both"/>
    </w:pPr>
    <w:rPr>
      <w:sz w:val="24"/>
      <w:szCs w:val="24"/>
    </w:rPr>
  </w:style>
  <w:style w:type="character" w:customStyle="1" w:styleId="heleneCar">
    <w:name w:val="helene Car"/>
    <w:basedOn w:val="Policepardfau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Textedebulles">
    <w:name w:val="Balloon Text"/>
    <w:basedOn w:val="Normal"/>
    <w:link w:val="TextedebullesCar"/>
    <w:uiPriority w:val="99"/>
    <w:semiHidden/>
    <w:rsid w:val="006F2616"/>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14703"/>
    <w:rPr>
      <w:rFonts w:cs="Times New Roman"/>
      <w:sz w:val="2"/>
      <w:szCs w:val="2"/>
    </w:rPr>
  </w:style>
  <w:style w:type="paragraph" w:customStyle="1" w:styleId="Tableautexte">
    <w:name w:val="Tableau texte"/>
    <w:basedOn w:val="Normal"/>
    <w:uiPriority w:val="99"/>
    <w:rsid w:val="003D34CE"/>
    <w:pPr>
      <w:widowControl w:val="0"/>
      <w:ind w:left="57" w:right="57"/>
      <w:jc w:val="both"/>
    </w:pPr>
    <w:rPr>
      <w:color w:val="000000"/>
    </w:rPr>
  </w:style>
  <w:style w:type="paragraph" w:customStyle="1" w:styleId="StyleCorpsdetexte">
    <w:name w:val="Style Corps de texte"/>
    <w:aliases w:val="paragraphe + Arial"/>
    <w:basedOn w:val="Corpsdetexte"/>
    <w:uiPriority w:val="99"/>
    <w:rsid w:val="003D34CE"/>
    <w:pPr>
      <w:spacing w:before="120" w:after="120"/>
      <w:ind w:left="0" w:firstLine="0"/>
    </w:pPr>
    <w:rPr>
      <w:rFonts w:ascii="Arial" w:hAnsi="Arial" w:cs="Arial"/>
    </w:rPr>
  </w:style>
  <w:style w:type="character" w:styleId="lev">
    <w:name w:val="Strong"/>
    <w:basedOn w:val="Policepardfaut"/>
    <w:uiPriority w:val="99"/>
    <w:qFormat/>
    <w:rsid w:val="00D66C4C"/>
    <w:rPr>
      <w:rFonts w:cs="Times New Roman"/>
      <w:b/>
      <w:bCs/>
    </w:rPr>
  </w:style>
  <w:style w:type="paragraph" w:customStyle="1" w:styleId="Char">
    <w:name w:val="Char"/>
    <w:basedOn w:val="Normal"/>
    <w:uiPriority w:val="99"/>
    <w:rsid w:val="00AE18D3"/>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203F37"/>
    <w:pPr>
      <w:ind w:firstLine="1259"/>
      <w:jc w:val="both"/>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26</TotalTime>
  <Pages>7</Pages>
  <Words>1940</Words>
  <Characters>10672</Characters>
  <Application>Microsoft Office Word</Application>
  <DocSecurity>0</DocSecurity>
  <Lines>88</Lines>
  <Paragraphs>25</Paragraphs>
  <ScaleCrop>false</ScaleCrop>
  <Company>COUR DES COMPTES</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7</cp:revision>
  <cp:lastPrinted>2010-11-26T17:31:00Z</cp:lastPrinted>
  <dcterms:created xsi:type="dcterms:W3CDTF">2010-12-20T15:34:00Z</dcterms:created>
  <dcterms:modified xsi:type="dcterms:W3CDTF">2013-10-24T14:53:00Z</dcterms:modified>
</cp:coreProperties>
</file>