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CD3" w:rsidRDefault="00D47CD3">
      <w:pPr>
        <w:pStyle w:val="ET"/>
      </w:pPr>
      <w:r>
        <w:t>COUR DES COMPTES</w:t>
      </w:r>
    </w:p>
    <w:p w:rsidR="00D47CD3" w:rsidRDefault="00D47CD3">
      <w:pPr>
        <w:pStyle w:val="ET"/>
      </w:pPr>
      <w:r>
        <w:tab/>
        <w:t xml:space="preserve">    ------ </w:t>
      </w:r>
    </w:p>
    <w:p w:rsidR="00D47CD3" w:rsidRDefault="00D47CD3">
      <w:pPr>
        <w:pStyle w:val="ET"/>
      </w:pPr>
      <w:r>
        <w:t>premiere CHAMBRE</w:t>
      </w:r>
    </w:p>
    <w:p w:rsidR="00D47CD3" w:rsidRDefault="00D47CD3" w:rsidP="005366A9">
      <w:pPr>
        <w:pStyle w:val="ET"/>
      </w:pPr>
      <w:r>
        <w:tab/>
        <w:t xml:space="preserve">    ------ </w:t>
      </w:r>
    </w:p>
    <w:p w:rsidR="00D47CD3" w:rsidRDefault="00D47CD3">
      <w:pPr>
        <w:pStyle w:val="ET"/>
      </w:pPr>
      <w:r>
        <w:t>premiere section</w:t>
      </w:r>
    </w:p>
    <w:p w:rsidR="00D47CD3" w:rsidRDefault="00D47CD3">
      <w:pPr>
        <w:pStyle w:val="ET"/>
      </w:pPr>
      <w:r>
        <w:tab/>
        <w:t xml:space="preserve">    ------ </w:t>
      </w:r>
    </w:p>
    <w:p w:rsidR="00D47CD3" w:rsidRPr="00947C81" w:rsidRDefault="00D47CD3" w:rsidP="002D6406">
      <w:pPr>
        <w:pStyle w:val="Header"/>
        <w:ind w:left="567"/>
        <w:rPr>
          <w:b/>
          <w:bCs/>
          <w:i/>
          <w:iCs/>
        </w:rPr>
      </w:pPr>
      <w:r w:rsidRPr="00947C81">
        <w:rPr>
          <w:b/>
          <w:bCs/>
          <w:i/>
          <w:iCs/>
        </w:rPr>
        <w:t xml:space="preserve">Arrêt n° </w:t>
      </w:r>
      <w:r>
        <w:rPr>
          <w:b/>
          <w:bCs/>
          <w:i/>
          <w:iCs/>
        </w:rPr>
        <w:t>59435</w:t>
      </w:r>
      <w:r>
        <w:fldChar w:fldCharType="begin"/>
      </w:r>
      <w:r>
        <w:fldChar w:fldCharType="end"/>
      </w:r>
    </w:p>
    <w:p w:rsidR="00D47CD3" w:rsidRDefault="00D47CD3" w:rsidP="005366A9">
      <w:pPr>
        <w:pStyle w:val="OR"/>
      </w:pPr>
      <w:r>
        <w:t>TRESORIER-PAYEUR GENERAL</w:t>
      </w:r>
    </w:p>
    <w:p w:rsidR="00D47CD3" w:rsidRDefault="00D47CD3" w:rsidP="005366A9">
      <w:pPr>
        <w:pStyle w:val="OR"/>
      </w:pPr>
      <w:r>
        <w:t>DE LA GUYANE</w:t>
      </w:r>
    </w:p>
    <w:p w:rsidR="00D47CD3" w:rsidRDefault="00D47CD3" w:rsidP="005366A9">
      <w:pPr>
        <w:pStyle w:val="OR"/>
      </w:pPr>
    </w:p>
    <w:p w:rsidR="00D47CD3" w:rsidRDefault="00D47CD3" w:rsidP="005366A9">
      <w:pPr>
        <w:pStyle w:val="OR"/>
      </w:pPr>
      <w:r>
        <w:t>Exercices 2003 et 2005 (suites)</w:t>
      </w:r>
    </w:p>
    <w:p w:rsidR="00D47CD3" w:rsidRDefault="00D47CD3" w:rsidP="005366A9">
      <w:pPr>
        <w:pStyle w:val="OR"/>
      </w:pPr>
    </w:p>
    <w:p w:rsidR="00D47CD3" w:rsidRDefault="00D47CD3" w:rsidP="005366A9">
      <w:pPr>
        <w:pStyle w:val="OR"/>
      </w:pPr>
      <w:r>
        <w:t>Rapport n° 2010-264-0</w:t>
      </w:r>
    </w:p>
    <w:p w:rsidR="00D47CD3" w:rsidRDefault="00D47CD3" w:rsidP="005366A9">
      <w:pPr>
        <w:pStyle w:val="OR"/>
      </w:pPr>
    </w:p>
    <w:p w:rsidR="00D47CD3" w:rsidRDefault="00D47CD3" w:rsidP="005366A9">
      <w:pPr>
        <w:pStyle w:val="OR"/>
      </w:pPr>
      <w:r>
        <w:t>Audience publique du 26 mai 2010</w:t>
      </w:r>
    </w:p>
    <w:p w:rsidR="00D47CD3" w:rsidRDefault="00D47CD3" w:rsidP="005366A9">
      <w:pPr>
        <w:pStyle w:val="OR"/>
      </w:pPr>
      <w:r>
        <w:t>et délibéré du 2 juin 2010</w:t>
      </w:r>
    </w:p>
    <w:p w:rsidR="00D47CD3" w:rsidRDefault="00D47CD3" w:rsidP="005366A9">
      <w:pPr>
        <w:pStyle w:val="OR"/>
      </w:pPr>
    </w:p>
    <w:p w:rsidR="00D47CD3" w:rsidRDefault="00D47CD3" w:rsidP="00794A1B">
      <w:pPr>
        <w:pStyle w:val="OR"/>
        <w:spacing w:after="480"/>
      </w:pPr>
      <w:r>
        <w:t>Lecture publique du 20 janvier 2011</w:t>
      </w:r>
    </w:p>
    <w:p w:rsidR="00D47CD3" w:rsidRDefault="00D47CD3" w:rsidP="00794A1B">
      <w:pPr>
        <w:pStyle w:val="PS"/>
        <w:spacing w:after="360"/>
        <w:ind w:firstLine="0"/>
        <w:jc w:val="center"/>
      </w:pPr>
      <w:r>
        <w:t>REPUBLIQUE FRANÇAISE</w:t>
      </w:r>
    </w:p>
    <w:p w:rsidR="00D47CD3" w:rsidRDefault="00D47CD3" w:rsidP="00794A1B">
      <w:pPr>
        <w:pStyle w:val="PS"/>
        <w:spacing w:after="360"/>
        <w:ind w:firstLine="0"/>
        <w:jc w:val="center"/>
      </w:pPr>
      <w:r>
        <w:t>AU NOM DU PEUPLE FRANÇAIS</w:t>
      </w:r>
    </w:p>
    <w:p w:rsidR="00D47CD3" w:rsidRDefault="00D47CD3" w:rsidP="00794A1B">
      <w:pPr>
        <w:pStyle w:val="PS"/>
        <w:ind w:firstLine="0"/>
        <w:jc w:val="center"/>
      </w:pPr>
      <w:r>
        <w:t>LA COUR DES COMPTES a rendu l’arrêt suivant :</w:t>
      </w:r>
    </w:p>
    <w:p w:rsidR="00D47CD3" w:rsidRDefault="00D47CD3" w:rsidP="00373399">
      <w:pPr>
        <w:pStyle w:val="PS"/>
        <w:spacing w:after="360"/>
      </w:pPr>
      <w:r>
        <w:t>LA COUR,</w:t>
      </w:r>
    </w:p>
    <w:p w:rsidR="00D47CD3" w:rsidRDefault="00D47CD3" w:rsidP="00373399">
      <w:pPr>
        <w:pStyle w:val="PS"/>
        <w:spacing w:after="360"/>
      </w:pPr>
      <w:r w:rsidRPr="001A7F6A">
        <w:t>Vu le code des juridictions financières</w:t>
      </w:r>
      <w:r>
        <w:t> ;</w:t>
      </w:r>
    </w:p>
    <w:p w:rsidR="00D47CD3" w:rsidRDefault="00D47CD3" w:rsidP="00EA7BAD">
      <w:pPr>
        <w:pStyle w:val="PS"/>
        <w:spacing w:after="360"/>
      </w:pPr>
      <w:r>
        <w:t>Vu l’article 60 modifié de la loi de finances n° 63-156 du 23 février 1963 portant loi de finances pour 1963 ;</w:t>
      </w:r>
    </w:p>
    <w:p w:rsidR="00D47CD3" w:rsidRDefault="00D47CD3" w:rsidP="00083A42">
      <w:pPr>
        <w:pStyle w:val="PS"/>
        <w:spacing w:after="360"/>
      </w:pPr>
      <w:r>
        <w:t xml:space="preserve">Vu les lois et règlements applicables à la comptabilité des comptables du Trésor, </w:t>
      </w:r>
      <w:r w:rsidRPr="0099060A">
        <w:t>notamment l’ordonnance n° 59-2 du 2 janvier 1959 portant loi organique relative aux lois de finances,</w:t>
      </w:r>
      <w:r>
        <w:t xml:space="preserve"> le décret n° 62-1587 du 29 décembre 1962 portant règlement général sur la</w:t>
      </w:r>
      <w:r w:rsidRPr="001C6D2B">
        <w:t xml:space="preserve"> </w:t>
      </w:r>
      <w:r>
        <w:t>comptabilité publique, les articles n°</w:t>
      </w:r>
      <w:r w:rsidRPr="00EA7BAD">
        <w:rPr>
          <w:vertAlign w:val="superscript"/>
        </w:rPr>
        <w:t>s</w:t>
      </w:r>
      <w:r>
        <w:rPr>
          <w:vertAlign w:val="superscript"/>
        </w:rPr>
        <w:t> </w:t>
      </w:r>
      <w:r>
        <w:t>2247 et 2248 de l’instruction générale du 20 juin 1859 sur le service et la comptabilité des receveurs généraux et particuliers des finances et des percepteurs et l’instruction codificatrice n° 87-128 PR du 29 octobre 1987 sur la comptabilité de l’Etat ;</w:t>
      </w:r>
    </w:p>
    <w:p w:rsidR="00D47CD3" w:rsidRDefault="00D47CD3" w:rsidP="00373399">
      <w:pPr>
        <w:pStyle w:val="PS"/>
        <w:spacing w:after="360"/>
      </w:pPr>
      <w:r>
        <w:t xml:space="preserve">Vu les lois de finances des exercices </w:t>
      </w:r>
      <w:r w:rsidRPr="00D03CA5">
        <w:t>200</w:t>
      </w:r>
      <w:r>
        <w:t xml:space="preserve">3 et </w:t>
      </w:r>
      <w:r w:rsidRPr="00D03CA5">
        <w:t>2005</w:t>
      </w:r>
      <w:r>
        <w:t> ;</w:t>
      </w:r>
    </w:p>
    <w:p w:rsidR="00D47CD3" w:rsidRPr="001A7F6A" w:rsidRDefault="00D47CD3" w:rsidP="00373399">
      <w:pPr>
        <w:pStyle w:val="PS"/>
        <w:spacing w:after="360"/>
      </w:pPr>
      <w:r>
        <w:t>Vu l’article 34-2° alinéa de la loi n° 2008-1091 du 28 octobre 2008 relative à la Cour des comptes et aux chambres régionales des comptes ;</w:t>
      </w:r>
    </w:p>
    <w:p w:rsidR="00D47CD3" w:rsidRDefault="00D47CD3" w:rsidP="00373399">
      <w:pPr>
        <w:pStyle w:val="PS"/>
        <w:spacing w:after="360"/>
      </w:pPr>
      <w:r>
        <w:t>Vu l’arrêté du Premier président du 8 janvier 2010 portant répartition des attributions entre les chambres de la Cour des comptes ;</w:t>
      </w:r>
    </w:p>
    <w:p w:rsidR="00D47CD3" w:rsidRDefault="00D47CD3" w:rsidP="003D34CE">
      <w:pPr>
        <w:pStyle w:val="PS"/>
        <w:spacing w:after="360"/>
        <w:sectPr w:rsidR="00D47CD3" w:rsidSect="006202A5">
          <w:headerReference w:type="default" r:id="rId7"/>
          <w:pgSz w:w="11907" w:h="16840"/>
          <w:pgMar w:top="1134" w:right="1134" w:bottom="1134" w:left="567" w:header="720" w:footer="720" w:gutter="0"/>
          <w:cols w:space="720"/>
          <w:titlePg/>
        </w:sectPr>
      </w:pPr>
    </w:p>
    <w:p w:rsidR="00D47CD3" w:rsidRDefault="00D47CD3" w:rsidP="003D34CE">
      <w:pPr>
        <w:pStyle w:val="PS"/>
        <w:spacing w:after="360"/>
      </w:pPr>
      <w:r>
        <w:t xml:space="preserve">Vu les réserves du 14 mars 2002 de M. X sur la gestion de ses prédécesseurs ; </w:t>
      </w:r>
    </w:p>
    <w:p w:rsidR="00D47CD3" w:rsidRDefault="00D47CD3" w:rsidP="00083A42">
      <w:pPr>
        <w:pStyle w:val="PS"/>
        <w:spacing w:after="360"/>
      </w:pPr>
      <w:r>
        <w:t>Vu les réserves du 28 octobre 2004 de M. Y</w:t>
      </w:r>
      <w:r w:rsidRPr="0002731D">
        <w:t xml:space="preserve"> </w:t>
      </w:r>
      <w:r>
        <w:t xml:space="preserve">sur la gestion de ses prédécesseurs ; </w:t>
      </w:r>
    </w:p>
    <w:p w:rsidR="00D47CD3" w:rsidRDefault="00D47CD3" w:rsidP="00083A42">
      <w:pPr>
        <w:pStyle w:val="PS"/>
        <w:spacing w:after="360"/>
      </w:pPr>
      <w:r>
        <w:t xml:space="preserve">Vu l’arrêt n° 50274 portant dispositions définitives, du 5 février 2008 ; </w:t>
      </w:r>
    </w:p>
    <w:p w:rsidR="00D47CD3" w:rsidRDefault="00D47CD3" w:rsidP="00DD6B4D">
      <w:pPr>
        <w:pStyle w:val="PS"/>
        <w:spacing w:after="360"/>
      </w:pPr>
      <w:r>
        <w:t xml:space="preserve">Vu l’arrêt n° 50275 portant dispositions provisoires, du 26 septembre 2007, notifié le 5 février 2008, dont MM. X et Y ont respectivement accusé réception les 8 et 7 février 2008, par lequel la Cour a statué sur les comptes rendus par ces derniers pour les exercices 2003 et 2005 ; </w:t>
      </w:r>
    </w:p>
    <w:p w:rsidR="00D47CD3" w:rsidRDefault="00D47CD3" w:rsidP="003D34CE">
      <w:pPr>
        <w:pStyle w:val="PS"/>
        <w:spacing w:after="360"/>
      </w:pPr>
      <w:r>
        <w:t xml:space="preserve">Vu les justifications produites en exécution dudit arrêt et les réponses de M. X du 7 avril 2008, de M. Z en date du 4 avril 2008, successeur de M. Y qui lui a donné procuration pour répondre aux injonctions de la Cour ; </w:t>
      </w:r>
    </w:p>
    <w:p w:rsidR="00D47CD3" w:rsidRDefault="00D47CD3" w:rsidP="003D34CE">
      <w:pPr>
        <w:pStyle w:val="PS"/>
        <w:spacing w:after="360"/>
      </w:pPr>
      <w:r>
        <w:t xml:space="preserve">Vu les lettres du 26 avril 2010 informant MM. X et Y de l’audience publique du 26 mai 2010 et les accusés de réception par les comptables de ces lettres ; </w:t>
      </w:r>
    </w:p>
    <w:p w:rsidR="00D47CD3" w:rsidRDefault="00D47CD3" w:rsidP="00083A42">
      <w:pPr>
        <w:pStyle w:val="PS"/>
        <w:spacing w:after="360"/>
      </w:pPr>
      <w:r>
        <w:t>Vu le rapport n° 2010-264-0 de M. Lair, conseiller maître, communiqué au Procureur général près la Cour des comptes le 19 mars 2010 ;</w:t>
      </w:r>
    </w:p>
    <w:p w:rsidR="00D47CD3" w:rsidRDefault="00D47CD3" w:rsidP="00750FE8">
      <w:pPr>
        <w:pStyle w:val="PS"/>
        <w:spacing w:after="360"/>
      </w:pPr>
      <w:r>
        <w:t>Vu les conclusions n° 296 du Procureur général près la Cour des comptes en date du 7 avril</w:t>
      </w:r>
      <w:r w:rsidRPr="00FD7F2C">
        <w:t xml:space="preserve"> 2010</w:t>
      </w:r>
      <w:r>
        <w:t> ;</w:t>
      </w:r>
    </w:p>
    <w:p w:rsidR="00D47CD3" w:rsidRDefault="00D47CD3" w:rsidP="003D34CE">
      <w:pPr>
        <w:pStyle w:val="PS"/>
        <w:spacing w:after="360"/>
      </w:pPr>
      <w:r>
        <w:t>Vu les documents remis à la Cour le 20 mai 2010 par M. X ;</w:t>
      </w:r>
    </w:p>
    <w:p w:rsidR="00D47CD3" w:rsidRDefault="00D47CD3" w:rsidP="003D34CE">
      <w:pPr>
        <w:pStyle w:val="PS"/>
        <w:spacing w:after="360"/>
      </w:pPr>
      <w:r>
        <w:t>Vu la pièce datée du 25 mai 2010  produite par M. X lors de l’audience publique du 26 mai 2010 ;</w:t>
      </w:r>
    </w:p>
    <w:p w:rsidR="00D47CD3" w:rsidRDefault="00D47CD3" w:rsidP="003D34CE">
      <w:pPr>
        <w:pStyle w:val="PS"/>
        <w:spacing w:after="360"/>
      </w:pPr>
      <w:r>
        <w:t>Entendus en audience publique le 26 mai 2010, M. Lair, en son rapport, M. Perrin, avocat général, en ses conclusions orales ;</w:t>
      </w:r>
    </w:p>
    <w:p w:rsidR="00D47CD3" w:rsidRDefault="00D47CD3" w:rsidP="003D34CE">
      <w:pPr>
        <w:pStyle w:val="PS"/>
        <w:spacing w:after="360"/>
      </w:pPr>
      <w:r>
        <w:t>Entendus MM. X et Y en audience publique ;</w:t>
      </w:r>
    </w:p>
    <w:p w:rsidR="00D47CD3" w:rsidRDefault="00D47CD3" w:rsidP="003D34CE">
      <w:pPr>
        <w:pStyle w:val="PS"/>
        <w:spacing w:after="360"/>
        <w:rPr>
          <w:b/>
          <w:bCs/>
        </w:rPr>
      </w:pPr>
      <w:r>
        <w:t>Ayant délibéré hors la présence du rapporteur et du ministère public et après avoir entendu M. X.-H. Martin, conseiller maître, en ses observations ;</w:t>
      </w:r>
      <w:r w:rsidRPr="00D17A34">
        <w:rPr>
          <w:b/>
          <w:bCs/>
        </w:rPr>
        <w:t xml:space="preserve"> </w:t>
      </w:r>
    </w:p>
    <w:p w:rsidR="00D47CD3" w:rsidRPr="00FA0D7E" w:rsidRDefault="00D47CD3" w:rsidP="00373399">
      <w:pPr>
        <w:pStyle w:val="PS"/>
        <w:spacing w:after="360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  <w:r w:rsidRPr="00FA0D7E">
        <w:rPr>
          <w:b/>
          <w:bCs/>
        </w:rPr>
        <w:t xml:space="preserve">STATUANT </w:t>
      </w:r>
      <w:r>
        <w:rPr>
          <w:b/>
          <w:bCs/>
        </w:rPr>
        <w:t>DEFINITIVEMENT,</w:t>
      </w:r>
    </w:p>
    <w:p w:rsidR="00D47CD3" w:rsidRPr="00FA0D7E" w:rsidRDefault="00D47CD3" w:rsidP="00373399">
      <w:pPr>
        <w:pStyle w:val="PS"/>
        <w:spacing w:after="360"/>
        <w:ind w:firstLine="0"/>
        <w:jc w:val="center"/>
        <w:rPr>
          <w:b/>
          <w:bCs/>
        </w:rPr>
      </w:pPr>
      <w:r>
        <w:rPr>
          <w:b/>
          <w:bCs/>
        </w:rPr>
        <w:t>ORDONNE :</w:t>
      </w:r>
    </w:p>
    <w:p w:rsidR="00D47CD3" w:rsidRDefault="00D47CD3" w:rsidP="00373399">
      <w:pPr>
        <w:pStyle w:val="PS"/>
        <w:spacing w:after="360"/>
        <w:rPr>
          <w:b/>
          <w:bCs/>
        </w:rPr>
      </w:pPr>
      <w:r w:rsidRPr="006F40A5">
        <w:rPr>
          <w:b/>
          <w:bCs/>
        </w:rPr>
        <w:t>A l’</w:t>
      </w:r>
      <w:r>
        <w:rPr>
          <w:b/>
          <w:bCs/>
        </w:rPr>
        <w:t>é</w:t>
      </w:r>
      <w:r w:rsidRPr="006F40A5">
        <w:rPr>
          <w:b/>
          <w:bCs/>
        </w:rPr>
        <w:t>gard de M. </w:t>
      </w:r>
      <w:r>
        <w:rPr>
          <w:b/>
          <w:bCs/>
        </w:rPr>
        <w:t>X</w:t>
      </w:r>
    </w:p>
    <w:p w:rsidR="00D47CD3" w:rsidRPr="00DB2F38" w:rsidRDefault="00D47CD3" w:rsidP="00373399">
      <w:pPr>
        <w:pStyle w:val="PS"/>
        <w:spacing w:after="360"/>
        <w:rPr>
          <w:b/>
          <w:bCs/>
          <w:u w:val="single"/>
        </w:rPr>
      </w:pPr>
      <w:r w:rsidRPr="00DB2F38">
        <w:rPr>
          <w:b/>
          <w:bCs/>
          <w:u w:val="single"/>
        </w:rPr>
        <w:t>Au titre de l’exercice 200</w:t>
      </w:r>
      <w:r>
        <w:rPr>
          <w:b/>
          <w:bCs/>
          <w:u w:val="single"/>
        </w:rPr>
        <w:t>3, au 31 mars</w:t>
      </w:r>
    </w:p>
    <w:p w:rsidR="00D47CD3" w:rsidRPr="00E908F9" w:rsidRDefault="00D47CD3" w:rsidP="00373399">
      <w:pPr>
        <w:pStyle w:val="BodyText"/>
        <w:spacing w:before="0" w:after="360"/>
        <w:ind w:left="1701"/>
        <w:rPr>
          <w:b/>
          <w:bCs/>
          <w:u w:val="single"/>
        </w:rPr>
      </w:pPr>
      <w:r w:rsidRPr="00CA3FCB">
        <w:rPr>
          <w:b/>
          <w:bCs/>
          <w:u w:val="single"/>
        </w:rPr>
        <w:t>Suite donnée à l’injonction</w:t>
      </w:r>
      <w:r w:rsidRPr="00814C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unique de </w:t>
      </w:r>
      <w:r w:rsidRPr="00814C65">
        <w:rPr>
          <w:b/>
          <w:bCs/>
          <w:u w:val="single"/>
        </w:rPr>
        <w:t>l’arrêt n°</w:t>
      </w:r>
      <w:r>
        <w:rPr>
          <w:b/>
          <w:bCs/>
          <w:u w:val="single"/>
        </w:rPr>
        <w:t xml:space="preserve"> 50275 – Soldes transportés </w:t>
      </w:r>
      <w:r w:rsidRPr="00E908F9">
        <w:rPr>
          <w:b/>
          <w:bCs/>
          <w:u w:val="single"/>
        </w:rPr>
        <w:t xml:space="preserve">au débit du compte 461-11 « Décaissements à régulariser </w:t>
      </w:r>
      <w:r>
        <w:rPr>
          <w:b/>
          <w:bCs/>
          <w:u w:val="single"/>
        </w:rPr>
        <w:t>-</w:t>
      </w:r>
      <w:r w:rsidRPr="00E908F9">
        <w:rPr>
          <w:b/>
          <w:bCs/>
          <w:u w:val="single"/>
        </w:rPr>
        <w:t>Décaissements</w:t>
      </w:r>
      <w:r>
        <w:rPr>
          <w:b/>
          <w:bCs/>
          <w:u w:val="single"/>
        </w:rPr>
        <w:t xml:space="preserve"> en instance de régularisation </w:t>
      </w:r>
      <w:r w:rsidRPr="00E908F9">
        <w:rPr>
          <w:b/>
          <w:bCs/>
          <w:u w:val="single"/>
        </w:rPr>
        <w:t>- Soldes débiteurs de nature à engager la responsabilité des</w:t>
      </w:r>
      <w:r>
        <w:rPr>
          <w:b/>
          <w:bCs/>
          <w:u w:val="single"/>
        </w:rPr>
        <w:t xml:space="preserve"> comptables »</w:t>
      </w:r>
    </w:p>
    <w:p w:rsidR="00D47CD3" w:rsidRDefault="00D47CD3" w:rsidP="00083A42">
      <w:pPr>
        <w:pStyle w:val="BodyText"/>
        <w:spacing w:before="0" w:after="360"/>
        <w:ind w:left="1701"/>
      </w:pPr>
      <w:r>
        <w:t xml:space="preserve">Attendu qu’après avoir, par arrêt définitif n° 50274, du 5 février 2008, levé la réserve n° 4 prononcée sur la gestion de M. X, la Cour, par arrêt n° 50275 du 26 septembre 2007, a enjoint à M. X d’apporter la preuve du versement dans les caisses de l’Etat, ou toute justification à décharge, de la somme de 959 588,69 € ; </w:t>
      </w:r>
    </w:p>
    <w:p w:rsidR="00D47CD3" w:rsidRDefault="00D47CD3" w:rsidP="00BC0470">
      <w:pPr>
        <w:pStyle w:val="BodyText"/>
        <w:spacing w:before="0" w:after="360"/>
        <w:ind w:left="1701"/>
      </w:pPr>
      <w:r>
        <w:t xml:space="preserve">Attendu que cette somme correspondait d’une part aux soldes des comptes qui avaient fait l’objet d’une réserve de la Cour (arrêt n° 43009 du 27 juin 2005), d’autre part aux comptes sur lesquels M. Y avait formulé des réserves sur la gestion de son prédécesseur, M. X, réserves fondées sur les états de développement de soldes au 30 avril 2003 ; </w:t>
      </w:r>
    </w:p>
    <w:p w:rsidR="00D47CD3" w:rsidRDefault="00D47CD3" w:rsidP="00DD6B4D">
      <w:pPr>
        <w:pStyle w:val="BodyText"/>
        <w:spacing w:before="0" w:after="360"/>
        <w:ind w:left="1701"/>
      </w:pPr>
      <w:r>
        <w:t>Attendu que le détail de cette somme est mentionné dans le tableau suivant :</w:t>
      </w:r>
    </w:p>
    <w:tbl>
      <w:tblPr>
        <w:tblW w:w="89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559"/>
        <w:gridCol w:w="4820"/>
        <w:gridCol w:w="1417"/>
      </w:tblGrid>
      <w:tr w:rsidR="00D47CD3" w:rsidTr="00FA4077">
        <w:trPr>
          <w:jc w:val="right"/>
        </w:trPr>
        <w:tc>
          <w:tcPr>
            <w:tcW w:w="1134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Compte</w:t>
            </w:r>
          </w:p>
        </w:tc>
        <w:tc>
          <w:tcPr>
            <w:tcW w:w="1559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Réserves de</w:t>
            </w:r>
            <w:r>
              <w:rPr>
                <w:b/>
                <w:bCs/>
              </w:rPr>
              <w:br/>
              <w:t>M. Y sur M.X</w:t>
            </w:r>
          </w:p>
        </w:tc>
        <w:tc>
          <w:tcPr>
            <w:tcW w:w="4820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 des réserves de M. Y</w:t>
            </w:r>
          </w:p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(fondées états de soldes au 30 avril 2003)</w:t>
            </w:r>
          </w:p>
        </w:tc>
        <w:tc>
          <w:tcPr>
            <w:tcW w:w="1417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Montant comptabilisé </w:t>
            </w:r>
            <w:r>
              <w:rPr>
                <w:b/>
                <w:bCs/>
              </w:rPr>
              <w:br/>
              <w:t>au 461-11</w:t>
            </w:r>
          </w:p>
        </w:tc>
      </w:tr>
      <w:tr w:rsidR="00D47CD3" w:rsidRPr="00EA0AC9" w:rsidTr="00FA4077">
        <w:trPr>
          <w:jc w:val="right"/>
        </w:trPr>
        <w:tc>
          <w:tcPr>
            <w:tcW w:w="1134" w:type="dxa"/>
            <w:vAlign w:val="center"/>
          </w:tcPr>
          <w:p w:rsidR="00D47CD3" w:rsidRPr="00EA0AC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EA0AC9">
              <w:rPr>
                <w:b/>
                <w:bCs/>
              </w:rPr>
              <w:t>461-4*</w:t>
            </w:r>
          </w:p>
        </w:tc>
        <w:tc>
          <w:tcPr>
            <w:tcW w:w="1559" w:type="dxa"/>
            <w:vAlign w:val="center"/>
          </w:tcPr>
          <w:p w:rsidR="00D47CD3" w:rsidRPr="00EA0AC9" w:rsidRDefault="00D47CD3" w:rsidP="00FA4077">
            <w:pPr>
              <w:pStyle w:val="Tableautexte"/>
              <w:keepNext/>
              <w:jc w:val="right"/>
            </w:pPr>
            <w:r w:rsidRPr="00EA0AC9">
              <w:t>10 776,87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EA0AC9" w:rsidRDefault="00D47CD3" w:rsidP="006202A5">
            <w:pPr>
              <w:pStyle w:val="Tableautexte"/>
              <w:keepNext/>
            </w:pPr>
            <w:r w:rsidRPr="00EA0AC9">
              <w:t>13 opérations de 1998 à 2002</w:t>
            </w:r>
          </w:p>
        </w:tc>
        <w:tc>
          <w:tcPr>
            <w:tcW w:w="1417" w:type="dxa"/>
          </w:tcPr>
          <w:p w:rsidR="00D47CD3" w:rsidRPr="00EA0AC9" w:rsidRDefault="00D47CD3" w:rsidP="006202A5">
            <w:pPr>
              <w:pStyle w:val="Tableautexte"/>
              <w:keepNext/>
              <w:jc w:val="right"/>
            </w:pPr>
            <w:r w:rsidRPr="00EA0AC9">
              <w:t>10 776,87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471 6188*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98 292,46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40 opérations non identifiées sur 2001, 17 sur 2002, 3 sur 2003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98 292,46</w:t>
            </w:r>
            <w:r>
              <w:t xml:space="preserve"> €</w:t>
            </w:r>
          </w:p>
        </w:tc>
      </w:tr>
      <w:tr w:rsidR="00D47CD3" w:rsidTr="00FA4077">
        <w:trPr>
          <w:jc w:val="right"/>
        </w:trPr>
        <w:tc>
          <w:tcPr>
            <w:tcW w:w="1134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471-86*</w:t>
            </w:r>
          </w:p>
        </w:tc>
        <w:tc>
          <w:tcPr>
            <w:tcW w:w="1559" w:type="dxa"/>
            <w:vAlign w:val="center"/>
          </w:tcPr>
          <w:p w:rsidR="00D47CD3" w:rsidRDefault="00D47CD3" w:rsidP="00FA4077">
            <w:pPr>
              <w:pStyle w:val="Tableautexte"/>
              <w:keepNext/>
              <w:jc w:val="right"/>
            </w:pPr>
            <w:r>
              <w:t>151 258,23 €</w:t>
            </w:r>
          </w:p>
        </w:tc>
        <w:tc>
          <w:tcPr>
            <w:tcW w:w="4820" w:type="dxa"/>
          </w:tcPr>
          <w:p w:rsidR="00D47CD3" w:rsidRDefault="00D47CD3" w:rsidP="006202A5">
            <w:pPr>
              <w:pStyle w:val="Tableautexte"/>
              <w:keepNext/>
            </w:pPr>
            <w:r>
              <w:t>1 opération 2001 (34 837,19 €), 5 de 2002 (8278,5 €) + 108 142,54 € discordance CGL/CIP</w:t>
            </w:r>
          </w:p>
        </w:tc>
        <w:tc>
          <w:tcPr>
            <w:tcW w:w="1417" w:type="dxa"/>
          </w:tcPr>
          <w:p w:rsidR="00D47CD3" w:rsidRDefault="00D47CD3" w:rsidP="006202A5">
            <w:pPr>
              <w:pStyle w:val="Tableautexte"/>
              <w:keepNext/>
              <w:jc w:val="right"/>
            </w:pPr>
            <w:r>
              <w:t>151 258,23 €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471-888*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126 934,44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 xml:space="preserve">Opérations non identifiées 2001 et 2002 (684 366,09) – discordance CGL/CIP (557 431,65) 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126 934,44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471-9888*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168 268,54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Opérations non identifiées de 1999 à 2002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168 268,54</w:t>
            </w:r>
            <w:r>
              <w:t xml:space="preserve"> €</w:t>
            </w:r>
          </w:p>
        </w:tc>
      </w:tr>
      <w:tr w:rsidR="00D47CD3" w:rsidTr="00FA4077">
        <w:trPr>
          <w:jc w:val="right"/>
        </w:trPr>
        <w:tc>
          <w:tcPr>
            <w:tcW w:w="1134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511-2*</w:t>
            </w:r>
          </w:p>
        </w:tc>
        <w:tc>
          <w:tcPr>
            <w:tcW w:w="1559" w:type="dxa"/>
            <w:vAlign w:val="center"/>
          </w:tcPr>
          <w:p w:rsidR="00D47CD3" w:rsidRDefault="00D47CD3" w:rsidP="00FA4077">
            <w:pPr>
              <w:pStyle w:val="Tableautexte"/>
              <w:keepNext/>
              <w:jc w:val="right"/>
            </w:pPr>
            <w:r>
              <w:t>205 084,04 €</w:t>
            </w:r>
          </w:p>
        </w:tc>
        <w:tc>
          <w:tcPr>
            <w:tcW w:w="4820" w:type="dxa"/>
          </w:tcPr>
          <w:p w:rsidR="00D47CD3" w:rsidRDefault="00D47CD3" w:rsidP="006202A5">
            <w:pPr>
              <w:pStyle w:val="Tableautexte"/>
              <w:keepNext/>
            </w:pPr>
            <w:r>
              <w:t>Evolution de la discordance CGL/CIP entre 31-12-2001 et 30-04-2003 :1 062 439,07 € -857 355,03 €</w:t>
            </w:r>
          </w:p>
        </w:tc>
        <w:tc>
          <w:tcPr>
            <w:tcW w:w="1417" w:type="dxa"/>
          </w:tcPr>
          <w:p w:rsidR="00D47CD3" w:rsidRDefault="00D47CD3" w:rsidP="006202A5">
            <w:pPr>
              <w:pStyle w:val="Tableautexte"/>
              <w:keepNext/>
              <w:jc w:val="right"/>
            </w:pPr>
            <w:r>
              <w:t>205 084,04 €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466-1182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12 405,78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Discordance en moins en CGL par rapport aux justifications des administrations financières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12 405,78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466-122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12 524,80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Différence en moins entre CGL et CIP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12 524,80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466-132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58 767,76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Discordance en moins entre CGL par rapport aux justifications des administrations financières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58 767,76</w:t>
            </w:r>
            <w:r>
              <w:t xml:space="preserve"> €</w:t>
            </w:r>
          </w:p>
        </w:tc>
      </w:tr>
      <w:tr w:rsidR="00D47CD3" w:rsidRPr="006760AB" w:rsidTr="00FA4077">
        <w:trPr>
          <w:jc w:val="right"/>
        </w:trPr>
        <w:tc>
          <w:tcPr>
            <w:tcW w:w="1134" w:type="dxa"/>
            <w:vAlign w:val="center"/>
          </w:tcPr>
          <w:p w:rsidR="00D47CD3" w:rsidRPr="006760AB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6760AB">
              <w:rPr>
                <w:b/>
                <w:bCs/>
              </w:rPr>
              <w:t>369-100</w:t>
            </w:r>
          </w:p>
        </w:tc>
        <w:tc>
          <w:tcPr>
            <w:tcW w:w="1559" w:type="dxa"/>
            <w:vAlign w:val="center"/>
          </w:tcPr>
          <w:p w:rsidR="00D47CD3" w:rsidRPr="006760AB" w:rsidRDefault="00D47CD3" w:rsidP="00FA4077">
            <w:pPr>
              <w:pStyle w:val="Tableautexte"/>
              <w:keepNext/>
              <w:jc w:val="right"/>
            </w:pPr>
            <w:r w:rsidRPr="006760AB">
              <w:t>632 569,53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6760AB" w:rsidRDefault="00D47CD3" w:rsidP="006202A5">
            <w:pPr>
              <w:pStyle w:val="Tableautexte"/>
              <w:keepNext/>
            </w:pPr>
            <w:r w:rsidRPr="006760AB">
              <w:t xml:space="preserve">Opérations non justifiées de la régie du </w:t>
            </w:r>
            <w:smartTag w:uri="urn:schemas-microsoft-com:office:smarttags" w:element="PersonName">
              <w:r w:rsidRPr="006760AB">
                <w:t>TG</w:t>
              </w:r>
            </w:smartTag>
            <w:r w:rsidRPr="006760AB">
              <w:t>I</w:t>
            </w:r>
          </w:p>
        </w:tc>
        <w:tc>
          <w:tcPr>
            <w:tcW w:w="1417" w:type="dxa"/>
          </w:tcPr>
          <w:p w:rsidR="00D47CD3" w:rsidRPr="006760AB" w:rsidRDefault="00D47CD3" w:rsidP="006202A5">
            <w:pPr>
              <w:pStyle w:val="Tableautexte"/>
              <w:keepNext/>
              <w:jc w:val="right"/>
            </w:pPr>
            <w:r w:rsidRPr="006760AB">
              <w:t>103 357,14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36</w:t>
            </w:r>
            <w:r>
              <w:rPr>
                <w:b/>
                <w:bCs/>
              </w:rPr>
              <w:t>9</w:t>
            </w:r>
            <w:r w:rsidRPr="00D82369">
              <w:rPr>
                <w:b/>
                <w:bCs/>
              </w:rPr>
              <w:t>-12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5 272,35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>Différence en moins entre CGL et compta. auxiliaire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5 272,35</w:t>
            </w:r>
            <w:r>
              <w:t xml:space="preserve"> €</w:t>
            </w:r>
          </w:p>
        </w:tc>
      </w:tr>
      <w:tr w:rsidR="00D47CD3" w:rsidRPr="00D82369" w:rsidTr="00FA4077">
        <w:trPr>
          <w:jc w:val="right"/>
        </w:trPr>
        <w:tc>
          <w:tcPr>
            <w:tcW w:w="1134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 w:rsidRPr="00D82369">
              <w:rPr>
                <w:b/>
                <w:bCs/>
              </w:rPr>
              <w:t>441-18</w:t>
            </w:r>
          </w:p>
        </w:tc>
        <w:tc>
          <w:tcPr>
            <w:tcW w:w="1559" w:type="dxa"/>
            <w:vAlign w:val="center"/>
          </w:tcPr>
          <w:p w:rsidR="00D47CD3" w:rsidRPr="00D82369" w:rsidRDefault="00D47CD3" w:rsidP="00FA4077">
            <w:pPr>
              <w:pStyle w:val="Tableautexte"/>
              <w:keepNext/>
              <w:jc w:val="right"/>
            </w:pPr>
            <w:r w:rsidRPr="00D82369">
              <w:t>6 646,28</w:t>
            </w:r>
            <w:r>
              <w:t xml:space="preserve"> €</w:t>
            </w:r>
          </w:p>
        </w:tc>
        <w:tc>
          <w:tcPr>
            <w:tcW w:w="4820" w:type="dxa"/>
          </w:tcPr>
          <w:p w:rsidR="00D47CD3" w:rsidRPr="00D82369" w:rsidRDefault="00D47CD3" w:rsidP="006202A5">
            <w:pPr>
              <w:pStyle w:val="Tableautexte"/>
              <w:keepNext/>
            </w:pPr>
            <w:r w:rsidRPr="00D82369">
              <w:t xml:space="preserve">Différence en moins entre CGL et compta. auxiliaire </w:t>
            </w:r>
          </w:p>
        </w:tc>
        <w:tc>
          <w:tcPr>
            <w:tcW w:w="1417" w:type="dxa"/>
          </w:tcPr>
          <w:p w:rsidR="00D47CD3" w:rsidRPr="00D82369" w:rsidRDefault="00D47CD3" w:rsidP="006202A5">
            <w:pPr>
              <w:pStyle w:val="Tableautexte"/>
              <w:keepNext/>
              <w:jc w:val="right"/>
            </w:pPr>
            <w:r w:rsidRPr="00D82369">
              <w:t>6 646,28</w:t>
            </w:r>
            <w:r>
              <w:t xml:space="preserve"> €</w:t>
            </w:r>
          </w:p>
        </w:tc>
      </w:tr>
      <w:tr w:rsidR="00D47CD3" w:rsidTr="00FA4077">
        <w:trPr>
          <w:jc w:val="right"/>
        </w:trPr>
        <w:tc>
          <w:tcPr>
            <w:tcW w:w="1134" w:type="dxa"/>
            <w:vAlign w:val="center"/>
          </w:tcPr>
          <w:p w:rsidR="00D47CD3" w:rsidRDefault="00D47CD3" w:rsidP="00FA4077">
            <w:pPr>
              <w:pStyle w:val="Tableautext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59" w:type="dxa"/>
            <w:vAlign w:val="center"/>
          </w:tcPr>
          <w:p w:rsidR="00D47CD3" w:rsidRDefault="00D47CD3" w:rsidP="00FA4077">
            <w:pPr>
              <w:pStyle w:val="Tableautexte"/>
              <w:keepNext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1 488 801,88 €</w:t>
            </w:r>
          </w:p>
        </w:tc>
        <w:tc>
          <w:tcPr>
            <w:tcW w:w="4820" w:type="dxa"/>
          </w:tcPr>
          <w:p w:rsidR="00D47CD3" w:rsidRDefault="00D47CD3" w:rsidP="006202A5">
            <w:pPr>
              <w:pStyle w:val="Tableautexte"/>
              <w:keepNext/>
              <w:jc w:val="right"/>
              <w:rPr>
                <w:b/>
                <w:bCs/>
              </w:rPr>
            </w:pPr>
          </w:p>
        </w:tc>
        <w:tc>
          <w:tcPr>
            <w:tcW w:w="1417" w:type="dxa"/>
          </w:tcPr>
          <w:p w:rsidR="00D47CD3" w:rsidRDefault="00D47CD3" w:rsidP="006202A5">
            <w:pPr>
              <w:pStyle w:val="Tableautexte"/>
              <w:keepNext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959 588,69 €</w:t>
            </w:r>
          </w:p>
        </w:tc>
      </w:tr>
    </w:tbl>
    <w:p w:rsidR="00D47CD3" w:rsidRDefault="00D47CD3" w:rsidP="00BC0470">
      <w:pPr>
        <w:pStyle w:val="StyleCorpsdetexte"/>
        <w:spacing w:after="360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 : les comptes marqués d’un astérisque sont ceux qui avaient fait l’objet de la réserve n° 4 prononcée par l’arrêt n° 43009 du 27 juin 2005.</w:t>
      </w:r>
    </w:p>
    <w:p w:rsidR="00D47CD3" w:rsidRDefault="00D47CD3" w:rsidP="00BC0470">
      <w:pPr>
        <w:pStyle w:val="StyleCorpsdetexte"/>
        <w:spacing w:before="36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Attendu qu’en réponse, M. X fait savoir en premier lieu que certaines de ces opérations ne devraient pas lui être imputées, étant rattachées aux exercices 2001 et 2002 pour lesquels il a obtenu décharge </w:t>
      </w:r>
      <w:r w:rsidRPr="001376D6">
        <w:rPr>
          <w:rFonts w:ascii="Times New Roman" w:hAnsi="Times New Roman" w:cs="Times New Roman"/>
        </w:rPr>
        <w:t>;</w:t>
      </w:r>
    </w:p>
    <w:p w:rsidR="00D47CD3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toutefois que, si la Cour a levé une réserve sur la gestion 2001 de M. X (par arrêt portant dispositions définitives n° 50274), réserve correspondant à ces déficits, et si elle a déchargé ce comptable sur 2001 et 2002, elle a, constatant que les mêmes déficits subsistaient à la sortie de fonctions de M. X, au 31 mars 2003, prononcé une injonction sur les mêmes fondements sur cet exercice 2003, par arrêt n° 50275 du même jour ; que dès lors, la Cour est fondée à mettre en jeu la responsabilité de M. X sur 2003, sur lequel M. X n’a pas été déchargé ;</w:t>
      </w:r>
    </w:p>
    <w:p w:rsidR="00D47CD3" w:rsidRDefault="00D47CD3" w:rsidP="006D78D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que M. X indique en second lieu que certaines de ces opérations ne peuvent pas lui être imputées parce qu’il a formulé, pour ces mêmes opérations (comptes 461-4, 471-86, 471-9888 -voir tableau supra-) des réserves sur la gestion de son prédécesseur, M. B ;</w:t>
      </w:r>
    </w:p>
    <w:p w:rsidR="00D47CD3" w:rsidRDefault="00D47CD3" w:rsidP="00DD6B4D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Attendu que si l’article III, 3° alinéa de l’article 60 de la loi n° 63-156 du 23 février 1963 prévoit que la responsabilité des comptables </w:t>
      </w:r>
      <w:r>
        <w:rPr>
          <w:rFonts w:ascii="Times New Roman" w:hAnsi="Times New Roman" w:cs="Times New Roman"/>
          <w:i/>
          <w:iCs/>
        </w:rPr>
        <w:t>« </w:t>
      </w:r>
      <w:r w:rsidRPr="00242AB0">
        <w:rPr>
          <w:rFonts w:ascii="Times New Roman" w:hAnsi="Times New Roman" w:cs="Times New Roman"/>
          <w:i/>
          <w:iCs/>
        </w:rPr>
        <w:t>ne peut être mise en jeu à raison de la gestion de leurs prédécesseurs que pour les opérations prises en charge sans réserve lors de la remise de service »</w:t>
      </w:r>
      <w:r>
        <w:rPr>
          <w:rFonts w:ascii="Times New Roman" w:hAnsi="Times New Roman" w:cs="Times New Roman"/>
        </w:rPr>
        <w:t xml:space="preserve">, cette disposition, qui n’exclut pas d’ailleurs la mise en jeu de la responsabilité du comptable successeur si ses diligences propres sont insuffisantes, ne trouve pas à s’appliquer en l’espèce ; </w:t>
      </w:r>
    </w:p>
    <w:p w:rsidR="00D47CD3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  <w:t>Attendu qu’en effet les opérations en question, pour lesquelles M. X a effectivement émis des réserves sur la gestion de son prédécesseur, M. B, ont conduit la Cour à engager la responsabilité de ce dernier par arrêt n° 50274 du 5 février 2008 ; que les opérations mises à la charge de M. X ne comprennent donc pas celles mises précédemment à la charge de M. B ;</w:t>
      </w:r>
    </w:p>
    <w:p w:rsidR="00D47CD3" w:rsidRDefault="00D47CD3" w:rsidP="0098570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que M. X indique en troisième lieu que la situation exceptionnelle de la Guyane relèverait de la force majeure ; que dès lors, l’article 60-V de la loi n° 63-156 du 23 février 1963, dans sa version modifiée par l’article 146-I de la loi de finances rectificative du 31 décembre 2006, interdirait à la Cour de mettre en jeu la responsabilité du comptable, puisque ce texte prévoit que « </w:t>
      </w:r>
      <w:r w:rsidRPr="00242AB0">
        <w:rPr>
          <w:rFonts w:ascii="Times New Roman" w:hAnsi="Times New Roman" w:cs="Times New Roman"/>
          <w:i/>
          <w:iCs/>
        </w:rPr>
        <w:t>lorsque (…) le juge des comptes  constate l’existence de circonstances constitutives de la force majeure, il ne met pas en jeu la r</w:t>
      </w:r>
      <w:r>
        <w:rPr>
          <w:rFonts w:ascii="Times New Roman" w:hAnsi="Times New Roman" w:cs="Times New Roman"/>
          <w:i/>
          <w:iCs/>
        </w:rPr>
        <w:t>e</w:t>
      </w:r>
      <w:r w:rsidRPr="00242AB0">
        <w:rPr>
          <w:rFonts w:ascii="Times New Roman" w:hAnsi="Times New Roman" w:cs="Times New Roman"/>
          <w:i/>
          <w:iCs/>
        </w:rPr>
        <w:t>sponsabilité personne</w:t>
      </w:r>
      <w:r>
        <w:rPr>
          <w:rFonts w:ascii="Times New Roman" w:hAnsi="Times New Roman" w:cs="Times New Roman"/>
          <w:i/>
          <w:iCs/>
        </w:rPr>
        <w:t>l</w:t>
      </w:r>
      <w:r w:rsidRPr="00242AB0">
        <w:rPr>
          <w:rFonts w:ascii="Times New Roman" w:hAnsi="Times New Roman" w:cs="Times New Roman"/>
          <w:i/>
          <w:iCs/>
        </w:rPr>
        <w:t xml:space="preserve">le et pécuniaire du comptable </w:t>
      </w:r>
      <w:r w:rsidRPr="002955D8">
        <w:rPr>
          <w:rFonts w:ascii="Times New Roman" w:hAnsi="Times New Roman" w:cs="Times New Roman"/>
          <w:i/>
          <w:iCs/>
        </w:rPr>
        <w:t>public</w:t>
      </w:r>
      <w:r>
        <w:rPr>
          <w:rFonts w:ascii="Times New Roman" w:hAnsi="Times New Roman" w:cs="Times New Roman"/>
          <w:i/>
          <w:iCs/>
        </w:rPr>
        <w:t> »</w:t>
      </w:r>
      <w:r>
        <w:rPr>
          <w:rFonts w:ascii="Times New Roman" w:hAnsi="Times New Roman" w:cs="Times New Roman"/>
        </w:rPr>
        <w:t xml:space="preserve"> ; </w:t>
      </w:r>
    </w:p>
    <w:p w:rsidR="00D47CD3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Attendu que ladite loi (article 146-II) prévoit que son article I </w:t>
      </w:r>
      <w:r w:rsidRPr="00501F68">
        <w:rPr>
          <w:rFonts w:ascii="Times New Roman" w:hAnsi="Times New Roman" w:cs="Times New Roman"/>
          <w:i/>
          <w:iCs/>
        </w:rPr>
        <w:t>« entre en vigueur à compter du 1</w:t>
      </w:r>
      <w:r w:rsidRPr="00501F68">
        <w:rPr>
          <w:rFonts w:ascii="Times New Roman" w:hAnsi="Times New Roman" w:cs="Times New Roman"/>
          <w:i/>
          <w:iCs/>
          <w:vertAlign w:val="superscript"/>
        </w:rPr>
        <w:t>er</w:t>
      </w:r>
      <w:r>
        <w:rPr>
          <w:rFonts w:ascii="Times New Roman" w:hAnsi="Times New Roman" w:cs="Times New Roman"/>
          <w:i/>
          <w:iCs/>
          <w:vertAlign w:val="superscript"/>
        </w:rPr>
        <w:t> </w:t>
      </w:r>
      <w:r w:rsidRPr="00501F68">
        <w:rPr>
          <w:rFonts w:ascii="Times New Roman" w:hAnsi="Times New Roman" w:cs="Times New Roman"/>
          <w:i/>
          <w:iCs/>
        </w:rPr>
        <w:t>juillet</w:t>
      </w:r>
      <w:r>
        <w:rPr>
          <w:rFonts w:ascii="Times New Roman" w:hAnsi="Times New Roman" w:cs="Times New Roman"/>
          <w:i/>
          <w:iCs/>
        </w:rPr>
        <w:t> </w:t>
      </w:r>
      <w:r w:rsidRPr="00501F68">
        <w:rPr>
          <w:rFonts w:ascii="Times New Roman" w:hAnsi="Times New Roman" w:cs="Times New Roman"/>
          <w:i/>
          <w:iCs/>
        </w:rPr>
        <w:t>2007</w:t>
      </w:r>
      <w:r>
        <w:rPr>
          <w:rFonts w:ascii="Times New Roman" w:hAnsi="Times New Roman" w:cs="Times New Roman"/>
          <w:i/>
          <w:iCs/>
        </w:rPr>
        <w:t xml:space="preserve"> » </w:t>
      </w:r>
      <w:r w:rsidRPr="003F0C89">
        <w:rPr>
          <w:rFonts w:ascii="Times New Roman" w:hAnsi="Times New Roman" w:cs="Times New Roman"/>
        </w:rPr>
        <w:t>et que</w:t>
      </w:r>
      <w:r>
        <w:rPr>
          <w:rFonts w:ascii="Times New Roman" w:hAnsi="Times New Roman" w:cs="Times New Roman"/>
          <w:i/>
          <w:iCs/>
        </w:rPr>
        <w:t xml:space="preserve"> « l</w:t>
      </w:r>
      <w:r w:rsidRPr="00501F68">
        <w:rPr>
          <w:rFonts w:ascii="Times New Roman" w:hAnsi="Times New Roman" w:cs="Times New Roman"/>
          <w:i/>
          <w:iCs/>
        </w:rPr>
        <w:t>es déficits ayant fait l’objet d’un premier acte de mise en jeu de la responsabilité personnelle et pécuniaire d’un com</w:t>
      </w:r>
      <w:r>
        <w:rPr>
          <w:rFonts w:ascii="Times New Roman" w:hAnsi="Times New Roman" w:cs="Times New Roman"/>
          <w:i/>
          <w:iCs/>
        </w:rPr>
        <w:t>ptable public ou d’un régisseur</w:t>
      </w:r>
      <w:r w:rsidRPr="00501F68">
        <w:rPr>
          <w:rFonts w:ascii="Times New Roman" w:hAnsi="Times New Roman" w:cs="Times New Roman"/>
          <w:i/>
          <w:iCs/>
        </w:rPr>
        <w:t xml:space="preserve"> avant cette date demeurent régis par les dispositions antérieures</w:t>
      </w:r>
      <w:r>
        <w:rPr>
          <w:rFonts w:ascii="Times New Roman" w:hAnsi="Times New Roman" w:cs="Times New Roman"/>
        </w:rPr>
        <w:t> » ;</w:t>
      </w:r>
    </w:p>
    <w:p w:rsidR="00D47CD3" w:rsidRPr="00654EB1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Attendu que </w:t>
      </w:r>
      <w:r w:rsidRPr="00654EB1">
        <w:rPr>
          <w:rFonts w:ascii="Times New Roman" w:hAnsi="Times New Roman" w:cs="Times New Roman"/>
        </w:rPr>
        <w:t xml:space="preserve">par arrêt </w:t>
      </w:r>
      <w:r>
        <w:rPr>
          <w:rFonts w:ascii="Times New Roman" w:hAnsi="Times New Roman" w:cs="Times New Roman"/>
        </w:rPr>
        <w:t>n° </w:t>
      </w:r>
      <w:r w:rsidRPr="00654EB1">
        <w:rPr>
          <w:rFonts w:ascii="Times New Roman" w:hAnsi="Times New Roman" w:cs="Times New Roman"/>
        </w:rPr>
        <w:t>43009 du 27</w:t>
      </w:r>
      <w:r>
        <w:rPr>
          <w:rFonts w:ascii="Times New Roman" w:hAnsi="Times New Roman" w:cs="Times New Roman"/>
        </w:rPr>
        <w:t> </w:t>
      </w:r>
      <w:r w:rsidRPr="00654EB1">
        <w:rPr>
          <w:rFonts w:ascii="Times New Roman" w:hAnsi="Times New Roman" w:cs="Times New Roman"/>
        </w:rPr>
        <w:t>juin</w:t>
      </w:r>
      <w:r>
        <w:rPr>
          <w:rFonts w:ascii="Times New Roman" w:hAnsi="Times New Roman" w:cs="Times New Roman"/>
        </w:rPr>
        <w:t> </w:t>
      </w:r>
      <w:r w:rsidRPr="00654EB1">
        <w:rPr>
          <w:rFonts w:ascii="Times New Roman" w:hAnsi="Times New Roman" w:cs="Times New Roman"/>
        </w:rPr>
        <w:t xml:space="preserve">2005, la Cour a </w:t>
      </w:r>
      <w:r>
        <w:rPr>
          <w:rFonts w:ascii="Times New Roman" w:hAnsi="Times New Roman" w:cs="Times New Roman"/>
        </w:rPr>
        <w:t xml:space="preserve">émis une </w:t>
      </w:r>
      <w:r w:rsidRPr="00654EB1">
        <w:rPr>
          <w:rFonts w:ascii="Times New Roman" w:hAnsi="Times New Roman" w:cs="Times New Roman"/>
        </w:rPr>
        <w:t xml:space="preserve">réserve </w:t>
      </w:r>
      <w:r>
        <w:rPr>
          <w:rFonts w:ascii="Times New Roman" w:hAnsi="Times New Roman" w:cs="Times New Roman"/>
        </w:rPr>
        <w:t xml:space="preserve">sur la gestion de </w:t>
      </w:r>
      <w:r w:rsidRPr="00654EB1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> </w:t>
      </w:r>
      <w:r w:rsidRPr="00654EB1">
        <w:rPr>
          <w:rFonts w:ascii="Times New Roman" w:hAnsi="Times New Roman" w:cs="Times New Roman"/>
        </w:rPr>
        <w:t>X jusqu’à la régularisatio</w:t>
      </w:r>
      <w:r>
        <w:rPr>
          <w:rFonts w:ascii="Times New Roman" w:hAnsi="Times New Roman" w:cs="Times New Roman"/>
        </w:rPr>
        <w:t xml:space="preserve">n </w:t>
      </w:r>
      <w:r w:rsidRPr="00654EB1">
        <w:rPr>
          <w:rFonts w:ascii="Times New Roman" w:hAnsi="Times New Roman" w:cs="Times New Roman"/>
        </w:rPr>
        <w:t xml:space="preserve">des soldes inexpliqués </w:t>
      </w:r>
      <w:r>
        <w:rPr>
          <w:rFonts w:ascii="Times New Roman" w:hAnsi="Times New Roman" w:cs="Times New Roman"/>
        </w:rPr>
        <w:t xml:space="preserve">; </w:t>
      </w:r>
      <w:r w:rsidRPr="00654EB1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 xml:space="preserve">e cette réserve ne </w:t>
      </w:r>
      <w:r w:rsidRPr="00654EB1">
        <w:rPr>
          <w:rFonts w:ascii="Times New Roman" w:hAnsi="Times New Roman" w:cs="Times New Roman"/>
        </w:rPr>
        <w:t xml:space="preserve">constitue pas, contrairement à une injonction, un </w:t>
      </w:r>
      <w:r w:rsidRPr="00DC533F">
        <w:rPr>
          <w:rFonts w:ascii="Times New Roman" w:hAnsi="Times New Roman" w:cs="Times New Roman"/>
          <w:i/>
          <w:iCs/>
        </w:rPr>
        <w:t>« premier acte de</w:t>
      </w:r>
      <w:r w:rsidRPr="00654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mise en jeu </w:t>
      </w:r>
      <w:r w:rsidRPr="00DC533F">
        <w:rPr>
          <w:rFonts w:ascii="Times New Roman" w:hAnsi="Times New Roman" w:cs="Times New Roman"/>
          <w:i/>
          <w:iCs/>
        </w:rPr>
        <w:t>de la responsabilité</w:t>
      </w:r>
      <w:r w:rsidRPr="00654EB1">
        <w:rPr>
          <w:rFonts w:ascii="Times New Roman" w:hAnsi="Times New Roman" w:cs="Times New Roman"/>
        </w:rPr>
        <w:t xml:space="preserve"> » du comptable, au sens de la disposition précitée ; </w:t>
      </w:r>
      <w:r>
        <w:rPr>
          <w:rFonts w:ascii="Times New Roman" w:hAnsi="Times New Roman" w:cs="Times New Roman"/>
        </w:rPr>
        <w:t>que les dispositions nouvelles</w:t>
      </w:r>
      <w:r w:rsidRPr="00654EB1">
        <w:rPr>
          <w:rFonts w:ascii="Times New Roman" w:hAnsi="Times New Roman" w:cs="Times New Roman"/>
        </w:rPr>
        <w:t xml:space="preserve"> introduites par l’article 146-I précité pourraient donc </w:t>
      </w:r>
      <w:r>
        <w:rPr>
          <w:rFonts w:ascii="Times New Roman" w:hAnsi="Times New Roman" w:cs="Times New Roman"/>
        </w:rPr>
        <w:t>s’appliquer ;</w:t>
      </w:r>
    </w:p>
    <w:p w:rsidR="00D47CD3" w:rsidRPr="00654EB1" w:rsidRDefault="00D47CD3" w:rsidP="00373399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 w:rsidRPr="00654EB1">
        <w:rPr>
          <w:rFonts w:ascii="Times New Roman" w:hAnsi="Times New Roman" w:cs="Times New Roman"/>
        </w:rPr>
        <w:t xml:space="preserve">Attendu toutefois que, quelles </w:t>
      </w:r>
      <w:r>
        <w:rPr>
          <w:rFonts w:ascii="Times New Roman" w:hAnsi="Times New Roman" w:cs="Times New Roman"/>
        </w:rPr>
        <w:t>qu’</w:t>
      </w:r>
      <w:r w:rsidRPr="00654EB1">
        <w:rPr>
          <w:rFonts w:ascii="Times New Roman" w:hAnsi="Times New Roman" w:cs="Times New Roman"/>
        </w:rPr>
        <w:t xml:space="preserve">aient été les difficultés locales rencontrées par le comptable, elles ne sauraient </w:t>
      </w:r>
      <w:r>
        <w:rPr>
          <w:rFonts w:ascii="Times New Roman" w:hAnsi="Times New Roman" w:cs="Times New Roman"/>
        </w:rPr>
        <w:t xml:space="preserve">constituer des circonstances constitutives de force majeure, </w:t>
      </w:r>
      <w:r w:rsidRPr="00654EB1">
        <w:rPr>
          <w:rFonts w:ascii="Times New Roman" w:hAnsi="Times New Roman" w:cs="Times New Roman"/>
        </w:rPr>
        <w:t xml:space="preserve">n'en </w:t>
      </w:r>
      <w:r>
        <w:rPr>
          <w:rFonts w:ascii="Times New Roman" w:hAnsi="Times New Roman" w:cs="Times New Roman"/>
        </w:rPr>
        <w:t xml:space="preserve">ayant </w:t>
      </w:r>
      <w:r w:rsidRPr="00654EB1">
        <w:rPr>
          <w:rFonts w:ascii="Times New Roman" w:hAnsi="Times New Roman" w:cs="Times New Roman"/>
        </w:rPr>
        <w:t>ni le caractère extérieur, ni l'imprévisibilité, ni l'irrésistibilité requis</w:t>
      </w:r>
      <w:r>
        <w:rPr>
          <w:rFonts w:ascii="Times New Roman" w:hAnsi="Times New Roman" w:cs="Times New Roman"/>
        </w:rPr>
        <w:t> </w:t>
      </w:r>
      <w:r w:rsidRPr="00654EB1">
        <w:rPr>
          <w:rFonts w:ascii="Times New Roman" w:hAnsi="Times New Roman" w:cs="Times New Roman"/>
        </w:rPr>
        <w:t xml:space="preserve">; </w:t>
      </w:r>
    </w:p>
    <w:p w:rsidR="00D47CD3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Attendu qu’en quatrième lieu, M. X déclare que le déficit du compte 369-100, « régie du tribunal de grande instance de Cayenne », (103 357,14 €) serait imputable au régisseur et non à lui-même ; </w:t>
      </w:r>
    </w:p>
    <w:p w:rsidR="00D47CD3" w:rsidRDefault="00D47CD3" w:rsidP="00BC0470">
      <w:pPr>
        <w:pStyle w:val="StyleCorpsdetexte"/>
        <w:spacing w:before="0"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qu’aux termes de l’article III de l’article 60 de la loi n° 63-156 du 23 février 1963, la responsabilité des comptables « </w:t>
      </w:r>
      <w:r>
        <w:rPr>
          <w:rFonts w:ascii="Times New Roman" w:hAnsi="Times New Roman" w:cs="Times New Roman"/>
          <w:i/>
          <w:iCs/>
        </w:rPr>
        <w:t xml:space="preserve">s’étend </w:t>
      </w:r>
      <w:r w:rsidRPr="00272772">
        <w:rPr>
          <w:rFonts w:ascii="Times New Roman" w:hAnsi="Times New Roman" w:cs="Times New Roman"/>
          <w:i/>
          <w:iCs/>
        </w:rPr>
        <w:t>aux opérations des comptables publics placés sous leur autorité et à celle des régisseurs</w:t>
      </w:r>
      <w:r>
        <w:rPr>
          <w:rFonts w:ascii="Times New Roman" w:hAnsi="Times New Roman" w:cs="Times New Roman"/>
        </w:rPr>
        <w:t> » ; que la responsabilité du comptable pourrait donc être engagée pour le déficit constaté dans les opérations du régisseur ;</w:t>
      </w:r>
    </w:p>
    <w:p w:rsidR="00D47CD3" w:rsidRPr="00CC1666" w:rsidRDefault="00D47CD3" w:rsidP="00BC0470">
      <w:pPr>
        <w:pStyle w:val="PS"/>
        <w:spacing w:after="360"/>
      </w:pPr>
      <w:r w:rsidRPr="00CC1666">
        <w:t>Attendu toutefois qu</w:t>
      </w:r>
      <w:r>
        <w:t xml:space="preserve">’en l’espèce, </w:t>
      </w:r>
      <w:r w:rsidRPr="00CC1666">
        <w:t xml:space="preserve">la Garde des </w:t>
      </w:r>
      <w:r>
        <w:t>s</w:t>
      </w:r>
      <w:r w:rsidRPr="00CC1666">
        <w:t>ceaux, ministre de la</w:t>
      </w:r>
      <w:r>
        <w:t> j</w:t>
      </w:r>
      <w:r w:rsidRPr="00CC1666">
        <w:t>ustice</w:t>
      </w:r>
      <w:r>
        <w:t>,</w:t>
      </w:r>
      <w:r w:rsidRPr="00CC1666">
        <w:t xml:space="preserve"> a informé le Procureur général près la Cour des comptes de ce que les conditions de mise en cause du régisseur en question n’étaient pas réunies ; que, par suite, la responsabilité de M.</w:t>
      </w:r>
      <w:r>
        <w:t> </w:t>
      </w:r>
      <w:r w:rsidRPr="00CC1666">
        <w:t>X</w:t>
      </w:r>
      <w:r>
        <w:t>,</w:t>
      </w:r>
      <w:r w:rsidRPr="00CC1666">
        <w:t xml:space="preserve"> trésorier-paye</w:t>
      </w:r>
      <w:r>
        <w:t xml:space="preserve">ur général, ne peut être engagée </w:t>
      </w:r>
      <w:r w:rsidRPr="00CC1666">
        <w:t>pour ce déficit ;</w:t>
      </w:r>
    </w:p>
    <w:p w:rsidR="00D47CD3" w:rsidRDefault="00D47CD3" w:rsidP="00BC0470">
      <w:pPr>
        <w:pStyle w:val="PS"/>
        <w:spacing w:after="360"/>
      </w:pPr>
      <w:r>
        <w:t xml:space="preserve">Attendu au total </w:t>
      </w:r>
      <w:r w:rsidRPr="00CC1666">
        <w:t>que la responsabilité de M.</w:t>
      </w:r>
      <w:r>
        <w:t> </w:t>
      </w:r>
      <w:r w:rsidRPr="00CC1666">
        <w:t>X doit</w:t>
      </w:r>
      <w:r>
        <w:t xml:space="preserve"> être engagée pour les déficits </w:t>
      </w:r>
      <w:r w:rsidRPr="00CC1666">
        <w:t xml:space="preserve">qui ont fait l’objet de l’injonction unique de l’arrêt </w:t>
      </w:r>
      <w:r>
        <w:t>n° </w:t>
      </w:r>
      <w:r w:rsidRPr="00CC1666">
        <w:t>50275 du 26</w:t>
      </w:r>
      <w:r>
        <w:t> </w:t>
      </w:r>
      <w:r w:rsidRPr="00CC1666">
        <w:t>septembre</w:t>
      </w:r>
      <w:r>
        <w:t> </w:t>
      </w:r>
      <w:r w:rsidRPr="00CC1666">
        <w:t>2007 susvisé, à l’exception du déficit de la régie du tribunal de grande instance de Cayenne ;</w:t>
      </w:r>
      <w:r>
        <w:t xml:space="preserve"> </w:t>
      </w:r>
    </w:p>
    <w:p w:rsidR="00D47CD3" w:rsidRPr="006D78D0" w:rsidRDefault="00D47CD3" w:rsidP="00BC0470">
      <w:pPr>
        <w:pStyle w:val="PS"/>
        <w:spacing w:after="360"/>
        <w:rPr>
          <w:shd w:val="clear" w:color="auto" w:fill="FFFFFF"/>
        </w:rPr>
      </w:pPr>
      <w:r>
        <w:t>Attendu qu’</w:t>
      </w:r>
      <w:r w:rsidRPr="00CC1666">
        <w:t>en effet</w:t>
      </w:r>
      <w:r>
        <w:t>,</w:t>
      </w:r>
      <w:r w:rsidRPr="00CC1666">
        <w:t xml:space="preserve"> aux termes de l’article 60 modifié susvisé de la loi de finances n° 63-</w:t>
      </w:r>
      <w:r>
        <w:t>156 du 23 </w:t>
      </w:r>
      <w:r w:rsidRPr="00CC1666">
        <w:t>février</w:t>
      </w:r>
      <w:r>
        <w:t> </w:t>
      </w:r>
      <w:r w:rsidRPr="00CC1666">
        <w:t xml:space="preserve">1963, </w:t>
      </w:r>
      <w:r w:rsidRPr="006D78D0">
        <w:t>l</w:t>
      </w:r>
      <w:r w:rsidRPr="006D78D0">
        <w:rPr>
          <w:shd w:val="clear" w:color="auto" w:fill="FFFFFF"/>
        </w:rPr>
        <w:t>a responsabilité personnelle et pécuniaire d’un comptable se trouve engagée « </w:t>
      </w:r>
      <w:r w:rsidRPr="006D78D0">
        <w:rPr>
          <w:i/>
          <w:iCs/>
          <w:shd w:val="clear" w:color="auto" w:fill="FFFFFF"/>
        </w:rPr>
        <w:t>dès lors qu’un déficit ou un manquant en monnaie ou en valeurs a été</w:t>
      </w:r>
      <w:r w:rsidRPr="006D78D0">
        <w:rPr>
          <w:shd w:val="clear" w:color="auto" w:fill="FFFFFF"/>
        </w:rPr>
        <w:t xml:space="preserve"> </w:t>
      </w:r>
      <w:r w:rsidRPr="006D78D0">
        <w:rPr>
          <w:i/>
          <w:iCs/>
          <w:shd w:val="clear" w:color="auto" w:fill="FFFFFF"/>
        </w:rPr>
        <w:t>constaté</w:t>
      </w:r>
      <w:r w:rsidRPr="006D78D0">
        <w:rPr>
          <w:shd w:val="clear" w:color="auto" w:fill="FFFFFF"/>
        </w:rPr>
        <w:t xml:space="preserve"> </w:t>
      </w:r>
      <w:r w:rsidRPr="006D78D0">
        <w:rPr>
          <w:i/>
          <w:iCs/>
        </w:rPr>
        <w:t>(par. I- al. 3) » ;</w:t>
      </w:r>
    </w:p>
    <w:p w:rsidR="00D47CD3" w:rsidRPr="00CC1666" w:rsidRDefault="00D47CD3" w:rsidP="00373399">
      <w:pPr>
        <w:pStyle w:val="BodyText"/>
        <w:spacing w:before="0" w:after="360" w:line="240" w:lineRule="exact"/>
        <w:ind w:left="1701"/>
        <w:rPr>
          <w:i/>
          <w:iCs/>
        </w:rPr>
      </w:pPr>
      <w:r w:rsidRPr="00CC1666">
        <w:rPr>
          <w:i/>
          <w:iCs/>
        </w:rPr>
        <w:t>La responsabilité pécuniaire d’un comptable public ne peut être mise en jeu que par … le juge des comptes (par. IV). Le comptable public dont la responsabilité pécuniaire est mise en jeu a l’obligation de verser immédiatement de ses deniers personnels une somme égale au montant de la perte (…) subie … (par. VI) » ;</w:t>
      </w:r>
    </w:p>
    <w:p w:rsidR="00D47CD3" w:rsidRPr="00CC1666" w:rsidRDefault="00D47CD3" w:rsidP="00BC0470">
      <w:pPr>
        <w:pStyle w:val="BodyText"/>
        <w:spacing w:before="0" w:after="360"/>
        <w:ind w:left="1701"/>
        <w:rPr>
          <w:i/>
          <w:iCs/>
        </w:rPr>
      </w:pPr>
      <w:r w:rsidRPr="00CC1666">
        <w:t>Attendu par ailleurs qu’aux termes du paragraphe VIII de l’article</w:t>
      </w:r>
      <w:r>
        <w:t> </w:t>
      </w:r>
      <w:r w:rsidRPr="00CC1666">
        <w:t>60 modifié susvisé, les intérêts</w:t>
      </w:r>
      <w:r w:rsidRPr="00CC1666">
        <w:rPr>
          <w:i/>
          <w:iCs/>
        </w:rPr>
        <w:t xml:space="preserve"> </w:t>
      </w:r>
      <w:r w:rsidRPr="00CC1666">
        <w:t xml:space="preserve">courent </w:t>
      </w:r>
      <w:r w:rsidRPr="00CC1666">
        <w:rPr>
          <w:i/>
          <w:iCs/>
        </w:rPr>
        <w:t>« au taux légal à compter du premier acte de la mise en jeu de la responsabilité personnelle et pécuniaire des comptables publics » ;</w:t>
      </w:r>
    </w:p>
    <w:p w:rsidR="00D47CD3" w:rsidRPr="00CC1666" w:rsidRDefault="00D47CD3" w:rsidP="00BC0470">
      <w:pPr>
        <w:pStyle w:val="BodyText"/>
        <w:spacing w:before="0" w:after="360"/>
        <w:ind w:left="1701"/>
      </w:pPr>
      <w:r w:rsidRPr="00CC1666">
        <w:t>Attendu que le premier acte de la mise en jeu de la responsabilité personnelle et pécuniaire des comptables est la notification à M. X de l’arrêt</w:t>
      </w:r>
      <w:r>
        <w:t> </w:t>
      </w:r>
      <w:r w:rsidRPr="00CC1666">
        <w:t>n° 50275</w:t>
      </w:r>
      <w:r>
        <w:t xml:space="preserve"> </w:t>
      </w:r>
      <w:r w:rsidRPr="00CC1666">
        <w:t>; que ce comptable a accusé réception dudit arrêt le 8 février 2008 ; que les intérêts doivent donc courir</w:t>
      </w:r>
      <w:r w:rsidRPr="00CC1666">
        <w:rPr>
          <w:b/>
          <w:bCs/>
        </w:rPr>
        <w:t xml:space="preserve"> </w:t>
      </w:r>
      <w:r w:rsidRPr="00CC1666">
        <w:t xml:space="preserve">à compter de cette date ; </w:t>
      </w:r>
    </w:p>
    <w:p w:rsidR="00D47CD3" w:rsidRPr="00CC1666" w:rsidRDefault="00D47CD3" w:rsidP="00373399">
      <w:pPr>
        <w:pStyle w:val="BodyText"/>
        <w:spacing w:before="0" w:after="360"/>
        <w:ind w:left="1701"/>
      </w:pPr>
      <w:r w:rsidRPr="00CC1666">
        <w:t>Par ces motifs,</w:t>
      </w:r>
    </w:p>
    <w:p w:rsidR="00D47CD3" w:rsidRDefault="00D47CD3" w:rsidP="00BC0470">
      <w:pPr>
        <w:pStyle w:val="BodyText"/>
        <w:spacing w:before="0" w:after="360"/>
        <w:ind w:left="1701"/>
      </w:pPr>
      <w:r>
        <w:t>L</w:t>
      </w:r>
      <w:r w:rsidRPr="00CC1666">
        <w:t>’injonction unique sur l’exercice 20</w:t>
      </w:r>
      <w:r>
        <w:t>03 (au 31 mars) est levée,</w:t>
      </w:r>
    </w:p>
    <w:p w:rsidR="00D47CD3" w:rsidRPr="002E7921" w:rsidRDefault="00D47CD3" w:rsidP="00BC0470">
      <w:pPr>
        <w:pStyle w:val="BodyText"/>
        <w:spacing w:before="0" w:after="360"/>
        <w:ind w:left="1701"/>
      </w:pPr>
      <w:r w:rsidRPr="0033312F">
        <w:t>M.</w:t>
      </w:r>
      <w:r>
        <w:t xml:space="preserve"> X</w:t>
      </w:r>
      <w:r w:rsidRPr="0033312F">
        <w:t xml:space="preserve"> est constitué débiteur envers l'Etat de</w:t>
      </w:r>
      <w:r>
        <w:t xml:space="preserve"> la</w:t>
      </w:r>
      <w:r w:rsidRPr="0033312F">
        <w:t xml:space="preserve"> somme de </w:t>
      </w:r>
      <w:r>
        <w:t>huit-cent cinquante-six mille deux-cent trente et un euros et cinquante cinq centimes (959 588,69 € - 103 357,14 € soit 856 231,55 €)</w:t>
      </w:r>
      <w:r w:rsidRPr="00FE114E">
        <w:t xml:space="preserve"> </w:t>
      </w:r>
      <w:r w:rsidRPr="0033312F">
        <w:t>au</w:t>
      </w:r>
      <w:r w:rsidRPr="00FE114E">
        <w:t xml:space="preserve"> </w:t>
      </w:r>
      <w:r>
        <w:t xml:space="preserve">titre de l'année 2003, </w:t>
      </w:r>
      <w:r w:rsidRPr="0033312F">
        <w:t xml:space="preserve">augmentée des intérêts de droit à compter du </w:t>
      </w:r>
      <w:r>
        <w:t>8 février 2008</w:t>
      </w:r>
      <w:r w:rsidRPr="002E7921">
        <w:t xml:space="preserve">, date de </w:t>
      </w:r>
      <w:r>
        <w:t xml:space="preserve">la réception par l’intéressé </w:t>
      </w:r>
      <w:r w:rsidRPr="002E7921">
        <w:t>d</w:t>
      </w:r>
      <w:r>
        <w:t>e l’arrêt susvisé</w:t>
      </w:r>
      <w:r w:rsidRPr="002E7921">
        <w:t>.</w:t>
      </w:r>
    </w:p>
    <w:p w:rsidR="00D47CD3" w:rsidRDefault="00D47CD3" w:rsidP="00373399">
      <w:pPr>
        <w:pStyle w:val="PS"/>
        <w:spacing w:after="360"/>
        <w:rPr>
          <w:b/>
          <w:bCs/>
        </w:rPr>
      </w:pPr>
      <w:r w:rsidRPr="006F40A5">
        <w:rPr>
          <w:b/>
          <w:bCs/>
        </w:rPr>
        <w:t>A l’</w:t>
      </w:r>
      <w:r>
        <w:rPr>
          <w:b/>
          <w:bCs/>
        </w:rPr>
        <w:t>é</w:t>
      </w:r>
      <w:r w:rsidRPr="006F40A5">
        <w:rPr>
          <w:b/>
          <w:bCs/>
        </w:rPr>
        <w:t>gard de M. </w:t>
      </w:r>
      <w:r>
        <w:rPr>
          <w:b/>
          <w:bCs/>
        </w:rPr>
        <w:t xml:space="preserve">Y </w:t>
      </w:r>
    </w:p>
    <w:p w:rsidR="00D47CD3" w:rsidRDefault="00D47CD3" w:rsidP="00373399">
      <w:pPr>
        <w:pStyle w:val="BodyText"/>
        <w:spacing w:before="0" w:after="360" w:line="240" w:lineRule="exact"/>
        <w:ind w:left="1701"/>
      </w:pPr>
      <w:r w:rsidRPr="00DB2F38">
        <w:rPr>
          <w:b/>
          <w:bCs/>
          <w:u w:val="single"/>
        </w:rPr>
        <w:t>Au titre de l’exercice 200</w:t>
      </w:r>
      <w:r>
        <w:rPr>
          <w:b/>
          <w:bCs/>
          <w:u w:val="single"/>
        </w:rPr>
        <w:t>5</w:t>
      </w:r>
    </w:p>
    <w:p w:rsidR="00D47CD3" w:rsidRPr="00E908F9" w:rsidRDefault="00D47CD3" w:rsidP="00373399">
      <w:pPr>
        <w:pStyle w:val="BodyText"/>
        <w:spacing w:before="0" w:after="360"/>
        <w:ind w:left="1701"/>
        <w:rPr>
          <w:b/>
          <w:bCs/>
          <w:u w:val="single"/>
        </w:rPr>
      </w:pPr>
      <w:r w:rsidRPr="00CA3FCB">
        <w:rPr>
          <w:b/>
          <w:bCs/>
          <w:u w:val="single"/>
        </w:rPr>
        <w:t>Suite donnée à l’injonction</w:t>
      </w:r>
      <w:r w:rsidRPr="00814C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unique de </w:t>
      </w:r>
      <w:r w:rsidRPr="00814C65">
        <w:rPr>
          <w:b/>
          <w:bCs/>
          <w:u w:val="single"/>
        </w:rPr>
        <w:t>l’arrêt n°</w:t>
      </w:r>
      <w:r>
        <w:rPr>
          <w:b/>
          <w:bCs/>
          <w:u w:val="single"/>
        </w:rPr>
        <w:t> 50275</w:t>
      </w:r>
      <w:r w:rsidRPr="00430A3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- </w:t>
      </w:r>
      <w:r w:rsidRPr="00E908F9">
        <w:rPr>
          <w:b/>
          <w:bCs/>
          <w:u w:val="single"/>
        </w:rPr>
        <w:t xml:space="preserve">Compte 461-11 « Décaissements à régulariser </w:t>
      </w:r>
      <w:r>
        <w:rPr>
          <w:b/>
          <w:bCs/>
          <w:u w:val="single"/>
        </w:rPr>
        <w:t xml:space="preserve">- </w:t>
      </w:r>
      <w:r w:rsidRPr="00E908F9">
        <w:rPr>
          <w:b/>
          <w:bCs/>
          <w:u w:val="single"/>
        </w:rPr>
        <w:t xml:space="preserve">Décaissements en instance de régularisation - Soldes débiteurs de nature à engager la </w:t>
      </w:r>
      <w:r>
        <w:rPr>
          <w:b/>
          <w:bCs/>
          <w:u w:val="single"/>
        </w:rPr>
        <w:t>responsabilité des comptables »</w:t>
      </w:r>
    </w:p>
    <w:p w:rsidR="00D47CD3" w:rsidRPr="00A36EC0" w:rsidRDefault="00D47CD3" w:rsidP="00985700">
      <w:pPr>
        <w:pStyle w:val="BodyText"/>
        <w:spacing w:before="0" w:after="360" w:line="240" w:lineRule="exact"/>
        <w:ind w:left="1701"/>
      </w:pPr>
      <w:r w:rsidRPr="00A36EC0">
        <w:t>Attendu qu’il a été enjoint à M.</w:t>
      </w:r>
      <w:r>
        <w:t> </w:t>
      </w:r>
      <w:r w:rsidRPr="00A36EC0">
        <w:t>Y d’apporter la preuve du versement de la somme de 27 715,69 € pour avoir indûment apuré une partie du déficit du compte</w:t>
      </w:r>
      <w:r>
        <w:t> </w:t>
      </w:r>
      <w:r w:rsidRPr="00A36EC0">
        <w:t>369-100 « régisseur de l’Etat -avances en francs- avances pour dépenses des régisseurs</w:t>
      </w:r>
      <w:r>
        <w:t xml:space="preserve"> d’avances</w:t>
      </w:r>
      <w:r w:rsidRPr="00A36EC0">
        <w:t> » par transport au compte 461-11 puis par débit du compte</w:t>
      </w:r>
      <w:r>
        <w:t> </w:t>
      </w:r>
      <w:r w:rsidRPr="00A36EC0">
        <w:t>900-00 « budget</w:t>
      </w:r>
      <w:r>
        <w:t> </w:t>
      </w:r>
      <w:r w:rsidRPr="00A36EC0">
        <w:t>général -dépenses- dépenses payables sans ordonnancement – dépenses ordinaires des services civils » ;</w:t>
      </w:r>
    </w:p>
    <w:p w:rsidR="00D47CD3" w:rsidRPr="00A36EC0" w:rsidRDefault="00D47CD3" w:rsidP="00BC0470">
      <w:pPr>
        <w:pStyle w:val="PS"/>
        <w:spacing w:after="360"/>
      </w:pPr>
      <w:r w:rsidRPr="00A36EC0">
        <w:br w:type="page"/>
        <w:t xml:space="preserve">Attendu que l’instruction </w:t>
      </w:r>
      <w:r>
        <w:t>n° </w:t>
      </w:r>
      <w:r w:rsidRPr="00A36EC0">
        <w:t>99-013-A1 du 9</w:t>
      </w:r>
      <w:r>
        <w:t> </w:t>
      </w:r>
      <w:r w:rsidRPr="00A36EC0">
        <w:t>août</w:t>
      </w:r>
      <w:r>
        <w:t> </w:t>
      </w:r>
      <w:r w:rsidRPr="00A36EC0">
        <w:t xml:space="preserve">1999 prévoit </w:t>
      </w:r>
      <w:r>
        <w:t xml:space="preserve">que </w:t>
      </w:r>
      <w:r w:rsidRPr="00A36EC0">
        <w:t xml:space="preserve">ces modalités d’apurement </w:t>
      </w:r>
      <w:r>
        <w:t xml:space="preserve">s’appliquent uniquement aux </w:t>
      </w:r>
      <w:r w:rsidRPr="00A36EC0">
        <w:t xml:space="preserve">cotisations d’impôt direct dont la prescription est intervenue au cours d’un exercice au titre duquel le trésorier-payeur général a obtenu décharge ou quitus ; que </w:t>
      </w:r>
      <w:r>
        <w:t>l’</w:t>
      </w:r>
      <w:r w:rsidRPr="00A36EC0">
        <w:t xml:space="preserve">apurement </w:t>
      </w:r>
      <w:r>
        <w:t xml:space="preserve">précité </w:t>
      </w:r>
      <w:r w:rsidRPr="00A36EC0">
        <w:t>était donc en l’espèce irrégulier ;</w:t>
      </w:r>
    </w:p>
    <w:p w:rsidR="00D47CD3" w:rsidRPr="00A36EC0" w:rsidRDefault="00D47CD3" w:rsidP="006D78D0">
      <w:pPr>
        <w:pStyle w:val="PS"/>
        <w:spacing w:after="360"/>
      </w:pPr>
      <w:r w:rsidRPr="00A36EC0">
        <w:t>Considérant toutefois que, comme exposé ci-avant, la responsabilité du régisseur de la régie du tribunal de grande instance de Cayenne n’a pas pu être mise en cause ; que, par suite, la responsabilité du trésorier-payeur général ne peut être engagée en raison des opérations de son régisseur ;</w:t>
      </w:r>
    </w:p>
    <w:p w:rsidR="00D47CD3" w:rsidRPr="00A36EC0" w:rsidRDefault="00D47CD3" w:rsidP="00373399">
      <w:pPr>
        <w:pStyle w:val="BodyText"/>
        <w:spacing w:before="0" w:after="360" w:line="240" w:lineRule="exact"/>
        <w:ind w:left="1701"/>
      </w:pPr>
      <w:r w:rsidRPr="00A36EC0">
        <w:t>- L’injonction est levée.</w:t>
      </w:r>
    </w:p>
    <w:p w:rsidR="00D47CD3" w:rsidRPr="00E908F9" w:rsidRDefault="00D47CD3" w:rsidP="00373399">
      <w:pPr>
        <w:pStyle w:val="BodyText"/>
        <w:spacing w:before="0" w:after="360"/>
        <w:ind w:left="1701"/>
        <w:rPr>
          <w:b/>
          <w:bCs/>
          <w:u w:val="single"/>
        </w:rPr>
      </w:pPr>
      <w:r w:rsidRPr="00CA3FCB">
        <w:rPr>
          <w:b/>
          <w:bCs/>
          <w:u w:val="single"/>
        </w:rPr>
        <w:t xml:space="preserve">Suite donnée à </w:t>
      </w:r>
      <w:r>
        <w:rPr>
          <w:b/>
          <w:bCs/>
          <w:u w:val="single"/>
        </w:rPr>
        <w:t xml:space="preserve">la réserve n° 1 de </w:t>
      </w:r>
      <w:r w:rsidRPr="00814C65">
        <w:rPr>
          <w:b/>
          <w:bCs/>
          <w:u w:val="single"/>
        </w:rPr>
        <w:t>l’arrêt n°</w:t>
      </w:r>
      <w:r>
        <w:rPr>
          <w:b/>
          <w:bCs/>
          <w:u w:val="single"/>
        </w:rPr>
        <w:t> 50275</w:t>
      </w:r>
      <w:r w:rsidRPr="00430A3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- </w:t>
      </w:r>
      <w:r w:rsidRPr="00E908F9">
        <w:rPr>
          <w:b/>
          <w:bCs/>
          <w:u w:val="single"/>
        </w:rPr>
        <w:t xml:space="preserve">Compte 461-11 « Décaissements à régulariser </w:t>
      </w:r>
      <w:r>
        <w:rPr>
          <w:b/>
          <w:bCs/>
          <w:u w:val="single"/>
        </w:rPr>
        <w:t xml:space="preserve">- </w:t>
      </w:r>
      <w:r w:rsidRPr="00E908F9">
        <w:rPr>
          <w:b/>
          <w:bCs/>
          <w:u w:val="single"/>
        </w:rPr>
        <w:t xml:space="preserve">Décaissements en instance de régularisation - Soldes débiteurs de nature à engager la </w:t>
      </w:r>
      <w:r>
        <w:rPr>
          <w:b/>
          <w:bCs/>
          <w:u w:val="single"/>
        </w:rPr>
        <w:t>responsabilité des comptables »</w:t>
      </w:r>
    </w:p>
    <w:p w:rsidR="00D47CD3" w:rsidRDefault="00D47CD3" w:rsidP="006D78D0">
      <w:pPr>
        <w:pStyle w:val="BodyText"/>
        <w:spacing w:before="0" w:after="360" w:line="240" w:lineRule="exact"/>
        <w:ind w:left="1701"/>
      </w:pPr>
      <w:r>
        <w:t>Attendu qu’il a été fait réserve de la gestion de M. Y pour un montant de 64 522,45 € jusqu’à preuve de l’apurement des opérations ci-après :</w:t>
      </w:r>
    </w:p>
    <w:tbl>
      <w:tblPr>
        <w:tblW w:w="8788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7"/>
        <w:gridCol w:w="1418"/>
        <w:gridCol w:w="2693"/>
        <w:gridCol w:w="1701"/>
        <w:gridCol w:w="1559"/>
      </w:tblGrid>
      <w:tr w:rsidR="00D47CD3">
        <w:tc>
          <w:tcPr>
            <w:tcW w:w="1417" w:type="dxa"/>
            <w:vAlign w:val="center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d’écriture</w:t>
            </w:r>
          </w:p>
        </w:tc>
        <w:tc>
          <w:tcPr>
            <w:tcW w:w="1418" w:type="dxa"/>
            <w:vAlign w:val="center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N° ordre</w:t>
            </w:r>
          </w:p>
        </w:tc>
        <w:tc>
          <w:tcPr>
            <w:tcW w:w="2693" w:type="dxa"/>
            <w:vAlign w:val="center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de l’opération</w:t>
            </w:r>
          </w:p>
        </w:tc>
        <w:tc>
          <w:tcPr>
            <w:tcW w:w="1701" w:type="dxa"/>
            <w:vAlign w:val="center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Solde du compte</w:t>
            </w:r>
          </w:p>
        </w:tc>
        <w:tc>
          <w:tcPr>
            <w:tcW w:w="1559" w:type="dxa"/>
            <w:vAlign w:val="center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Reste à recouvrer</w:t>
            </w:r>
          </w:p>
        </w:tc>
      </w:tr>
      <w:tr w:rsidR="00D47CD3" w:rsidTr="00846893">
        <w:tc>
          <w:tcPr>
            <w:tcW w:w="1417" w:type="dxa"/>
            <w:vAlign w:val="center"/>
          </w:tcPr>
          <w:p w:rsidR="00D47CD3" w:rsidRDefault="00D47CD3" w:rsidP="00846893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19-10-2005</w:t>
            </w:r>
          </w:p>
        </w:tc>
        <w:tc>
          <w:tcPr>
            <w:tcW w:w="1418" w:type="dxa"/>
            <w:vAlign w:val="center"/>
          </w:tcPr>
          <w:p w:rsidR="00D47CD3" w:rsidRDefault="00D47CD3" w:rsidP="00846893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2005-5805</w:t>
            </w:r>
          </w:p>
        </w:tc>
        <w:tc>
          <w:tcPr>
            <w:tcW w:w="2693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Remboursement prime pour l'emploi-C</w:t>
            </w:r>
          </w:p>
        </w:tc>
        <w:tc>
          <w:tcPr>
            <w:tcW w:w="1701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996,00 €</w:t>
            </w:r>
          </w:p>
        </w:tc>
        <w:tc>
          <w:tcPr>
            <w:tcW w:w="1559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996,00 €</w:t>
            </w:r>
          </w:p>
        </w:tc>
      </w:tr>
      <w:tr w:rsidR="00D47CD3">
        <w:tc>
          <w:tcPr>
            <w:tcW w:w="1417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09-12-2005</w:t>
            </w:r>
          </w:p>
        </w:tc>
        <w:tc>
          <w:tcPr>
            <w:tcW w:w="1418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2005-7139</w:t>
            </w:r>
          </w:p>
        </w:tc>
        <w:tc>
          <w:tcPr>
            <w:tcW w:w="2693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1 044,61 €</w:t>
            </w:r>
          </w:p>
        </w:tc>
        <w:tc>
          <w:tcPr>
            <w:tcW w:w="1559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456,61 €</w:t>
            </w:r>
          </w:p>
        </w:tc>
      </w:tr>
      <w:tr w:rsidR="00D47CD3" w:rsidTr="00846893">
        <w:tc>
          <w:tcPr>
            <w:tcW w:w="1417" w:type="dxa"/>
            <w:vAlign w:val="center"/>
          </w:tcPr>
          <w:p w:rsidR="00D47CD3" w:rsidRDefault="00D47CD3" w:rsidP="00846893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13-12-2005</w:t>
            </w:r>
          </w:p>
        </w:tc>
        <w:tc>
          <w:tcPr>
            <w:tcW w:w="1418" w:type="dxa"/>
            <w:vAlign w:val="center"/>
          </w:tcPr>
          <w:p w:rsidR="00D47CD3" w:rsidRDefault="00D47CD3" w:rsidP="00846893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2005-7268</w:t>
            </w:r>
          </w:p>
        </w:tc>
        <w:tc>
          <w:tcPr>
            <w:tcW w:w="2693" w:type="dxa"/>
          </w:tcPr>
          <w:p w:rsidR="00D47CD3" w:rsidRPr="001C6C21" w:rsidRDefault="00D47CD3" w:rsidP="001C6C21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6C21">
              <w:rPr>
                <w:rFonts w:ascii="Times New Roman" w:hAnsi="Times New Roman" w:cs="Times New Roman"/>
                <w:sz w:val="20"/>
                <w:szCs w:val="20"/>
              </w:rPr>
              <w:t>Débet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1C6C21">
              <w:rPr>
                <w:rFonts w:ascii="Times New Roman" w:hAnsi="Times New Roman" w:cs="Times New Roman"/>
                <w:sz w:val="20"/>
                <w:szCs w:val="20"/>
              </w:rPr>
              <w:t xml:space="preserve"> aff.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8150,84 €</w:t>
            </w:r>
          </w:p>
        </w:tc>
        <w:tc>
          <w:tcPr>
            <w:tcW w:w="1559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47CD3">
        <w:tc>
          <w:tcPr>
            <w:tcW w:w="1417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27-12-2005</w:t>
            </w:r>
          </w:p>
        </w:tc>
        <w:tc>
          <w:tcPr>
            <w:tcW w:w="1418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2005-7571</w:t>
            </w:r>
          </w:p>
        </w:tc>
        <w:tc>
          <w:tcPr>
            <w:tcW w:w="2693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Affaire G</w:t>
            </w:r>
          </w:p>
        </w:tc>
        <w:tc>
          <w:tcPr>
            <w:tcW w:w="1701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54 331,00 €</w:t>
            </w:r>
          </w:p>
        </w:tc>
        <w:tc>
          <w:tcPr>
            <w:tcW w:w="1559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16 375,97 €</w:t>
            </w:r>
          </w:p>
        </w:tc>
      </w:tr>
      <w:tr w:rsidR="00D47CD3">
        <w:tc>
          <w:tcPr>
            <w:tcW w:w="1417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8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D47CD3" w:rsidRDefault="00D47CD3" w:rsidP="006202A5">
            <w:pPr>
              <w:pStyle w:val="StyleCorpsdetext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64 522,45 €</w:t>
            </w:r>
          </w:p>
        </w:tc>
        <w:tc>
          <w:tcPr>
            <w:tcW w:w="1559" w:type="dxa"/>
          </w:tcPr>
          <w:p w:rsidR="00D47CD3" w:rsidRDefault="00D47CD3" w:rsidP="006202A5">
            <w:pPr>
              <w:pStyle w:val="StyleCorpsdetexte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17 828,58 €</w:t>
            </w:r>
          </w:p>
        </w:tc>
      </w:tr>
    </w:tbl>
    <w:p w:rsidR="00D47CD3" w:rsidRDefault="00D47CD3" w:rsidP="00A36EC0">
      <w:pPr>
        <w:pStyle w:val="BodyText"/>
        <w:spacing w:before="360" w:after="360" w:line="240" w:lineRule="exact"/>
        <w:ind w:left="1701"/>
      </w:pPr>
      <w:r>
        <w:t>Attendu que le comptable a indiqué en réponse les diligences faites, lesquelles avaient permis la réduction de ces restes à recouvrer ;</w:t>
      </w:r>
    </w:p>
    <w:p w:rsidR="00D47CD3" w:rsidRDefault="00D47CD3" w:rsidP="00A36EC0">
      <w:pPr>
        <w:pStyle w:val="BodyText"/>
        <w:spacing w:after="360" w:line="240" w:lineRule="exact"/>
        <w:ind w:left="1701"/>
      </w:pPr>
      <w:r>
        <w:t>Considérant lesdites diligences comme suffisantes et adéquates ;</w:t>
      </w:r>
    </w:p>
    <w:p w:rsidR="00D47CD3" w:rsidRDefault="00D47CD3" w:rsidP="00A36EC0">
      <w:pPr>
        <w:pStyle w:val="BodyText"/>
        <w:spacing w:after="360" w:line="240" w:lineRule="exact"/>
        <w:ind w:left="1701"/>
      </w:pPr>
      <w:r>
        <w:t>La réserve est levée.</w:t>
      </w:r>
    </w:p>
    <w:p w:rsidR="00D47CD3" w:rsidRDefault="00D47CD3" w:rsidP="00C65DCE">
      <w:pPr>
        <w:pStyle w:val="BodyText"/>
        <w:spacing w:before="0" w:after="240" w:line="240" w:lineRule="exact"/>
        <w:ind w:left="1701"/>
      </w:pPr>
      <w:r>
        <w:rPr>
          <w:b/>
          <w:bCs/>
          <w:u w:val="single"/>
        </w:rPr>
        <w:br w:type="page"/>
      </w:r>
      <w:r w:rsidRPr="00CA3FCB">
        <w:rPr>
          <w:b/>
          <w:bCs/>
          <w:u w:val="single"/>
        </w:rPr>
        <w:t xml:space="preserve">Suite donnée à </w:t>
      </w:r>
      <w:r>
        <w:rPr>
          <w:b/>
          <w:bCs/>
          <w:u w:val="single"/>
        </w:rPr>
        <w:t xml:space="preserve">la réserve n° 2 de </w:t>
      </w:r>
      <w:r w:rsidRPr="00814C65">
        <w:rPr>
          <w:b/>
          <w:bCs/>
          <w:u w:val="single"/>
        </w:rPr>
        <w:t>l’arrêt n°</w:t>
      </w:r>
      <w:r>
        <w:rPr>
          <w:b/>
          <w:bCs/>
          <w:u w:val="single"/>
        </w:rPr>
        <w:t> 50275 – Compte 461</w:t>
      </w:r>
      <w:r>
        <w:rPr>
          <w:b/>
          <w:bCs/>
          <w:u w:val="single"/>
        </w:rPr>
        <w:noBreakHyphen/>
        <w:t>212 « Décaissements à régulariser - Déficits des comptables avant la prise d’un arrêté de débet - Comptables - Refus de sursis de versement »</w:t>
      </w:r>
    </w:p>
    <w:p w:rsidR="00D47CD3" w:rsidRDefault="00D47CD3" w:rsidP="00C65DCE">
      <w:pPr>
        <w:pStyle w:val="StyleCorpsdetexte"/>
        <w:spacing w:after="24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que deux opérations, d’un montant de 3 611 672,73 €, restaient non apurées ; qu’il avait été indiqué à la Cour que des demandes en remise gracieuse ou décharge de responsabilité du comptable étaient en instance à la date à laquelle la Cour a rendu son arrêt provisoire ; que la Cour avait en conséquence émis une réserve sur la gestion 2005 de M. Y jusqu’à preuve de l’apurement de ces opérations ;</w:t>
      </w:r>
    </w:p>
    <w:p w:rsidR="00D47CD3" w:rsidRDefault="00D47CD3" w:rsidP="00A36EC0">
      <w:pPr>
        <w:pStyle w:val="StyleCorpsdetexte"/>
        <w:spacing w:after="360"/>
        <w:ind w:left="1701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 que le comptable a produit les décisions portant remise gracieuse prises par le ministre du budget, des comptes publics et de la fonction publique le 18 février 2008 ;</w:t>
      </w:r>
    </w:p>
    <w:p w:rsidR="00D47CD3" w:rsidRDefault="00D47CD3" w:rsidP="00C65DCE">
      <w:pPr>
        <w:pStyle w:val="BodyText"/>
        <w:spacing w:after="120" w:line="240" w:lineRule="exact"/>
        <w:ind w:left="1701"/>
      </w:pPr>
      <w:r>
        <w:t>La réserve est levée.</w:t>
      </w:r>
    </w:p>
    <w:p w:rsidR="00D47CD3" w:rsidRDefault="00D47CD3" w:rsidP="00C65DCE">
      <w:pPr>
        <w:pStyle w:val="PS"/>
        <w:spacing w:after="240"/>
        <w:ind w:firstLine="0"/>
        <w:jc w:val="center"/>
      </w:pPr>
      <w:r>
        <w:t>----------</w:t>
      </w:r>
    </w:p>
    <w:p w:rsidR="00D47CD3" w:rsidRDefault="00D47CD3" w:rsidP="00C65DCE">
      <w:pPr>
        <w:pStyle w:val="PS"/>
        <w:spacing w:after="240"/>
      </w:pPr>
      <w:r>
        <w:t>Fait et jugé en la Cour des comptes, première chambre, première section, séance du vingt-six mai et délibéré du deux juin deux mil dix, présents : </w:t>
      </w:r>
      <w:r w:rsidRPr="00A76C94">
        <w:t>M</w:t>
      </w:r>
      <w:r w:rsidRPr="00A76C94">
        <w:rPr>
          <w:vertAlign w:val="superscript"/>
        </w:rPr>
        <w:t>me</w:t>
      </w:r>
      <w:r>
        <w:t> Fradin, président de section, M. X.</w:t>
      </w:r>
      <w:r>
        <w:noBreakHyphen/>
        <w:t xml:space="preserve">H. Martin, </w:t>
      </w:r>
      <w:r w:rsidRPr="00624324">
        <w:t>M</w:t>
      </w:r>
      <w:r w:rsidRPr="00624324">
        <w:rPr>
          <w:vertAlign w:val="superscript"/>
        </w:rPr>
        <w:t>mes</w:t>
      </w:r>
      <w:r>
        <w:t> Moati et Dos Reis, conseillers maîtres.</w:t>
      </w:r>
    </w:p>
    <w:p w:rsidR="00D47CD3" w:rsidRDefault="00D47CD3" w:rsidP="00C65DCE">
      <w:pPr>
        <w:pStyle w:val="PS"/>
        <w:spacing w:before="240" w:after="240"/>
      </w:pPr>
      <w:r>
        <w:t>Signé : Fradin, président de section, et Rackelboom, greffier.</w:t>
      </w:r>
    </w:p>
    <w:p w:rsidR="00D47CD3" w:rsidRDefault="00D47CD3" w:rsidP="00C65DCE">
      <w:pPr>
        <w:pStyle w:val="PS"/>
        <w:spacing w:before="240" w:after="120"/>
      </w:pPr>
      <w:r>
        <w:t>Collationné, certifié conforme à la minute étant au greffe de la Cour des comptes.</w:t>
      </w:r>
    </w:p>
    <w:p w:rsidR="00D47CD3" w:rsidRPr="00890938" w:rsidRDefault="00D47CD3" w:rsidP="00C65DCE">
      <w:pPr>
        <w:pStyle w:val="PS"/>
        <w:spacing w:before="240" w:after="120"/>
      </w:pPr>
      <w:r w:rsidRPr="00890938">
        <w:t>En conséquence, la République mande et ordonne à tous huissiers de justice, sur ce requis, de mettre ledit arrêt à exécution, aux procureurs généraux et aux procureurs de la République près les tribunaux de grande instance d'y tenir la main, à</w:t>
      </w:r>
      <w:r>
        <w:t xml:space="preserve"> </w:t>
      </w:r>
      <w:r w:rsidRPr="00890938">
        <w:t>tous commandants et officiers de la force publique de prêter main forte lorsqu'ils en seront légalement requis.</w:t>
      </w:r>
    </w:p>
    <w:p w:rsidR="00D47CD3" w:rsidRDefault="00D47CD3" w:rsidP="00C65DCE">
      <w:pPr>
        <w:pStyle w:val="PS"/>
        <w:spacing w:before="240" w:after="0"/>
      </w:pPr>
      <w:r w:rsidRPr="00890938">
        <w:t>Délivré par moi, secrétaire général.</w:t>
      </w:r>
    </w:p>
    <w:p w:rsidR="00D47CD3" w:rsidRPr="00C65DCE" w:rsidRDefault="00D47CD3" w:rsidP="00C65DCE">
      <w:pPr>
        <w:pStyle w:val="P0"/>
        <w:ind w:left="2268" w:firstLine="4111"/>
        <w:jc w:val="center"/>
        <w:rPr>
          <w:b/>
          <w:bCs/>
        </w:rPr>
      </w:pPr>
      <w:r w:rsidRPr="00C65DCE">
        <w:rPr>
          <w:b/>
          <w:bCs/>
        </w:rPr>
        <w:t>Pour le Secrétaire général</w:t>
      </w: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  <w:r w:rsidRPr="00C65DCE">
        <w:rPr>
          <w:b/>
          <w:bCs/>
        </w:rPr>
        <w:t>et par délégation,</w:t>
      </w: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  <w:r w:rsidRPr="00C65DCE">
        <w:rPr>
          <w:b/>
          <w:bCs/>
        </w:rPr>
        <w:t>le chef du greffe contentieux</w:t>
      </w: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Pr="00C65DCE" w:rsidRDefault="00D47CD3" w:rsidP="00EE48CD">
      <w:pPr>
        <w:pStyle w:val="P0"/>
        <w:ind w:left="2268" w:firstLine="4111"/>
        <w:jc w:val="center"/>
        <w:rPr>
          <w:b/>
          <w:bCs/>
        </w:rPr>
      </w:pPr>
      <w:r w:rsidRPr="00C65DCE">
        <w:rPr>
          <w:b/>
          <w:bCs/>
        </w:rPr>
        <w:t>Daniel FEREZ</w:t>
      </w:r>
    </w:p>
    <w:p w:rsidR="00D47CD3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Default="00D47CD3" w:rsidP="00EE48CD">
      <w:pPr>
        <w:pStyle w:val="P0"/>
        <w:ind w:left="2268" w:firstLine="4111"/>
        <w:jc w:val="center"/>
        <w:rPr>
          <w:b/>
          <w:bCs/>
        </w:rPr>
      </w:pPr>
    </w:p>
    <w:p w:rsidR="00D47CD3" w:rsidRPr="001C6C21" w:rsidRDefault="00D47CD3" w:rsidP="001C6C21">
      <w:pPr>
        <w:pStyle w:val="PS"/>
      </w:pPr>
      <w:r w:rsidRPr="00C65DCE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D47CD3" w:rsidRPr="001C6C21" w:rsidSect="00793247">
      <w:pgSz w:w="11907" w:h="16840"/>
      <w:pgMar w:top="1418" w:right="1134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CD3" w:rsidRDefault="00D47CD3">
      <w:r>
        <w:separator/>
      </w:r>
    </w:p>
  </w:endnote>
  <w:endnote w:type="continuationSeparator" w:id="0">
    <w:p w:rsidR="00D47CD3" w:rsidRDefault="00D47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CD3" w:rsidRDefault="00D47CD3">
      <w:r>
        <w:separator/>
      </w:r>
    </w:p>
  </w:footnote>
  <w:footnote w:type="continuationSeparator" w:id="0">
    <w:p w:rsidR="00D47CD3" w:rsidRDefault="00D47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D3" w:rsidRPr="00B15512" w:rsidRDefault="00D47CD3" w:rsidP="005366A9">
    <w:pPr>
      <w:pStyle w:val="Header"/>
      <w:jc w:val="right"/>
      <w:rPr>
        <w:sz w:val="24"/>
        <w:szCs w:val="24"/>
      </w:rPr>
    </w:pPr>
    <w:r w:rsidRPr="00B15512">
      <w:rPr>
        <w:rStyle w:val="PageNumber"/>
        <w:sz w:val="24"/>
        <w:szCs w:val="24"/>
      </w:rPr>
      <w:fldChar w:fldCharType="begin"/>
    </w:r>
    <w:r w:rsidRPr="00B15512">
      <w:rPr>
        <w:rStyle w:val="PageNumber"/>
        <w:sz w:val="24"/>
        <w:szCs w:val="24"/>
      </w:rPr>
      <w:instrText xml:space="preserve"> PAGE </w:instrText>
    </w:r>
    <w:r w:rsidRPr="00B15512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8</w:t>
    </w:r>
    <w:r w:rsidRPr="00B15512">
      <w:rPr>
        <w:rStyle w:val="PageNumber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78A6"/>
    <w:multiLevelType w:val="hybridMultilevel"/>
    <w:tmpl w:val="1C203ED4"/>
    <w:lvl w:ilvl="0" w:tplc="04CC4A7E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052FB"/>
    <w:rsid w:val="000108BF"/>
    <w:rsid w:val="00012A2C"/>
    <w:rsid w:val="00015322"/>
    <w:rsid w:val="0002731D"/>
    <w:rsid w:val="00060428"/>
    <w:rsid w:val="00083A42"/>
    <w:rsid w:val="00084326"/>
    <w:rsid w:val="000B2EE9"/>
    <w:rsid w:val="000B3B23"/>
    <w:rsid w:val="000C3E39"/>
    <w:rsid w:val="00100C9A"/>
    <w:rsid w:val="00102DB3"/>
    <w:rsid w:val="00103FD7"/>
    <w:rsid w:val="00106114"/>
    <w:rsid w:val="00115BD6"/>
    <w:rsid w:val="00121AB3"/>
    <w:rsid w:val="001349A5"/>
    <w:rsid w:val="001376D6"/>
    <w:rsid w:val="001539E1"/>
    <w:rsid w:val="00167A4C"/>
    <w:rsid w:val="001847D0"/>
    <w:rsid w:val="001A7F6A"/>
    <w:rsid w:val="001B3F80"/>
    <w:rsid w:val="001C6C21"/>
    <w:rsid w:val="001C6D2B"/>
    <w:rsid w:val="001D1AA5"/>
    <w:rsid w:val="001F406B"/>
    <w:rsid w:val="001F7155"/>
    <w:rsid w:val="002213C1"/>
    <w:rsid w:val="002265D5"/>
    <w:rsid w:val="00227104"/>
    <w:rsid w:val="00242AB0"/>
    <w:rsid w:val="00260E97"/>
    <w:rsid w:val="00263BD5"/>
    <w:rsid w:val="00272772"/>
    <w:rsid w:val="002955D8"/>
    <w:rsid w:val="002A789C"/>
    <w:rsid w:val="002B0244"/>
    <w:rsid w:val="002B12D1"/>
    <w:rsid w:val="002C626C"/>
    <w:rsid w:val="002D6406"/>
    <w:rsid w:val="002E7921"/>
    <w:rsid w:val="002F5361"/>
    <w:rsid w:val="00301BFD"/>
    <w:rsid w:val="003110CF"/>
    <w:rsid w:val="00313DC8"/>
    <w:rsid w:val="003213BB"/>
    <w:rsid w:val="0033312F"/>
    <w:rsid w:val="00335658"/>
    <w:rsid w:val="00336188"/>
    <w:rsid w:val="003421B2"/>
    <w:rsid w:val="003433A9"/>
    <w:rsid w:val="00363BDA"/>
    <w:rsid w:val="00373399"/>
    <w:rsid w:val="003C043B"/>
    <w:rsid w:val="003C1B59"/>
    <w:rsid w:val="003D34CE"/>
    <w:rsid w:val="003E5251"/>
    <w:rsid w:val="003E637E"/>
    <w:rsid w:val="003F0C89"/>
    <w:rsid w:val="0040356A"/>
    <w:rsid w:val="00407A56"/>
    <w:rsid w:val="004138ED"/>
    <w:rsid w:val="004157BD"/>
    <w:rsid w:val="00417771"/>
    <w:rsid w:val="00430A32"/>
    <w:rsid w:val="004C3006"/>
    <w:rsid w:val="004D6228"/>
    <w:rsid w:val="00501F68"/>
    <w:rsid w:val="005366A9"/>
    <w:rsid w:val="0057211F"/>
    <w:rsid w:val="00576678"/>
    <w:rsid w:val="00581341"/>
    <w:rsid w:val="00590D41"/>
    <w:rsid w:val="005A02FC"/>
    <w:rsid w:val="005B1B2C"/>
    <w:rsid w:val="005B4596"/>
    <w:rsid w:val="005B6747"/>
    <w:rsid w:val="005C57D8"/>
    <w:rsid w:val="005F15CB"/>
    <w:rsid w:val="005F18EF"/>
    <w:rsid w:val="005F764B"/>
    <w:rsid w:val="006044D9"/>
    <w:rsid w:val="006106F0"/>
    <w:rsid w:val="006202A5"/>
    <w:rsid w:val="00624324"/>
    <w:rsid w:val="00624F67"/>
    <w:rsid w:val="00625A94"/>
    <w:rsid w:val="00626D41"/>
    <w:rsid w:val="00654EB1"/>
    <w:rsid w:val="00661A0F"/>
    <w:rsid w:val="006760AB"/>
    <w:rsid w:val="006A6D3C"/>
    <w:rsid w:val="006B1073"/>
    <w:rsid w:val="006C7427"/>
    <w:rsid w:val="006D78D0"/>
    <w:rsid w:val="006E43B9"/>
    <w:rsid w:val="006F2616"/>
    <w:rsid w:val="006F3258"/>
    <w:rsid w:val="006F40A5"/>
    <w:rsid w:val="007134CA"/>
    <w:rsid w:val="00746AA5"/>
    <w:rsid w:val="00747C36"/>
    <w:rsid w:val="00750FE8"/>
    <w:rsid w:val="00752CA7"/>
    <w:rsid w:val="007622B9"/>
    <w:rsid w:val="00763655"/>
    <w:rsid w:val="00793247"/>
    <w:rsid w:val="00794A1B"/>
    <w:rsid w:val="007A3E17"/>
    <w:rsid w:val="007A7419"/>
    <w:rsid w:val="007D6884"/>
    <w:rsid w:val="007D7788"/>
    <w:rsid w:val="007F027F"/>
    <w:rsid w:val="007F320D"/>
    <w:rsid w:val="007F6D32"/>
    <w:rsid w:val="00814C65"/>
    <w:rsid w:val="00837C74"/>
    <w:rsid w:val="00846893"/>
    <w:rsid w:val="00847EA9"/>
    <w:rsid w:val="00882873"/>
    <w:rsid w:val="00890938"/>
    <w:rsid w:val="00893C0D"/>
    <w:rsid w:val="008955E1"/>
    <w:rsid w:val="008B3A65"/>
    <w:rsid w:val="00907722"/>
    <w:rsid w:val="00947C81"/>
    <w:rsid w:val="00985700"/>
    <w:rsid w:val="0099060A"/>
    <w:rsid w:val="009B33EB"/>
    <w:rsid w:val="009F24FA"/>
    <w:rsid w:val="00A352A3"/>
    <w:rsid w:val="00A36EC0"/>
    <w:rsid w:val="00A373C4"/>
    <w:rsid w:val="00A75502"/>
    <w:rsid w:val="00A76C94"/>
    <w:rsid w:val="00A872D9"/>
    <w:rsid w:val="00A939B2"/>
    <w:rsid w:val="00AA3A9F"/>
    <w:rsid w:val="00AB2D37"/>
    <w:rsid w:val="00AF0B26"/>
    <w:rsid w:val="00B15512"/>
    <w:rsid w:val="00B31535"/>
    <w:rsid w:val="00B71B11"/>
    <w:rsid w:val="00B74539"/>
    <w:rsid w:val="00B76462"/>
    <w:rsid w:val="00BA3B37"/>
    <w:rsid w:val="00BB1EE7"/>
    <w:rsid w:val="00BC0470"/>
    <w:rsid w:val="00BC1AD2"/>
    <w:rsid w:val="00BD6687"/>
    <w:rsid w:val="00BF6D8A"/>
    <w:rsid w:val="00C11E14"/>
    <w:rsid w:val="00C24508"/>
    <w:rsid w:val="00C251A8"/>
    <w:rsid w:val="00C26A4F"/>
    <w:rsid w:val="00C359E2"/>
    <w:rsid w:val="00C63BB7"/>
    <w:rsid w:val="00C65DCE"/>
    <w:rsid w:val="00C70837"/>
    <w:rsid w:val="00CA3FCB"/>
    <w:rsid w:val="00CC1666"/>
    <w:rsid w:val="00CC7C8C"/>
    <w:rsid w:val="00CE3C96"/>
    <w:rsid w:val="00CF4CF0"/>
    <w:rsid w:val="00CF7FAE"/>
    <w:rsid w:val="00D03CA5"/>
    <w:rsid w:val="00D12409"/>
    <w:rsid w:val="00D14F2F"/>
    <w:rsid w:val="00D17A34"/>
    <w:rsid w:val="00D4155D"/>
    <w:rsid w:val="00D47CD3"/>
    <w:rsid w:val="00D82369"/>
    <w:rsid w:val="00D85434"/>
    <w:rsid w:val="00D94F2A"/>
    <w:rsid w:val="00DB2F38"/>
    <w:rsid w:val="00DC533F"/>
    <w:rsid w:val="00DD6B4D"/>
    <w:rsid w:val="00DE709B"/>
    <w:rsid w:val="00E2788A"/>
    <w:rsid w:val="00E763A1"/>
    <w:rsid w:val="00E771E5"/>
    <w:rsid w:val="00E908F9"/>
    <w:rsid w:val="00EA0AC9"/>
    <w:rsid w:val="00EA7BAD"/>
    <w:rsid w:val="00EC79FF"/>
    <w:rsid w:val="00EE063A"/>
    <w:rsid w:val="00EE2A32"/>
    <w:rsid w:val="00EE48CD"/>
    <w:rsid w:val="00EF1CBD"/>
    <w:rsid w:val="00EF3750"/>
    <w:rsid w:val="00F20F89"/>
    <w:rsid w:val="00F35844"/>
    <w:rsid w:val="00F37B26"/>
    <w:rsid w:val="00F606E2"/>
    <w:rsid w:val="00F623BE"/>
    <w:rsid w:val="00F76D89"/>
    <w:rsid w:val="00F83230"/>
    <w:rsid w:val="00FA0D7E"/>
    <w:rsid w:val="00FA1AC5"/>
    <w:rsid w:val="00FA4077"/>
    <w:rsid w:val="00FD7F2C"/>
    <w:rsid w:val="00FE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D8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6D89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6D89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F76D89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606E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606E2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606E2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F76D89"/>
    <w:pPr>
      <w:ind w:left="708"/>
    </w:pPr>
  </w:style>
  <w:style w:type="paragraph" w:styleId="Header">
    <w:name w:val="header"/>
    <w:basedOn w:val="Normal"/>
    <w:link w:val="HeaderChar"/>
    <w:uiPriority w:val="99"/>
    <w:rsid w:val="00F76D8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06E2"/>
    <w:rPr>
      <w:rFonts w:cs="Times New Roman"/>
      <w:sz w:val="20"/>
      <w:szCs w:val="20"/>
    </w:rPr>
  </w:style>
  <w:style w:type="paragraph" w:customStyle="1" w:styleId="ET">
    <w:name w:val="ET"/>
    <w:basedOn w:val="Normal"/>
    <w:link w:val="ETCar"/>
    <w:uiPriority w:val="99"/>
    <w:rsid w:val="00F76D8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F76D8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F76D8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F76D8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F76D89"/>
    <w:pPr>
      <w:spacing w:after="240"/>
      <w:ind w:firstLine="1418"/>
    </w:pPr>
  </w:style>
  <w:style w:type="paragraph" w:customStyle="1" w:styleId="IN">
    <w:name w:val="IN"/>
    <w:basedOn w:val="P0"/>
    <w:uiPriority w:val="99"/>
    <w:rsid w:val="00F76D8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F76D89"/>
    <w:pPr>
      <w:ind w:left="0"/>
    </w:pPr>
  </w:style>
  <w:style w:type="paragraph" w:customStyle="1" w:styleId="PE">
    <w:name w:val="PE"/>
    <w:basedOn w:val="IN"/>
    <w:uiPriority w:val="99"/>
    <w:rsid w:val="00F76D8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F76D8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F76D8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F76D8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2D64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06E2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2D640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2D6406"/>
    <w:rPr>
      <w:rFonts w:cs="Times New Roman"/>
      <w:b/>
      <w:bCs/>
      <w:caps/>
      <w:sz w:val="24"/>
      <w:szCs w:val="24"/>
      <w:lang w:val="fr-FR" w:eastAsia="fr-FR"/>
    </w:rPr>
  </w:style>
  <w:style w:type="character" w:customStyle="1" w:styleId="PSCar">
    <w:name w:val="PS Car"/>
    <w:basedOn w:val="DefaultParagraphFont"/>
    <w:link w:val="PS"/>
    <w:uiPriority w:val="99"/>
    <w:locked/>
    <w:rsid w:val="002D6406"/>
    <w:rPr>
      <w:rFonts w:cs="Times New Roman"/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2D6406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basedOn w:val="Normal"/>
    <w:uiPriority w:val="99"/>
    <w:rsid w:val="00D12409"/>
    <w:pPr>
      <w:widowControl w:val="0"/>
      <w:overflowPunct w:val="0"/>
      <w:autoSpaceDE w:val="0"/>
      <w:autoSpaceDN w:val="0"/>
      <w:adjustRightInd w:val="0"/>
      <w:spacing w:after="160" w:line="240" w:lineRule="exact"/>
    </w:pPr>
    <w:rPr>
      <w:rFonts w:ascii="Tahoma" w:hAnsi="Tahoma" w:cs="Tahoma"/>
      <w:lang w:val="en-US" w:eastAsia="en-US"/>
    </w:rPr>
  </w:style>
  <w:style w:type="paragraph" w:styleId="BodyText">
    <w:name w:val="Body Text"/>
    <w:aliases w:val="Corps de texte Car Car,Corps de texte Car Car Car Car,Corps de texte Car Car Car,Corps de texte Car Car C"/>
    <w:basedOn w:val="Normal"/>
    <w:link w:val="BodyTextChar1"/>
    <w:uiPriority w:val="99"/>
    <w:rsid w:val="00D12409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BodyTextChar">
    <w:name w:val="Body Text Char"/>
    <w:aliases w:val="Corps de texte Car Car Char,Corps de texte Car Car Car Car Char,Corps de texte Car Car Car Char,Corps de texte Car Car C Char"/>
    <w:basedOn w:val="DefaultParagraphFont"/>
    <w:link w:val="BodyText"/>
    <w:uiPriority w:val="99"/>
    <w:semiHidden/>
    <w:locked/>
    <w:rsid w:val="00F606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12409"/>
    <w:rPr>
      <w:rFonts w:cs="Times New Roman"/>
      <w:sz w:val="20"/>
      <w:szCs w:val="20"/>
      <w:vertAlign w:val="superscript"/>
    </w:rPr>
  </w:style>
  <w:style w:type="paragraph" w:styleId="FootnoteText">
    <w:name w:val="footnote text"/>
    <w:basedOn w:val="Normal"/>
    <w:next w:val="BodyText"/>
    <w:link w:val="FootnoteTextChar"/>
    <w:uiPriority w:val="99"/>
    <w:semiHidden/>
    <w:rsid w:val="00D12409"/>
    <w:pPr>
      <w:spacing w:before="120"/>
      <w:ind w:firstLine="709"/>
      <w:jc w:val="both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606E2"/>
    <w:rPr>
      <w:rFonts w:cs="Times New Roman"/>
      <w:sz w:val="20"/>
      <w:szCs w:val="20"/>
    </w:rPr>
  </w:style>
  <w:style w:type="paragraph" w:customStyle="1" w:styleId="CarCar1">
    <w:name w:val="Car Car1"/>
    <w:basedOn w:val="Normal"/>
    <w:uiPriority w:val="99"/>
    <w:rsid w:val="006C7427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character" w:customStyle="1" w:styleId="BodyTextChar1">
    <w:name w:val="Body Text Char1"/>
    <w:aliases w:val="Corps de texte Car Car Char1,Corps de texte Car Car Car Car Char1,Corps de texte Car Car Car Char1,Corps de texte Car Car C Char1"/>
    <w:basedOn w:val="DefaultParagraphFont"/>
    <w:link w:val="BodyText"/>
    <w:uiPriority w:val="99"/>
    <w:locked/>
    <w:rsid w:val="00012A2C"/>
    <w:rPr>
      <w:rFonts w:cs="Times New Roman"/>
      <w:sz w:val="24"/>
      <w:szCs w:val="24"/>
      <w:lang w:val="fr-FR" w:eastAsia="fr-FR"/>
    </w:rPr>
  </w:style>
  <w:style w:type="character" w:customStyle="1" w:styleId="P0Car">
    <w:name w:val="P0 Car"/>
    <w:basedOn w:val="DefaultParagraphFont"/>
    <w:link w:val="P0"/>
    <w:uiPriority w:val="99"/>
    <w:locked/>
    <w:rsid w:val="00015322"/>
    <w:rPr>
      <w:rFonts w:cs="Times New Roman"/>
      <w:sz w:val="24"/>
      <w:szCs w:val="24"/>
      <w:lang w:val="fr-FR" w:eastAsia="fr-FR"/>
    </w:rPr>
  </w:style>
  <w:style w:type="paragraph" w:customStyle="1" w:styleId="corpsdetexte">
    <w:name w:val="corps de texte"/>
    <w:basedOn w:val="Normal"/>
    <w:uiPriority w:val="99"/>
    <w:rsid w:val="00B15512"/>
    <w:pPr>
      <w:spacing w:before="240"/>
      <w:jc w:val="both"/>
    </w:pPr>
    <w:rPr>
      <w:sz w:val="24"/>
      <w:szCs w:val="24"/>
    </w:rPr>
  </w:style>
  <w:style w:type="character" w:customStyle="1" w:styleId="heleneCar">
    <w:name w:val="helene Car"/>
    <w:basedOn w:val="DefaultParagraphFont"/>
    <w:link w:val="helene"/>
    <w:uiPriority w:val="99"/>
    <w:locked/>
    <w:rsid w:val="00B15512"/>
    <w:rPr>
      <w:rFonts w:cs="Times New Roman"/>
      <w:sz w:val="24"/>
      <w:szCs w:val="24"/>
      <w:lang w:val="fr-FR" w:eastAsia="fr-FR"/>
    </w:rPr>
  </w:style>
  <w:style w:type="paragraph" w:customStyle="1" w:styleId="helene">
    <w:name w:val="helene"/>
    <w:basedOn w:val="Normal"/>
    <w:link w:val="heleneCar"/>
    <w:uiPriority w:val="99"/>
    <w:rsid w:val="00B15512"/>
    <w:pPr>
      <w:spacing w:before="120" w:after="120" w:line="240" w:lineRule="exact"/>
      <w:ind w:firstLine="567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F2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06E2"/>
    <w:rPr>
      <w:rFonts w:cs="Times New Roman"/>
      <w:sz w:val="2"/>
      <w:szCs w:val="2"/>
    </w:rPr>
  </w:style>
  <w:style w:type="paragraph" w:customStyle="1" w:styleId="Tableautexte">
    <w:name w:val="Tableau texte"/>
    <w:basedOn w:val="Normal"/>
    <w:uiPriority w:val="99"/>
    <w:rsid w:val="003D34CE"/>
    <w:pPr>
      <w:widowControl w:val="0"/>
      <w:ind w:left="57" w:right="57"/>
      <w:jc w:val="both"/>
    </w:pPr>
    <w:rPr>
      <w:color w:val="000000"/>
    </w:rPr>
  </w:style>
  <w:style w:type="paragraph" w:customStyle="1" w:styleId="StyleCorpsdetexte">
    <w:name w:val="Style Corps de texte"/>
    <w:aliases w:val="paragraphe + Arial"/>
    <w:basedOn w:val="BodyText"/>
    <w:uiPriority w:val="99"/>
    <w:rsid w:val="003D34CE"/>
    <w:pPr>
      <w:spacing w:before="120" w:after="120"/>
      <w:ind w:left="0" w:firstLine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96873"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0</TotalTime>
  <Pages>8</Pages>
  <Words>2476</Words>
  <Characters>13624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mtlecroisey</cp:lastModifiedBy>
  <cp:revision>2</cp:revision>
  <cp:lastPrinted>2011-01-18T15:14:00Z</cp:lastPrinted>
  <dcterms:created xsi:type="dcterms:W3CDTF">2011-02-02T08:52:00Z</dcterms:created>
  <dcterms:modified xsi:type="dcterms:W3CDTF">2011-02-02T08:52:00Z</dcterms:modified>
</cp:coreProperties>
</file>