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88D" w:rsidRDefault="00D3288D" w:rsidP="00CF24E9">
      <w:pPr>
        <w:pStyle w:val="ET"/>
        <w:outlineLvl w:val="0"/>
      </w:pPr>
      <w:r>
        <w:t>COUR DES COMPTES</w:t>
      </w:r>
    </w:p>
    <w:p w:rsidR="00D3288D" w:rsidRDefault="00D3288D" w:rsidP="00326AF8">
      <w:pPr>
        <w:pStyle w:val="ET"/>
      </w:pPr>
      <w:r>
        <w:tab/>
        <w:t xml:space="preserve">    ------ </w:t>
      </w:r>
    </w:p>
    <w:p w:rsidR="00D3288D" w:rsidRDefault="00D3288D" w:rsidP="00CF24E9">
      <w:pPr>
        <w:pStyle w:val="ET"/>
        <w:outlineLvl w:val="0"/>
      </w:pPr>
      <w:r>
        <w:t>SIXIEME CHAMBRE</w:t>
      </w:r>
    </w:p>
    <w:p w:rsidR="00D3288D" w:rsidRDefault="00D3288D" w:rsidP="00326AF8">
      <w:pPr>
        <w:pStyle w:val="ET"/>
      </w:pPr>
      <w:r>
        <w:tab/>
        <w:t xml:space="preserve">    ------ </w:t>
      </w:r>
    </w:p>
    <w:p w:rsidR="00D3288D" w:rsidRDefault="00D3288D" w:rsidP="00CF24E9">
      <w:pPr>
        <w:pStyle w:val="ET"/>
        <w:outlineLvl w:val="0"/>
      </w:pPr>
      <w:r>
        <w:t>TROISIEME SECTION</w:t>
      </w:r>
    </w:p>
    <w:p w:rsidR="00D3288D" w:rsidRDefault="00D3288D" w:rsidP="00326AF8">
      <w:pPr>
        <w:pStyle w:val="ET"/>
      </w:pPr>
      <w:r>
        <w:tab/>
        <w:t xml:space="preserve">    ------ </w:t>
      </w:r>
    </w:p>
    <w:p w:rsidR="00D3288D" w:rsidRPr="000D53D9" w:rsidRDefault="00D3288D" w:rsidP="00CF24E9">
      <w:pPr>
        <w:pStyle w:val="Header"/>
        <w:ind w:left="284"/>
        <w:outlineLvl w:val="0"/>
        <w:rPr>
          <w:b/>
          <w:bCs/>
          <w:i/>
          <w:iCs/>
          <w:sz w:val="24"/>
          <w:szCs w:val="24"/>
        </w:rPr>
      </w:pPr>
      <w:r w:rsidRPr="000D53D9">
        <w:rPr>
          <w:b/>
          <w:bCs/>
          <w:i/>
          <w:iCs/>
          <w:sz w:val="24"/>
          <w:szCs w:val="24"/>
        </w:rPr>
        <w:t xml:space="preserve">Arrêt n° </w:t>
      </w:r>
      <w:r>
        <w:rPr>
          <w:b/>
          <w:bCs/>
          <w:i/>
          <w:iCs/>
          <w:sz w:val="24"/>
          <w:szCs w:val="24"/>
        </w:rPr>
        <w:t>59818</w:t>
      </w:r>
      <w:r>
        <w:fldChar w:fldCharType="begin"/>
      </w:r>
      <w:r>
        <w:fldChar w:fldCharType="end"/>
      </w:r>
    </w:p>
    <w:p w:rsidR="00D3288D" w:rsidRDefault="00D3288D" w:rsidP="00326AF8">
      <w:pPr>
        <w:pStyle w:val="OR"/>
        <w:ind w:right="-284"/>
      </w:pPr>
      <w:r>
        <w:t>GROUPEMENT D’INTERET PUBLIC (GIP) « AGENCE REGIONALE DE L’HOSPITALISATION D’ILE-DE-FRANCE » (ARHIF)</w:t>
      </w:r>
    </w:p>
    <w:p w:rsidR="00D3288D" w:rsidRDefault="00D3288D" w:rsidP="00326AF8">
      <w:pPr>
        <w:pStyle w:val="OR"/>
        <w:ind w:right="-284"/>
      </w:pPr>
    </w:p>
    <w:p w:rsidR="00D3288D" w:rsidRDefault="00D3288D" w:rsidP="00CF24E9">
      <w:pPr>
        <w:pStyle w:val="OR"/>
        <w:ind w:right="-284"/>
        <w:outlineLvl w:val="0"/>
      </w:pPr>
      <w:r>
        <w:t>Exercice 2003, au 31 octobre</w:t>
      </w:r>
    </w:p>
    <w:p w:rsidR="00D3288D" w:rsidRDefault="00D3288D" w:rsidP="00CF24E9">
      <w:pPr>
        <w:pStyle w:val="OR"/>
        <w:ind w:right="-284"/>
        <w:outlineLvl w:val="0"/>
      </w:pPr>
    </w:p>
    <w:p w:rsidR="00D3288D" w:rsidRDefault="00D3288D" w:rsidP="00CF24E9">
      <w:pPr>
        <w:pStyle w:val="OR"/>
        <w:ind w:right="-284"/>
        <w:outlineLvl w:val="0"/>
      </w:pPr>
      <w:r>
        <w:t>Rapport n° 2010-468-0</w:t>
      </w:r>
    </w:p>
    <w:p w:rsidR="00D3288D" w:rsidRDefault="00D3288D" w:rsidP="00326AF8">
      <w:pPr>
        <w:pStyle w:val="OR"/>
        <w:ind w:right="-284"/>
      </w:pPr>
    </w:p>
    <w:p w:rsidR="00D3288D" w:rsidRDefault="00D3288D" w:rsidP="00CF24E9">
      <w:pPr>
        <w:pStyle w:val="OR"/>
        <w:outlineLvl w:val="0"/>
      </w:pPr>
      <w:r>
        <w:t>Audience publique du 27 octobre 2010</w:t>
      </w:r>
    </w:p>
    <w:p w:rsidR="00D3288D" w:rsidRDefault="00D3288D" w:rsidP="00326AF8">
      <w:pPr>
        <w:pStyle w:val="OR"/>
      </w:pPr>
    </w:p>
    <w:p w:rsidR="00D3288D" w:rsidRDefault="00D3288D" w:rsidP="00B87754">
      <w:pPr>
        <w:pStyle w:val="OR"/>
      </w:pPr>
      <w:r>
        <w:t>Lecture publique du 26 janvier 2011</w:t>
      </w:r>
    </w:p>
    <w:p w:rsidR="00D3288D" w:rsidRDefault="00D3288D" w:rsidP="00D7166D">
      <w:pPr>
        <w:pStyle w:val="PS"/>
      </w:pPr>
    </w:p>
    <w:p w:rsidR="00D3288D" w:rsidRDefault="00D3288D" w:rsidP="001562E9">
      <w:pPr>
        <w:pStyle w:val="P0"/>
        <w:spacing w:after="60"/>
        <w:jc w:val="center"/>
      </w:pPr>
      <w:r>
        <w:t>REPUBLIQUE FRANÇAISE</w:t>
      </w:r>
    </w:p>
    <w:p w:rsidR="00D3288D" w:rsidRDefault="00D3288D" w:rsidP="00CC7895">
      <w:pPr>
        <w:pStyle w:val="P0"/>
        <w:jc w:val="center"/>
      </w:pPr>
    </w:p>
    <w:p w:rsidR="00D3288D" w:rsidRDefault="00D3288D" w:rsidP="001562E9">
      <w:pPr>
        <w:pStyle w:val="P0"/>
        <w:spacing w:after="120"/>
        <w:jc w:val="center"/>
      </w:pPr>
      <w:r>
        <w:t>AU NOM DU PEUPLE FRANÇAIS</w:t>
      </w:r>
    </w:p>
    <w:p w:rsidR="00D3288D" w:rsidRDefault="00D3288D" w:rsidP="00CC7895">
      <w:pPr>
        <w:pStyle w:val="P0"/>
        <w:jc w:val="center"/>
      </w:pPr>
    </w:p>
    <w:p w:rsidR="00D3288D" w:rsidRDefault="00D3288D" w:rsidP="00D7166D">
      <w:pPr>
        <w:pStyle w:val="P0"/>
        <w:spacing w:after="360"/>
        <w:jc w:val="center"/>
      </w:pPr>
      <w:r>
        <w:t>LA COUR DES COMPTES a rendu l’arrêt suivant :</w:t>
      </w:r>
    </w:p>
    <w:p w:rsidR="00D3288D" w:rsidRDefault="00D3288D" w:rsidP="00D7166D">
      <w:pPr>
        <w:pStyle w:val="PS"/>
      </w:pPr>
      <w:r>
        <w:t>LA COUR,</w:t>
      </w:r>
    </w:p>
    <w:p w:rsidR="00D3288D" w:rsidRPr="00A83673" w:rsidRDefault="00D3288D" w:rsidP="00D7166D">
      <w:pPr>
        <w:pStyle w:val="PS"/>
      </w:pPr>
      <w:r>
        <w:t xml:space="preserve">Vu les arrêts n° 49835 du 26 septembre 2007 et n° 53620 des 13 octobre 2008 et 21 janvier 2009, par lesquels elle a enjoint à M. X d’apporter toutes justifications utiles du paiement par l’AGENCE REGIONALE DE L’HOSPITALISATION D’ILE-DE-FRANCE d’une somme de 20 420,88 euros au profit celle de Basse-Normandie ; </w:t>
      </w:r>
    </w:p>
    <w:p w:rsidR="00D3288D" w:rsidRDefault="00D3288D" w:rsidP="00700587">
      <w:pPr>
        <w:pStyle w:val="PS"/>
      </w:pPr>
      <w:r>
        <w:t>Vu les lettres des 22 février 2008, 9 avril et 14 octobre 2009 par lesquelles M. Y, agent comptable en fonctions et M. X ont respectivement produit les pièces qui figuraient initialement à l’appui de la dépense litigieuse, demandé à la Cour de lui faire parvenir les mêmes documents et décliné l’invitation à consulter le dossier d’instruction que lui a faite le rapporteur, aux termes d’une correspondance du 30 septembre 2009 ;</w:t>
      </w:r>
    </w:p>
    <w:p w:rsidR="00D3288D" w:rsidRDefault="00D3288D" w:rsidP="00D7166D">
      <w:pPr>
        <w:pStyle w:val="PS"/>
      </w:pPr>
      <w:r>
        <w:t>Vu le code de la santé publique ;</w:t>
      </w:r>
    </w:p>
    <w:p w:rsidR="00D3288D" w:rsidRDefault="00D3288D" w:rsidP="00D7166D">
      <w:pPr>
        <w:pStyle w:val="PS"/>
      </w:pPr>
      <w:r>
        <w:t>Vu la convention constitutive de l’ARHIF du 15 janvier 1997 ;</w:t>
      </w:r>
    </w:p>
    <w:p w:rsidR="00D3288D" w:rsidRDefault="00D3288D" w:rsidP="00D7166D">
      <w:pPr>
        <w:pStyle w:val="PS"/>
      </w:pPr>
      <w:r>
        <w:t>Vu l’article 60 modifié de la loi du 23 février 1963 portant loi de finances pour 1963 ;</w:t>
      </w:r>
    </w:p>
    <w:p w:rsidR="00D3288D" w:rsidRDefault="00D3288D" w:rsidP="00074FD1">
      <w:pPr>
        <w:pStyle w:val="IN"/>
      </w:pPr>
    </w:p>
    <w:p w:rsidR="00D3288D" w:rsidRDefault="00D3288D" w:rsidP="00D7166D">
      <w:pPr>
        <w:pStyle w:val="PS"/>
        <w:sectPr w:rsidR="00D3288D" w:rsidSect="00074FD1">
          <w:headerReference w:type="default" r:id="rId6"/>
          <w:pgSz w:w="11907" w:h="16840" w:code="9"/>
          <w:pgMar w:top="1134" w:right="1134" w:bottom="1134" w:left="567" w:header="720" w:footer="720" w:gutter="0"/>
          <w:cols w:space="720"/>
          <w:titlePg/>
        </w:sectPr>
      </w:pPr>
    </w:p>
    <w:p w:rsidR="00D3288D" w:rsidRDefault="00D3288D" w:rsidP="00D7166D">
      <w:pPr>
        <w:pStyle w:val="PS"/>
      </w:pPr>
      <w:r>
        <w:t>Vu le décret du 29 décembre 1962 portant règlement général sur la comptabilité publique ;</w:t>
      </w:r>
    </w:p>
    <w:p w:rsidR="00D3288D" w:rsidRDefault="00D3288D" w:rsidP="00D7166D">
      <w:pPr>
        <w:pStyle w:val="PS"/>
      </w:pPr>
      <w:r>
        <w:t>Vu le code des juridictions financières ;</w:t>
      </w:r>
    </w:p>
    <w:p w:rsidR="00D3288D" w:rsidRDefault="00D3288D" w:rsidP="00D7166D">
      <w:pPr>
        <w:pStyle w:val="PS"/>
      </w:pPr>
      <w:r>
        <w:t>Vu l’arrêté n° 10-030 du 8 janvier 2010 du Premier Président de la Cour des comptes portant répartition des attributions entre les chambres de la Cour des comptes ;</w:t>
      </w:r>
    </w:p>
    <w:p w:rsidR="00D3288D" w:rsidRDefault="00D3288D" w:rsidP="00D7166D">
      <w:pPr>
        <w:pStyle w:val="PS"/>
      </w:pPr>
      <w:r w:rsidRPr="00F7246C">
        <w:t>Vu l</w:t>
      </w:r>
      <w:r>
        <w:t>es</w:t>
      </w:r>
      <w:r w:rsidRPr="00F7246C">
        <w:t xml:space="preserve"> lettre</w:t>
      </w:r>
      <w:r>
        <w:t>s</w:t>
      </w:r>
      <w:r w:rsidRPr="00F7246C">
        <w:t xml:space="preserve"> </w:t>
      </w:r>
      <w:r>
        <w:t xml:space="preserve">en date du 13 octobre 2010 informant le comptable et le directeur du GIP « Agence régionale de santé (ARS) d’Ile-de-France » de la date de l’audience publique du 27 octobre 2010, ensemble les accusés de réception de ces lettres ; </w:t>
      </w:r>
    </w:p>
    <w:p w:rsidR="00D3288D" w:rsidRPr="00F7246C" w:rsidRDefault="00D3288D" w:rsidP="00D7166D">
      <w:pPr>
        <w:pStyle w:val="PS"/>
      </w:pPr>
      <w:r>
        <w:t>Sur le rapport de M. Daniel Lesouhaitier, conseiller maître, en date du 27 mai 2010 ;</w:t>
      </w:r>
    </w:p>
    <w:p w:rsidR="00D3288D" w:rsidRDefault="00D3288D" w:rsidP="00D7166D">
      <w:pPr>
        <w:pStyle w:val="PS"/>
      </w:pPr>
      <w:r>
        <w:t>Vu les conclusions n° 521 du Procureur général de la République, en date du 25 juin 2010 ;</w:t>
      </w:r>
    </w:p>
    <w:p w:rsidR="00D3288D" w:rsidRPr="00F7246C" w:rsidRDefault="00D3288D" w:rsidP="00D7166D">
      <w:pPr>
        <w:pStyle w:val="PS"/>
      </w:pPr>
      <w:r w:rsidRPr="00F7246C">
        <w:t>Vu la feuille de présence à l’audience publique du 27 octobre 2010 attestant que M. X ne s’est pas présenté à celle-ci ;</w:t>
      </w:r>
    </w:p>
    <w:p w:rsidR="00D3288D" w:rsidRPr="00F7246C" w:rsidRDefault="00D3288D" w:rsidP="00D7166D">
      <w:pPr>
        <w:pStyle w:val="PS"/>
      </w:pPr>
      <w:r w:rsidRPr="00F7246C">
        <w:t>Après avoir entendu, en audience publique, Mme Lévy-Rosenwal</w:t>
      </w:r>
      <w:r>
        <w:t>d, en son rapport, et M. Michaut</w:t>
      </w:r>
      <w:r w:rsidRPr="00F7246C">
        <w:t xml:space="preserve">, avocat général, en ses conclusions ; </w:t>
      </w:r>
    </w:p>
    <w:p w:rsidR="00D3288D" w:rsidRDefault="00D3288D" w:rsidP="00D7166D">
      <w:pPr>
        <w:pStyle w:val="PS"/>
      </w:pPr>
      <w:r w:rsidRPr="00F7246C">
        <w:t>Après en avoir délibéré hors la présence du rapporteur et du représentant du ministère public, et après avoir entendu M. Phéline, conseiller maître, en ses observations ;</w:t>
      </w:r>
    </w:p>
    <w:p w:rsidR="00D3288D" w:rsidRDefault="00D3288D" w:rsidP="00D7166D">
      <w:pPr>
        <w:pStyle w:val="PS"/>
      </w:pPr>
      <w:r>
        <w:t>Attendu qu’aux termes de l’article 60 I de la loi de finances pour 1963 modifiée du 23 février 1963 « […] les comptables publics sont personnellement et pécuniairement responsables du recouvrement des recettes, du paiement des dépenses, de la garde et de la conservation des fonds et valeurs appartenant ou confiés à l’Etat, aux collectivités locales et aux établissements publics nationaux ou locaux [ainsi que] des contrôles qu’ils sont tenus d’effectuer en matière de recettes, de dépenses et de patrimoine dans les conditions prévues par le règlement général sur la comptabilité publique » ; que le IV de ce même article dispose que cette responsabilité se trouve engagée « […] dès lors qu’un déficit ou un manquant en deniers ou en valeurs a été constaté, qu’une recette n’a pas été recouvrée, qu’une dépense a été irrégulièrement payée ou que, par la faute du comptable public, l’organisme a dû procéder à l’indemnisation d’un autre organisme public ou d’un tiers » ;</w:t>
      </w:r>
    </w:p>
    <w:p w:rsidR="00D3288D" w:rsidRPr="00D7166D" w:rsidRDefault="00D3288D" w:rsidP="00D7166D">
      <w:pPr>
        <w:pStyle w:val="PS"/>
        <w:rPr>
          <w:b/>
          <w:bCs/>
        </w:rPr>
      </w:pPr>
      <w:r w:rsidRPr="00D7166D">
        <w:rPr>
          <w:b/>
          <w:bCs/>
        </w:rPr>
        <w:t>Sur la procédure</w:t>
      </w:r>
    </w:p>
    <w:p w:rsidR="00D3288D" w:rsidRDefault="00D3288D" w:rsidP="00D7166D">
      <w:pPr>
        <w:pStyle w:val="PS"/>
      </w:pPr>
      <w:r w:rsidRPr="00F7246C">
        <w:t>Considérant que, par lettre du 30 septembre 2009, M. X a été invité à venir consulter le dossier au greffe de la Cour puis à lui adresser ses observations dans les quinze jours suivant cette consultation ; que, par lettre du 14 octobre suivant, M.</w:t>
      </w:r>
      <w:r>
        <w:t> </w:t>
      </w:r>
      <w:r w:rsidRPr="00F7246C">
        <w:t>X a indiqué renoncer à la consultation qui lui était ainsi ouverte et exprimé le regret « </w:t>
      </w:r>
      <w:r w:rsidRPr="00F7246C">
        <w:rPr>
          <w:i/>
          <w:iCs/>
        </w:rPr>
        <w:t>de ne pas avoir pu obtenir la photocopie des deux ou trois documents en cause </w:t>
      </w:r>
      <w:r w:rsidRPr="00F7246C">
        <w:t>», sans cependant identifier ceux-ci plus précisément, rendant ainsi inopérante sa demande de communication de pièces ; qu’en conséquence, le caractère contradictoire de la procédure peut être tenu pour assuré ;</w:t>
      </w:r>
    </w:p>
    <w:p w:rsidR="00D3288D" w:rsidRPr="00D7166D" w:rsidRDefault="00D3288D" w:rsidP="00D7166D">
      <w:pPr>
        <w:pStyle w:val="PS"/>
        <w:rPr>
          <w:b/>
          <w:bCs/>
        </w:rPr>
      </w:pPr>
      <w:r w:rsidRPr="00D7166D">
        <w:rPr>
          <w:b/>
          <w:bCs/>
        </w:rPr>
        <w:t>Au fond</w:t>
      </w:r>
    </w:p>
    <w:p w:rsidR="00D3288D" w:rsidRDefault="00D3288D" w:rsidP="00D7166D">
      <w:pPr>
        <w:pStyle w:val="PS"/>
      </w:pPr>
      <w:r>
        <w:t xml:space="preserve">Attendu qu’aux termes d’un arrêté du 27 mars 2003, la Mission nationale d’aide à l’investissement hospitalier (MAINH) a été rattachée à l’ARHIF ; que ce texte est entré en vigueur le 3 avril 2003 à la suite de sa publication ; qu’avant cette date, l’ARHIF n’avait aucun lien juridique avec la MAINH ; </w:t>
      </w:r>
    </w:p>
    <w:p w:rsidR="00D3288D" w:rsidRDefault="00D3288D" w:rsidP="00D7166D">
      <w:pPr>
        <w:pStyle w:val="PS"/>
      </w:pPr>
      <w:r>
        <w:t xml:space="preserve">Attendu que M. Z, directeur d’hôpital, a été nommé </w:t>
      </w:r>
      <w:r>
        <w:rPr>
          <w:i/>
          <w:iCs/>
        </w:rPr>
        <w:t>« directeur</w:t>
      </w:r>
      <w:r>
        <w:t xml:space="preserve"> </w:t>
      </w:r>
      <w:r>
        <w:rPr>
          <w:i/>
          <w:iCs/>
        </w:rPr>
        <w:t>opérationnel »</w:t>
      </w:r>
      <w:r>
        <w:t xml:space="preserve"> de la MAINH par le même arrêté ; que cette nomination ne saurait être regardée comme tardive contrairement à ce que soutient l’agent comptable dans les écritures qu’il a produites en cours d’instruction ; </w:t>
      </w:r>
    </w:p>
    <w:p w:rsidR="00D3288D" w:rsidRDefault="00D3288D" w:rsidP="00D7166D">
      <w:pPr>
        <w:pStyle w:val="PS"/>
      </w:pPr>
      <w:r>
        <w:t xml:space="preserve">Attendu toutefois que M. Z a été détaché auprès de l’ARHIF à compter du 15 février 2003, date à laquelle a pris effet le contrat qu’il a conclu avec l’agence, le 2 avril 2003, et qui prévoit le remboursement de sa rémunération par la Caisse des dépôts et consignations, gestionnaire du Fonds de modernisation des établissements de santé publics et privés (FMESPP) ; </w:t>
      </w:r>
    </w:p>
    <w:p w:rsidR="00D3288D" w:rsidRDefault="00D3288D" w:rsidP="00D7166D">
      <w:pPr>
        <w:pStyle w:val="PS"/>
      </w:pPr>
      <w:r>
        <w:t xml:space="preserve">Considérant qu’il suit de ce qui précède que l’ARHIF devait inscrire dans ses comptes la rémunération de M. Z à partir du 15 février 2003, date d’effet du contrat du 2 avril 2003, et ce dans la limite des sommes prévues par celui-ci ; que l’agence n’a pu légalement supporter les frais imputables à la MAINH qu’à compter du 3 avril 2003, date d’entrée en vigueur de l’arrêté du 27 mars 2003 par lequel sa gestion a été rattachée à l’ARHIF ; </w:t>
      </w:r>
    </w:p>
    <w:p w:rsidR="00D3288D" w:rsidRDefault="00D3288D" w:rsidP="00D7166D">
      <w:pPr>
        <w:pStyle w:val="PS"/>
      </w:pPr>
      <w:r>
        <w:t>Attendu que le 19 juin 2003, M. Z a émis le mandat n° 7 d’un montant de 48 682,28 €, en sa qualité de directeur opérationnel de la MAINH et en vertu de la délégation qu’il a reçue du directeur de l’ARHIF, le 3 avril 2003 ; que l’agent comptable a procédé à son règlement le même jour ;</w:t>
      </w:r>
    </w:p>
    <w:p w:rsidR="00D3288D" w:rsidRDefault="00D3288D" w:rsidP="00D7166D">
      <w:pPr>
        <w:pStyle w:val="PS"/>
      </w:pPr>
      <w:r>
        <w:t xml:space="preserve">Attendu que la somme susmentionnée correspondait au remboursement par l’ARHIF des frais exposés par l’agence régionale de l’hospitalisation de Basse-Normandie (ARHBN) pour le compte de la future MAINH, du 5 janvier au 23 avril 2003 ; qu’elle incluait la rémunération versée par cette agence en faveur de M. Z au cours des trois premiers mois de l’année 2003, des frais de déplacement de l’intéressé et de certains de ses collaborateurs, MM. A, B et C, ainsi que des dépenses diverses ; </w:t>
      </w:r>
    </w:p>
    <w:p w:rsidR="00D3288D" w:rsidRDefault="00D3288D" w:rsidP="00D7166D">
      <w:pPr>
        <w:pStyle w:val="PS"/>
      </w:pPr>
      <w:r>
        <w:t xml:space="preserve">Attendu qu’aucune convention n’a été conclue entre l’ARHIF et l’ARHBN pour déterminer les relations financières entre les deux agences au cours de la période litigieuse et mettre notamment à la charge de la première citée d’éventuelles dépenses de la future MAINH, avancées par l’ARHBN et supportées </w:t>
      </w:r>
      <w:r>
        <w:rPr>
          <w:i/>
          <w:iCs/>
        </w:rPr>
        <w:t>in fine</w:t>
      </w:r>
      <w:r>
        <w:t xml:space="preserve"> par l’ARHIF ; qu’en dépit de son caractère illicite au regard de l’objet de chacune des deux agences et bien que la MAINH ne fût pas encore créée, une telle convention aurait été opposable à l’agent comptable de l’ARHIF qui n’est pas juge de la légalité des pièces fournies à l’appui de la dépense ; </w:t>
      </w:r>
    </w:p>
    <w:p w:rsidR="00D3288D" w:rsidRDefault="00D3288D" w:rsidP="00D7166D">
      <w:pPr>
        <w:pStyle w:val="PS"/>
      </w:pPr>
      <w:r>
        <w:t>Considérant, dans ces conditions, qu’à l’exception des émoluments dus à M. Z du 15 février au 2 avril 2003 (46/30</w:t>
      </w:r>
      <w:r>
        <w:rPr>
          <w:vertAlign w:val="superscript"/>
        </w:rPr>
        <w:t>ème</w:t>
      </w:r>
      <w:r>
        <w:t xml:space="preserve"> du 12</w:t>
      </w:r>
      <w:r>
        <w:rPr>
          <w:vertAlign w:val="superscript"/>
        </w:rPr>
        <w:t>ème</w:t>
      </w:r>
      <w:r>
        <w:t xml:space="preserve"> de la rémunération annuelle prévue au contrat du 2 avril 2003) et des autres dépenses effectuées du 3 au 23 avril 2003, à supposer d’ailleurs que les dates mentionnées sur l’état liquidatif fussent bien seulement celles de leur engagement, les frais demandés en remboursement par l’ARHBN n’incombaient pas à l’ARHIF ;</w:t>
      </w:r>
    </w:p>
    <w:p w:rsidR="00D3288D" w:rsidRPr="00C6759F" w:rsidRDefault="00D3288D" w:rsidP="00D7166D">
      <w:pPr>
        <w:pStyle w:val="PS"/>
      </w:pPr>
      <w:r>
        <w:t>Attendu qu’aux termes de l’article 13 du décret du 29 décembre 1962 portant règlement général sur la comptabilité publique les comptables publics contrôlent « </w:t>
      </w:r>
      <w:r>
        <w:rPr>
          <w:i/>
          <w:iCs/>
        </w:rPr>
        <w:t>l’exactitude des calculs de liquidation</w:t>
      </w:r>
      <w:r>
        <w:t xml:space="preserve"> » de la dépense au vu des justifications qu’il appartient à l’ordonnateur de produire ; qu’à défaut, leur responsabilité pécuniaire et personnelle se trouve engagée dans les conditions prévues par l’article 60 modifié de la loi sus-rappelée du 23 février 1963 ; </w:t>
      </w:r>
    </w:p>
    <w:p w:rsidR="00D3288D" w:rsidRDefault="00D3288D" w:rsidP="00D7166D">
      <w:pPr>
        <w:pStyle w:val="PS"/>
      </w:pPr>
      <w:r>
        <w:t>Considérant qu’en l’espèce M. X a accepté de payer le mandat n° 7 du 19 juin 2003 par lequel l’ARHIF a remboursé à l’ARHBN la rémunération de M. Z du 1</w:t>
      </w:r>
      <w:r w:rsidRPr="00947396">
        <w:rPr>
          <w:vertAlign w:val="superscript"/>
        </w:rPr>
        <w:t>er</w:t>
      </w:r>
      <w:r>
        <w:t xml:space="preserve"> janvier au 14 février 2003, période pendant laquelle l’intéressé n’était pas encore affecté à l’agence d’Ile-de-France, ainsi que d’autres dépenses engagées par cette agence au profit de la MAINH, antérieurement au 3 avril 2003, date de rattachement de cette mission à l’ARHIF ; qu’il n’a apporté, durant l’instruction, aucune justification à sa décharge du bien-fondé de ce remboursement ; qu’il n’a pas davantage fourni la preuve du versement des sommes payées à tort dans la caisse de l’ARHIF ;</w:t>
      </w:r>
    </w:p>
    <w:p w:rsidR="00D3288D" w:rsidRDefault="00D3288D" w:rsidP="00D7166D">
      <w:pPr>
        <w:pStyle w:val="PS"/>
      </w:pPr>
      <w:r>
        <w:t xml:space="preserve">Considérant qu’il suit de ce qui précède que l’injonction prononcée à l’encontre de M. X par les arrêts susvisés doit être levée ; qu’après réexamen du </w:t>
      </w:r>
      <w:r w:rsidRPr="00F7246C">
        <w:t>décompte de la rémunération de M. Z jusqu’au 14</w:t>
      </w:r>
      <w:r>
        <w:t> </w:t>
      </w:r>
      <w:r w:rsidRPr="00F7246C">
        <w:t>février 2003, qui n’incomb</w:t>
      </w:r>
      <w:r>
        <w:t xml:space="preserve">ait pas à l’agence, l’intéressé doit être déclaré débiteur envers l’ARHIF de la somme de 19 934,74 euros, majorée de l’intérêt légal, et non de 20 420,88 euros, </w:t>
      </w:r>
      <w:r w:rsidRPr="00F7246C">
        <w:t>établie conformément au tableau ci-après :</w:t>
      </w:r>
    </w:p>
    <w:tbl>
      <w:tblPr>
        <w:tblW w:w="1003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36"/>
        <w:gridCol w:w="2126"/>
        <w:gridCol w:w="2126"/>
        <w:gridCol w:w="1243"/>
      </w:tblGrid>
      <w:tr w:rsidR="00D3288D" w:rsidRPr="00F77999" w:rsidTr="00F77999">
        <w:tc>
          <w:tcPr>
            <w:tcW w:w="4536" w:type="dxa"/>
          </w:tcPr>
          <w:p w:rsidR="00D3288D" w:rsidRPr="00F77999" w:rsidRDefault="00D3288D" w:rsidP="00440FED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D3288D" w:rsidRPr="00F77999" w:rsidRDefault="00D3288D" w:rsidP="00F77999">
            <w:pPr>
              <w:jc w:val="center"/>
              <w:rPr>
                <w:b/>
                <w:bCs/>
                <w:sz w:val="22"/>
                <w:szCs w:val="22"/>
              </w:rPr>
            </w:pPr>
            <w:r w:rsidRPr="00F77999">
              <w:rPr>
                <w:b/>
                <w:bCs/>
                <w:sz w:val="22"/>
                <w:szCs w:val="22"/>
              </w:rPr>
              <w:t>Dépenses remboursées</w:t>
            </w:r>
          </w:p>
        </w:tc>
        <w:tc>
          <w:tcPr>
            <w:tcW w:w="2126" w:type="dxa"/>
            <w:vAlign w:val="center"/>
          </w:tcPr>
          <w:p w:rsidR="00D3288D" w:rsidRPr="00F77999" w:rsidRDefault="00D3288D" w:rsidP="00F77999">
            <w:pPr>
              <w:jc w:val="center"/>
              <w:rPr>
                <w:b/>
                <w:bCs/>
                <w:sz w:val="22"/>
                <w:szCs w:val="22"/>
              </w:rPr>
            </w:pPr>
            <w:r w:rsidRPr="00F77999">
              <w:rPr>
                <w:b/>
                <w:bCs/>
                <w:sz w:val="22"/>
                <w:szCs w:val="22"/>
              </w:rPr>
              <w:t>Dépenses à la charge de l’ARHIF</w:t>
            </w:r>
          </w:p>
        </w:tc>
        <w:tc>
          <w:tcPr>
            <w:tcW w:w="1243" w:type="dxa"/>
            <w:vAlign w:val="center"/>
          </w:tcPr>
          <w:p w:rsidR="00D3288D" w:rsidRPr="00F77999" w:rsidRDefault="00D3288D" w:rsidP="00F77999">
            <w:pPr>
              <w:jc w:val="center"/>
              <w:rPr>
                <w:b/>
                <w:bCs/>
                <w:sz w:val="22"/>
                <w:szCs w:val="22"/>
              </w:rPr>
            </w:pPr>
            <w:r w:rsidRPr="00F77999">
              <w:rPr>
                <w:b/>
                <w:bCs/>
                <w:sz w:val="22"/>
                <w:szCs w:val="22"/>
              </w:rPr>
              <w:t>Différence</w:t>
            </w:r>
          </w:p>
        </w:tc>
      </w:tr>
      <w:tr w:rsidR="00D3288D" w:rsidRPr="00F77999" w:rsidTr="00F77999">
        <w:tc>
          <w:tcPr>
            <w:tcW w:w="4536" w:type="dxa"/>
          </w:tcPr>
          <w:p w:rsidR="00D3288D" w:rsidRPr="00F77999" w:rsidRDefault="00D3288D" w:rsidP="00440FED">
            <w:pPr>
              <w:jc w:val="both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Rémunération brute du directeur de la MAINH</w:t>
            </w:r>
          </w:p>
        </w:tc>
        <w:tc>
          <w:tcPr>
            <w:tcW w:w="2126" w:type="dxa"/>
            <w:vAlign w:val="center"/>
          </w:tcPr>
          <w:p w:rsidR="00D3288D" w:rsidRPr="00F77999" w:rsidRDefault="00D3288D" w:rsidP="00F77999">
            <w:pPr>
              <w:ind w:right="454"/>
              <w:jc w:val="right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29 386,14</w:t>
            </w:r>
          </w:p>
        </w:tc>
        <w:tc>
          <w:tcPr>
            <w:tcW w:w="2126" w:type="dxa"/>
            <w:vAlign w:val="center"/>
          </w:tcPr>
          <w:p w:rsidR="00D3288D" w:rsidRPr="00F77999" w:rsidRDefault="00D3288D" w:rsidP="00F77999">
            <w:pPr>
              <w:ind w:right="454"/>
              <w:jc w:val="right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15 019,58</w:t>
            </w:r>
          </w:p>
        </w:tc>
        <w:tc>
          <w:tcPr>
            <w:tcW w:w="1243" w:type="dxa"/>
            <w:vAlign w:val="center"/>
          </w:tcPr>
          <w:p w:rsidR="00D3288D" w:rsidRPr="00F77999" w:rsidRDefault="00D3288D" w:rsidP="00F77999">
            <w:pPr>
              <w:ind w:right="57"/>
              <w:jc w:val="right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14 366,56</w:t>
            </w:r>
          </w:p>
        </w:tc>
      </w:tr>
      <w:tr w:rsidR="00D3288D" w:rsidRPr="00F77999" w:rsidTr="00F77999">
        <w:tc>
          <w:tcPr>
            <w:tcW w:w="4536" w:type="dxa"/>
          </w:tcPr>
          <w:p w:rsidR="00D3288D" w:rsidRPr="00F77999" w:rsidRDefault="00D3288D" w:rsidP="00440FED">
            <w:pPr>
              <w:jc w:val="both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Frais de déplacement du directeur de la MAINH</w:t>
            </w:r>
          </w:p>
        </w:tc>
        <w:tc>
          <w:tcPr>
            <w:tcW w:w="2126" w:type="dxa"/>
            <w:vAlign w:val="center"/>
          </w:tcPr>
          <w:p w:rsidR="00D3288D" w:rsidRPr="00F77999" w:rsidRDefault="00D3288D" w:rsidP="00F77999">
            <w:pPr>
              <w:ind w:right="454"/>
              <w:jc w:val="right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3 857,51</w:t>
            </w:r>
          </w:p>
        </w:tc>
        <w:tc>
          <w:tcPr>
            <w:tcW w:w="2126" w:type="dxa"/>
            <w:vAlign w:val="center"/>
          </w:tcPr>
          <w:p w:rsidR="00D3288D" w:rsidRPr="00F77999" w:rsidRDefault="00D3288D" w:rsidP="00F77999">
            <w:pPr>
              <w:ind w:right="454"/>
              <w:jc w:val="right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1 266,60</w:t>
            </w:r>
          </w:p>
        </w:tc>
        <w:tc>
          <w:tcPr>
            <w:tcW w:w="1243" w:type="dxa"/>
            <w:vAlign w:val="center"/>
          </w:tcPr>
          <w:p w:rsidR="00D3288D" w:rsidRPr="00F77999" w:rsidRDefault="00D3288D" w:rsidP="00F77999">
            <w:pPr>
              <w:ind w:right="57"/>
              <w:jc w:val="right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2 590,91</w:t>
            </w:r>
          </w:p>
        </w:tc>
      </w:tr>
      <w:tr w:rsidR="00D3288D" w:rsidRPr="00F77999" w:rsidTr="00F77999">
        <w:tc>
          <w:tcPr>
            <w:tcW w:w="4536" w:type="dxa"/>
          </w:tcPr>
          <w:p w:rsidR="00D3288D" w:rsidRPr="00F77999" w:rsidRDefault="00D3288D" w:rsidP="00440FED">
            <w:pPr>
              <w:jc w:val="both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 xml:space="preserve">Autres charges </w:t>
            </w:r>
          </w:p>
        </w:tc>
        <w:tc>
          <w:tcPr>
            <w:tcW w:w="2126" w:type="dxa"/>
            <w:vAlign w:val="center"/>
          </w:tcPr>
          <w:p w:rsidR="00D3288D" w:rsidRPr="00F77999" w:rsidRDefault="00D3288D" w:rsidP="00F77999">
            <w:pPr>
              <w:ind w:right="454"/>
              <w:jc w:val="right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15 438,63</w:t>
            </w:r>
          </w:p>
        </w:tc>
        <w:tc>
          <w:tcPr>
            <w:tcW w:w="2126" w:type="dxa"/>
            <w:vAlign w:val="center"/>
          </w:tcPr>
          <w:p w:rsidR="00D3288D" w:rsidRPr="00F77999" w:rsidRDefault="00D3288D" w:rsidP="00F77999">
            <w:pPr>
              <w:ind w:right="454"/>
              <w:jc w:val="right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12 461,36</w:t>
            </w:r>
          </w:p>
        </w:tc>
        <w:tc>
          <w:tcPr>
            <w:tcW w:w="1243" w:type="dxa"/>
            <w:vAlign w:val="center"/>
          </w:tcPr>
          <w:p w:rsidR="00D3288D" w:rsidRPr="00F77999" w:rsidRDefault="00D3288D" w:rsidP="00F77999">
            <w:pPr>
              <w:ind w:right="57"/>
              <w:jc w:val="right"/>
              <w:rPr>
                <w:sz w:val="22"/>
                <w:szCs w:val="22"/>
              </w:rPr>
            </w:pPr>
            <w:r w:rsidRPr="00F77999">
              <w:rPr>
                <w:sz w:val="22"/>
                <w:szCs w:val="22"/>
              </w:rPr>
              <w:t>2 977,27</w:t>
            </w:r>
          </w:p>
        </w:tc>
      </w:tr>
      <w:tr w:rsidR="00D3288D" w:rsidRPr="00F77999" w:rsidTr="00F77999">
        <w:tc>
          <w:tcPr>
            <w:tcW w:w="4536" w:type="dxa"/>
          </w:tcPr>
          <w:p w:rsidR="00D3288D" w:rsidRPr="00F77999" w:rsidRDefault="00D3288D" w:rsidP="00440FED">
            <w:pPr>
              <w:jc w:val="both"/>
              <w:rPr>
                <w:b/>
                <w:bCs/>
                <w:sz w:val="22"/>
                <w:szCs w:val="22"/>
              </w:rPr>
            </w:pPr>
            <w:r w:rsidRPr="00F77999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126" w:type="dxa"/>
            <w:vAlign w:val="center"/>
          </w:tcPr>
          <w:p w:rsidR="00D3288D" w:rsidRPr="00F77999" w:rsidRDefault="00D3288D" w:rsidP="00F77999">
            <w:pPr>
              <w:ind w:right="454"/>
              <w:jc w:val="right"/>
              <w:rPr>
                <w:b/>
                <w:bCs/>
                <w:sz w:val="22"/>
                <w:szCs w:val="22"/>
              </w:rPr>
            </w:pPr>
            <w:r w:rsidRPr="00F77999">
              <w:rPr>
                <w:b/>
                <w:bCs/>
                <w:sz w:val="22"/>
                <w:szCs w:val="22"/>
              </w:rPr>
              <w:t>48 682,28</w:t>
            </w:r>
          </w:p>
        </w:tc>
        <w:tc>
          <w:tcPr>
            <w:tcW w:w="2126" w:type="dxa"/>
            <w:vAlign w:val="center"/>
          </w:tcPr>
          <w:p w:rsidR="00D3288D" w:rsidRPr="00F77999" w:rsidRDefault="00D3288D" w:rsidP="00F77999">
            <w:pPr>
              <w:ind w:right="454"/>
              <w:jc w:val="right"/>
              <w:rPr>
                <w:b/>
                <w:bCs/>
                <w:sz w:val="22"/>
                <w:szCs w:val="22"/>
              </w:rPr>
            </w:pPr>
            <w:r w:rsidRPr="00F77999">
              <w:rPr>
                <w:b/>
                <w:bCs/>
                <w:sz w:val="22"/>
                <w:szCs w:val="22"/>
              </w:rPr>
              <w:t>28 747,54</w:t>
            </w:r>
          </w:p>
        </w:tc>
        <w:tc>
          <w:tcPr>
            <w:tcW w:w="1243" w:type="dxa"/>
            <w:vAlign w:val="center"/>
          </w:tcPr>
          <w:p w:rsidR="00D3288D" w:rsidRPr="00F77999" w:rsidRDefault="00D3288D" w:rsidP="00F77999">
            <w:pPr>
              <w:ind w:right="57"/>
              <w:jc w:val="right"/>
              <w:rPr>
                <w:b/>
                <w:bCs/>
                <w:sz w:val="22"/>
                <w:szCs w:val="22"/>
              </w:rPr>
            </w:pPr>
            <w:r w:rsidRPr="00F77999">
              <w:rPr>
                <w:b/>
                <w:bCs/>
                <w:sz w:val="22"/>
                <w:szCs w:val="22"/>
              </w:rPr>
              <w:t>19 934,74</w:t>
            </w:r>
          </w:p>
        </w:tc>
      </w:tr>
    </w:tbl>
    <w:p w:rsidR="00D3288D" w:rsidRDefault="00D3288D" w:rsidP="00D7166D">
      <w:pPr>
        <w:pStyle w:val="PS"/>
      </w:pPr>
    </w:p>
    <w:p w:rsidR="00D3288D" w:rsidRDefault="00D3288D" w:rsidP="00D7166D">
      <w:pPr>
        <w:pStyle w:val="PS"/>
      </w:pPr>
      <w:r w:rsidRPr="00F7246C">
        <w:t xml:space="preserve">Considérant que le montant de la dette ainsi mise à sa charge étant inférieur à celui des sommes à justifier figurant dans l’arrêt provisoire n° 53620 </w:t>
      </w:r>
      <w:r>
        <w:t>des 13 octobre 2008 et</w:t>
      </w:r>
      <w:r w:rsidRPr="00F7246C">
        <w:t xml:space="preserve"> 21 janvier 2009, cette circonstance n’est pas de nature à faire grief à l’intéressé ; qu’en conséquence, il ne peut être</w:t>
      </w:r>
      <w:r>
        <w:t xml:space="preserve"> que sursis à la décharge de M. X au 31 octobre 2003 jusqu’à l’apurement du débet ;</w:t>
      </w:r>
    </w:p>
    <w:p w:rsidR="00D3288D" w:rsidRDefault="00D3288D" w:rsidP="00D7166D">
      <w:pPr>
        <w:pStyle w:val="PS"/>
      </w:pPr>
      <w:r>
        <w:t>Attendu qu’aux termes du VIII de l’article 60 modifié de la loi du 23 février 1963 « </w:t>
      </w:r>
      <w:r w:rsidRPr="00432D70">
        <w:t>Les débets portent intérêt au taux légal à compter du premier acte de la mise en jeu de la responsabilité personnelle et pécuniaire des comptables publics</w:t>
      </w:r>
      <w:r>
        <w:t> » ; qu’en l’espèce, il s’agit de la notification de l’arrêt n° 49835 du 26 septembre 2007, intervenue le 28 décembre 2007 ;</w:t>
      </w:r>
    </w:p>
    <w:p w:rsidR="00D3288D" w:rsidRPr="00D7166D" w:rsidRDefault="00D3288D" w:rsidP="00D7166D">
      <w:pPr>
        <w:pStyle w:val="PS"/>
        <w:jc w:val="center"/>
        <w:rPr>
          <w:b/>
          <w:bCs/>
        </w:rPr>
      </w:pPr>
      <w:r w:rsidRPr="00D7166D">
        <w:rPr>
          <w:b/>
          <w:bCs/>
        </w:rPr>
        <w:t>STATUANT DEFINITIVEMENT</w:t>
      </w:r>
    </w:p>
    <w:p w:rsidR="00D3288D" w:rsidRPr="00D7166D" w:rsidRDefault="00D3288D" w:rsidP="00D7166D">
      <w:pPr>
        <w:pStyle w:val="PS"/>
        <w:jc w:val="center"/>
        <w:rPr>
          <w:b/>
          <w:bCs/>
        </w:rPr>
      </w:pPr>
      <w:r w:rsidRPr="00D7166D">
        <w:rPr>
          <w:b/>
          <w:bCs/>
        </w:rPr>
        <w:t>ORDONNE</w:t>
      </w:r>
    </w:p>
    <w:p w:rsidR="00D3288D" w:rsidRDefault="00D3288D" w:rsidP="00D7166D">
      <w:pPr>
        <w:pStyle w:val="PS"/>
      </w:pPr>
      <w:r>
        <w:t>Article 1</w:t>
      </w:r>
      <w:r w:rsidRPr="00432D70">
        <w:rPr>
          <w:vertAlign w:val="superscript"/>
        </w:rPr>
        <w:t>er</w:t>
      </w:r>
      <w:r>
        <w:rPr>
          <w:vertAlign w:val="superscript"/>
        </w:rPr>
        <w:t> </w:t>
      </w:r>
      <w:r>
        <w:t>: L’injonction unique prononcée dans l’arrêt n° 53620 est levée.</w:t>
      </w:r>
    </w:p>
    <w:p w:rsidR="00D3288D" w:rsidRDefault="00D3288D" w:rsidP="00D7166D">
      <w:pPr>
        <w:pStyle w:val="PS"/>
      </w:pPr>
      <w:r>
        <w:t>Article 2</w:t>
      </w:r>
      <w:r>
        <w:rPr>
          <w:vertAlign w:val="superscript"/>
        </w:rPr>
        <w:t> </w:t>
      </w:r>
      <w:r>
        <w:t>: M. X est déclaré débiteur de la somme de 19 934,74 euros envers l’ARHIF, majorée de l’intérêt légal à compter du 28 décembre 2007.</w:t>
      </w:r>
    </w:p>
    <w:p w:rsidR="00D3288D" w:rsidRDefault="00D3288D" w:rsidP="00D7166D">
      <w:pPr>
        <w:pStyle w:val="PS"/>
      </w:pPr>
      <w:r>
        <w:t>Article 3 : Il est sursis à la décharge de M. X de sa gestion 2003 au 31 octobre.</w:t>
      </w:r>
    </w:p>
    <w:p w:rsidR="00D3288D" w:rsidRPr="00660A6D" w:rsidRDefault="00D3288D" w:rsidP="00D7166D">
      <w:pPr>
        <w:pStyle w:val="PS"/>
        <w:jc w:val="center"/>
      </w:pPr>
      <w:r w:rsidRPr="00660A6D">
        <w:t>---------</w:t>
      </w:r>
    </w:p>
    <w:p w:rsidR="00D3288D" w:rsidRDefault="00D3288D" w:rsidP="00D7166D">
      <w:pPr>
        <w:pStyle w:val="PS"/>
      </w:pPr>
      <w:r>
        <w:t xml:space="preserve">Fait et jugé en la Cour des comptes, sixième chambre, troisième section, le vingt-sept octobre deux mil dix. Présents : </w:t>
      </w:r>
      <w:r w:rsidRPr="00A76C94">
        <w:t>M</w:t>
      </w:r>
      <w:r w:rsidRPr="00A76C94">
        <w:rPr>
          <w:vertAlign w:val="superscript"/>
        </w:rPr>
        <w:t>me</w:t>
      </w:r>
      <w:r>
        <w:t xml:space="preserve"> Ruellan, présidente, </w:t>
      </w:r>
      <w:r w:rsidRPr="00A76C94">
        <w:t>M</w:t>
      </w:r>
      <w:r w:rsidRPr="00A76C94">
        <w:rPr>
          <w:vertAlign w:val="superscript"/>
        </w:rPr>
        <w:t>me</w:t>
      </w:r>
      <w:r>
        <w:t> Bellon, MM. Phéline, Vachia, Diricq et Salsmann, conseillers maîtres.</w:t>
      </w:r>
    </w:p>
    <w:p w:rsidR="00D3288D" w:rsidRDefault="00D3288D" w:rsidP="00D7166D">
      <w:pPr>
        <w:pStyle w:val="PS"/>
      </w:pPr>
      <w:r>
        <w:t>Signé : Ruellan, présidente, et Cabec, greffière.</w:t>
      </w:r>
    </w:p>
    <w:p w:rsidR="00D3288D" w:rsidRDefault="00D3288D" w:rsidP="004C2077">
      <w:pPr>
        <w:pStyle w:val="PS"/>
      </w:pPr>
      <w:r>
        <w:t>Collationné, certifié conforme à la minute étant au greffe de la Cour des comptes.</w:t>
      </w:r>
    </w:p>
    <w:p w:rsidR="00D3288D" w:rsidRDefault="00D3288D" w:rsidP="000A00F5">
      <w:pPr>
        <w:pStyle w:val="PS"/>
      </w:pPr>
      <w:r>
        <w:br w:type="page"/>
      </w:r>
      <w:r w:rsidRPr="00A304A2">
        <w:t>En conséquence, la République mande et ordonne à tous huissiers de justice, sur ce requis, de mettre ledit arrêt à exécution, aux procureurs généraux et aux procureurs de la République près les tribunaux de grande instance, d’y tenir la main, à</w:t>
      </w:r>
      <w:r>
        <w:t> </w:t>
      </w:r>
      <w:r w:rsidRPr="00A304A2">
        <w:t>tous commandants et officiers de la force publique, de prêter main-forte, lorsqu’ils en seront légalement requis.</w:t>
      </w:r>
    </w:p>
    <w:p w:rsidR="00D3288D" w:rsidRDefault="00D3288D" w:rsidP="000A00F5">
      <w:pPr>
        <w:pStyle w:val="PS"/>
      </w:pPr>
      <w:r>
        <w:t>Délivré par moi, secrétaire général.</w:t>
      </w:r>
    </w:p>
    <w:p w:rsidR="00D3288D" w:rsidRPr="0076745E" w:rsidRDefault="00D3288D" w:rsidP="00221827">
      <w:pPr>
        <w:pStyle w:val="StylepsNoirPremireligne222cmAvantAutomatiqueApr"/>
        <w:spacing w:before="0" w:beforeAutospacing="0" w:after="0" w:afterAutospacing="0"/>
        <w:ind w:left="5398" w:hanging="11"/>
        <w:jc w:val="center"/>
        <w:rPr>
          <w:b/>
          <w:bCs/>
          <w:color w:val="auto"/>
        </w:rPr>
      </w:pPr>
      <w:r w:rsidRPr="0076745E">
        <w:rPr>
          <w:b/>
          <w:bCs/>
          <w:color w:val="auto"/>
        </w:rPr>
        <w:t>Pour le Secrétaire général</w:t>
      </w:r>
    </w:p>
    <w:p w:rsidR="00D3288D" w:rsidRPr="0076745E" w:rsidRDefault="00D3288D" w:rsidP="00221827">
      <w:pPr>
        <w:pStyle w:val="StylepsNoirPremireligne222cmAvantAutomatiqueApr"/>
        <w:spacing w:before="0" w:beforeAutospacing="0" w:after="0" w:afterAutospacing="0"/>
        <w:ind w:left="5398" w:hanging="11"/>
        <w:jc w:val="center"/>
        <w:rPr>
          <w:b/>
          <w:bCs/>
          <w:color w:val="auto"/>
        </w:rPr>
      </w:pPr>
      <w:r w:rsidRPr="0076745E">
        <w:rPr>
          <w:b/>
          <w:bCs/>
          <w:color w:val="auto"/>
        </w:rPr>
        <w:t>et par délégation</w:t>
      </w:r>
    </w:p>
    <w:p w:rsidR="00D3288D" w:rsidRPr="0076745E" w:rsidRDefault="00D3288D" w:rsidP="00221827">
      <w:pPr>
        <w:pStyle w:val="StylepsNoirPremireligne222cmAvantAutomatiqueApr"/>
        <w:spacing w:before="0" w:beforeAutospacing="0"/>
        <w:ind w:left="5398" w:hanging="11"/>
        <w:jc w:val="center"/>
        <w:rPr>
          <w:b/>
          <w:bCs/>
          <w:color w:val="auto"/>
        </w:rPr>
      </w:pPr>
      <w:r w:rsidRPr="0076745E">
        <w:rPr>
          <w:b/>
          <w:bCs/>
          <w:color w:val="auto"/>
        </w:rPr>
        <w:t>le Chef du greffe contentieux</w:t>
      </w:r>
    </w:p>
    <w:p w:rsidR="00D3288D" w:rsidRPr="0076745E" w:rsidRDefault="00D3288D" w:rsidP="00221827">
      <w:pPr>
        <w:pStyle w:val="StylepsNoirPremireligne222cmAvantAutomatiqueApr"/>
        <w:ind w:left="5398" w:hanging="11"/>
        <w:jc w:val="center"/>
        <w:rPr>
          <w:b/>
          <w:bCs/>
          <w:color w:val="auto"/>
        </w:rPr>
      </w:pPr>
    </w:p>
    <w:p w:rsidR="00D3288D" w:rsidRPr="0076745E" w:rsidRDefault="00D3288D" w:rsidP="00221827">
      <w:pPr>
        <w:pStyle w:val="StylepsNoirPremireligne222cmAvantAutomatiqueApr"/>
        <w:ind w:left="5398" w:hanging="11"/>
        <w:jc w:val="center"/>
        <w:rPr>
          <w:b/>
          <w:bCs/>
          <w:color w:val="auto"/>
        </w:rPr>
      </w:pPr>
    </w:p>
    <w:p w:rsidR="00D3288D" w:rsidRPr="0076745E" w:rsidRDefault="00D3288D" w:rsidP="00221827">
      <w:pPr>
        <w:pStyle w:val="StylepsNoirPremireligne222cmAvantAutomatiqueApr"/>
        <w:ind w:left="5398" w:hanging="11"/>
        <w:jc w:val="center"/>
        <w:rPr>
          <w:b/>
          <w:bCs/>
          <w:color w:val="auto"/>
        </w:rPr>
      </w:pPr>
    </w:p>
    <w:p w:rsidR="00D3288D" w:rsidRPr="0076745E" w:rsidRDefault="00D3288D" w:rsidP="00221827">
      <w:pPr>
        <w:pStyle w:val="StylepsNoirPremireligne222cmAvantAutomatiqueApr"/>
        <w:spacing w:after="0" w:afterAutospacing="0"/>
        <w:ind w:left="5398" w:hanging="11"/>
        <w:jc w:val="center"/>
        <w:rPr>
          <w:b/>
          <w:bCs/>
        </w:rPr>
      </w:pPr>
      <w:r w:rsidRPr="0076745E">
        <w:rPr>
          <w:b/>
          <w:bCs/>
          <w:color w:val="auto"/>
        </w:rPr>
        <w:t>Daniel FEREZ</w:t>
      </w:r>
    </w:p>
    <w:p w:rsidR="00D3288D" w:rsidRPr="0076745E" w:rsidRDefault="00D3288D" w:rsidP="00D7166D">
      <w:pPr>
        <w:pStyle w:val="PS"/>
      </w:pPr>
    </w:p>
    <w:p w:rsidR="00D3288D" w:rsidRPr="0076745E" w:rsidRDefault="00D3288D" w:rsidP="00D7166D">
      <w:pPr>
        <w:pStyle w:val="PS"/>
      </w:pPr>
    </w:p>
    <w:p w:rsidR="00D3288D" w:rsidRDefault="00D3288D" w:rsidP="00D7166D">
      <w:pPr>
        <w:pStyle w:val="PS"/>
      </w:pPr>
      <w:r w:rsidRPr="0076745E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sectPr w:rsidR="00D3288D" w:rsidSect="00800AE4">
      <w:headerReference w:type="default" r:id="rId7"/>
      <w:pgSz w:w="11907" w:h="16840" w:code="9"/>
      <w:pgMar w:top="1418" w:right="1134" w:bottom="1418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88D" w:rsidRDefault="00D3288D">
      <w:r>
        <w:separator/>
      </w:r>
    </w:p>
  </w:endnote>
  <w:endnote w:type="continuationSeparator" w:id="1">
    <w:p w:rsidR="00D3288D" w:rsidRDefault="00D32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88D" w:rsidRDefault="00D3288D" w:rsidP="00A076C5">
      <w:pPr>
        <w:ind w:left="1701"/>
      </w:pPr>
      <w:r>
        <w:separator/>
      </w:r>
    </w:p>
  </w:footnote>
  <w:footnote w:type="continuationSeparator" w:id="1">
    <w:p w:rsidR="00D3288D" w:rsidRDefault="00D328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8D" w:rsidRPr="0045472C" w:rsidRDefault="00D3288D" w:rsidP="00800AE4">
    <w:pPr>
      <w:pStyle w:val="Header"/>
      <w:jc w:val="right"/>
      <w:rPr>
        <w:sz w:val="24"/>
        <w:szCs w:val="24"/>
      </w:rPr>
    </w:pPr>
    <w:r w:rsidRPr="0045472C">
      <w:rPr>
        <w:rStyle w:val="PageNumber"/>
        <w:sz w:val="24"/>
        <w:szCs w:val="24"/>
      </w:rPr>
      <w:fldChar w:fldCharType="begin"/>
    </w:r>
    <w:r w:rsidRPr="0045472C">
      <w:rPr>
        <w:rStyle w:val="PageNumber"/>
        <w:sz w:val="24"/>
        <w:szCs w:val="24"/>
      </w:rPr>
      <w:instrText xml:space="preserve"> PAGE </w:instrText>
    </w:r>
    <w:r w:rsidRPr="0045472C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2</w:t>
    </w:r>
    <w:r w:rsidRPr="0045472C">
      <w:rPr>
        <w:rStyle w:val="PageNumber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8D" w:rsidRPr="0045472C" w:rsidRDefault="00D3288D" w:rsidP="00800AE4">
    <w:pPr>
      <w:pStyle w:val="Header"/>
      <w:jc w:val="right"/>
      <w:rPr>
        <w:sz w:val="24"/>
        <w:szCs w:val="24"/>
      </w:rPr>
    </w:pPr>
    <w:r w:rsidRPr="0045472C">
      <w:rPr>
        <w:rStyle w:val="PageNumber"/>
        <w:sz w:val="24"/>
        <w:szCs w:val="24"/>
      </w:rPr>
      <w:fldChar w:fldCharType="begin"/>
    </w:r>
    <w:r w:rsidRPr="0045472C">
      <w:rPr>
        <w:rStyle w:val="PageNumber"/>
        <w:sz w:val="24"/>
        <w:szCs w:val="24"/>
      </w:rPr>
      <w:instrText xml:space="preserve"> PAGE </w:instrText>
    </w:r>
    <w:r w:rsidRPr="0045472C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6</w:t>
    </w:r>
    <w:r w:rsidRPr="0045472C">
      <w:rPr>
        <w:rStyle w:val="PageNumber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6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23A24"/>
    <w:rsid w:val="00041A90"/>
    <w:rsid w:val="00057AF3"/>
    <w:rsid w:val="00067977"/>
    <w:rsid w:val="00074FD1"/>
    <w:rsid w:val="000A00F5"/>
    <w:rsid w:val="000B31C9"/>
    <w:rsid w:val="000D53D9"/>
    <w:rsid w:val="000F2929"/>
    <w:rsid w:val="001049B1"/>
    <w:rsid w:val="0013742C"/>
    <w:rsid w:val="001562E9"/>
    <w:rsid w:val="001B709E"/>
    <w:rsid w:val="001C0DA1"/>
    <w:rsid w:val="002140BD"/>
    <w:rsid w:val="00221827"/>
    <w:rsid w:val="002908F2"/>
    <w:rsid w:val="00295F1C"/>
    <w:rsid w:val="00296EEE"/>
    <w:rsid w:val="002B0244"/>
    <w:rsid w:val="00301BFD"/>
    <w:rsid w:val="00326789"/>
    <w:rsid w:val="00326AF8"/>
    <w:rsid w:val="00344CE3"/>
    <w:rsid w:val="00361D16"/>
    <w:rsid w:val="0038230E"/>
    <w:rsid w:val="00400DE4"/>
    <w:rsid w:val="00404B72"/>
    <w:rsid w:val="00432D70"/>
    <w:rsid w:val="00440FED"/>
    <w:rsid w:val="0045472C"/>
    <w:rsid w:val="00454C15"/>
    <w:rsid w:val="004748DB"/>
    <w:rsid w:val="00481D2D"/>
    <w:rsid w:val="004B3AE9"/>
    <w:rsid w:val="004C2077"/>
    <w:rsid w:val="00505943"/>
    <w:rsid w:val="0050717D"/>
    <w:rsid w:val="00507B29"/>
    <w:rsid w:val="00513D1B"/>
    <w:rsid w:val="005808F5"/>
    <w:rsid w:val="005D19DD"/>
    <w:rsid w:val="005F15CB"/>
    <w:rsid w:val="00602AF2"/>
    <w:rsid w:val="00660A6D"/>
    <w:rsid w:val="006D2EC2"/>
    <w:rsid w:val="006E4C04"/>
    <w:rsid w:val="006F314D"/>
    <w:rsid w:val="00700587"/>
    <w:rsid w:val="00745916"/>
    <w:rsid w:val="0076745E"/>
    <w:rsid w:val="0077674A"/>
    <w:rsid w:val="007A50CC"/>
    <w:rsid w:val="007C65EE"/>
    <w:rsid w:val="007F7064"/>
    <w:rsid w:val="00800AE4"/>
    <w:rsid w:val="0080250D"/>
    <w:rsid w:val="00815C5F"/>
    <w:rsid w:val="0083775E"/>
    <w:rsid w:val="00892518"/>
    <w:rsid w:val="008B4B7A"/>
    <w:rsid w:val="008C709E"/>
    <w:rsid w:val="008D7BD4"/>
    <w:rsid w:val="00924143"/>
    <w:rsid w:val="00947396"/>
    <w:rsid w:val="009549E4"/>
    <w:rsid w:val="009715C7"/>
    <w:rsid w:val="009B4958"/>
    <w:rsid w:val="00A066A8"/>
    <w:rsid w:val="00A076C5"/>
    <w:rsid w:val="00A21BDB"/>
    <w:rsid w:val="00A22280"/>
    <w:rsid w:val="00A304A2"/>
    <w:rsid w:val="00A7674E"/>
    <w:rsid w:val="00A76C94"/>
    <w:rsid w:val="00A77B08"/>
    <w:rsid w:val="00A83673"/>
    <w:rsid w:val="00AD77BD"/>
    <w:rsid w:val="00B12CCE"/>
    <w:rsid w:val="00B371E5"/>
    <w:rsid w:val="00B80A89"/>
    <w:rsid w:val="00B8373D"/>
    <w:rsid w:val="00B87754"/>
    <w:rsid w:val="00B87B74"/>
    <w:rsid w:val="00BB106E"/>
    <w:rsid w:val="00BB4B36"/>
    <w:rsid w:val="00BB664A"/>
    <w:rsid w:val="00BF51D6"/>
    <w:rsid w:val="00C136EC"/>
    <w:rsid w:val="00C53620"/>
    <w:rsid w:val="00C53F02"/>
    <w:rsid w:val="00C618A5"/>
    <w:rsid w:val="00C6759F"/>
    <w:rsid w:val="00CC7895"/>
    <w:rsid w:val="00CD3787"/>
    <w:rsid w:val="00CF24E9"/>
    <w:rsid w:val="00D107B0"/>
    <w:rsid w:val="00D3288D"/>
    <w:rsid w:val="00D7166D"/>
    <w:rsid w:val="00D773FB"/>
    <w:rsid w:val="00D90E1E"/>
    <w:rsid w:val="00DB4808"/>
    <w:rsid w:val="00DB66EA"/>
    <w:rsid w:val="00DD2F79"/>
    <w:rsid w:val="00E06F6E"/>
    <w:rsid w:val="00E36727"/>
    <w:rsid w:val="00E57F85"/>
    <w:rsid w:val="00EA2BEC"/>
    <w:rsid w:val="00EF12EE"/>
    <w:rsid w:val="00F61E5D"/>
    <w:rsid w:val="00F7246C"/>
    <w:rsid w:val="00F77999"/>
    <w:rsid w:val="00F802F7"/>
    <w:rsid w:val="00FC7CEC"/>
    <w:rsid w:val="00FD01AF"/>
    <w:rsid w:val="00FF1C1B"/>
    <w:rsid w:val="00FF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0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F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02AF2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2AF2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602AF2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D01A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FD01AF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D01AF"/>
    <w:rPr>
      <w:rFonts w:ascii="Cambria" w:hAnsi="Cambria" w:cs="Cambria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602AF2"/>
    <w:pPr>
      <w:ind w:left="708"/>
    </w:pPr>
  </w:style>
  <w:style w:type="paragraph" w:styleId="Header">
    <w:name w:val="header"/>
    <w:basedOn w:val="Normal"/>
    <w:link w:val="HeaderChar"/>
    <w:uiPriority w:val="99"/>
    <w:rsid w:val="00602AF2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1AF"/>
    <w:rPr>
      <w:sz w:val="20"/>
      <w:szCs w:val="20"/>
    </w:rPr>
  </w:style>
  <w:style w:type="paragraph" w:customStyle="1" w:styleId="ET">
    <w:name w:val="ET"/>
    <w:basedOn w:val="Normal"/>
    <w:link w:val="ETCar"/>
    <w:uiPriority w:val="99"/>
    <w:rsid w:val="00602AF2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602AF2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602AF2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602AF2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602AF2"/>
    <w:pPr>
      <w:spacing w:after="240"/>
      <w:ind w:firstLine="1418"/>
    </w:pPr>
  </w:style>
  <w:style w:type="paragraph" w:customStyle="1" w:styleId="IN">
    <w:name w:val="IN"/>
    <w:basedOn w:val="P0"/>
    <w:link w:val="INCar"/>
    <w:uiPriority w:val="99"/>
    <w:rsid w:val="00602AF2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602AF2"/>
    <w:pPr>
      <w:ind w:left="0"/>
    </w:pPr>
  </w:style>
  <w:style w:type="paragraph" w:customStyle="1" w:styleId="PE">
    <w:name w:val="PE"/>
    <w:basedOn w:val="IN"/>
    <w:uiPriority w:val="99"/>
    <w:rsid w:val="00602AF2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602AF2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autoRedefine/>
    <w:uiPriority w:val="99"/>
    <w:rsid w:val="00D7166D"/>
    <w:pPr>
      <w:spacing w:after="36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602AF2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rsid w:val="00326A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01AF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326AF8"/>
  </w:style>
  <w:style w:type="character" w:customStyle="1" w:styleId="ETCar">
    <w:name w:val="ET Car"/>
    <w:basedOn w:val="DefaultParagraphFont"/>
    <w:link w:val="ET"/>
    <w:uiPriority w:val="99"/>
    <w:rsid w:val="00326AF8"/>
    <w:rPr>
      <w:b/>
      <w:bCs/>
      <w:caps/>
      <w:sz w:val="24"/>
      <w:szCs w:val="24"/>
      <w:lang w:val="fr-FR" w:eastAsia="fr-FR"/>
    </w:rPr>
  </w:style>
  <w:style w:type="character" w:customStyle="1" w:styleId="INCar">
    <w:name w:val="IN Car"/>
    <w:basedOn w:val="DefaultParagraphFont"/>
    <w:link w:val="IN"/>
    <w:uiPriority w:val="99"/>
    <w:rsid w:val="00326AF8"/>
    <w:rPr>
      <w:i/>
      <w:iCs/>
      <w:sz w:val="16"/>
      <w:szCs w:val="16"/>
      <w:lang w:val="fr-FR" w:eastAsia="fr-FR"/>
    </w:rPr>
  </w:style>
  <w:style w:type="character" w:customStyle="1" w:styleId="PSCar">
    <w:name w:val="PS Car"/>
    <w:basedOn w:val="INCar"/>
    <w:link w:val="PS"/>
    <w:uiPriority w:val="99"/>
    <w:rsid w:val="00D7166D"/>
    <w:rPr>
      <w:sz w:val="24"/>
      <w:szCs w:val="24"/>
    </w:rPr>
  </w:style>
  <w:style w:type="paragraph" w:customStyle="1" w:styleId="Style">
    <w:name w:val="Style"/>
    <w:basedOn w:val="Normal"/>
    <w:uiPriority w:val="99"/>
    <w:rsid w:val="00326AF8"/>
    <w:pPr>
      <w:spacing w:after="160" w:line="240" w:lineRule="exact"/>
    </w:pPr>
    <w:rPr>
      <w:rFonts w:ascii="Tahoma" w:hAnsi="Tahoma" w:cs="Tahoma"/>
      <w:lang w:val="en-US" w:eastAsia="en-US"/>
    </w:rPr>
  </w:style>
  <w:style w:type="paragraph" w:customStyle="1" w:styleId="StylepsNoirPremireligne222cmAvantAutomatiqueApr">
    <w:name w:val="Style ps + Noir Première ligne : 2.22 cm Avant : Automatique Apr..."/>
    <w:basedOn w:val="Normal"/>
    <w:uiPriority w:val="99"/>
    <w:rsid w:val="001C0DA1"/>
    <w:pPr>
      <w:spacing w:before="100" w:beforeAutospacing="1" w:after="100" w:afterAutospacing="1"/>
      <w:ind w:firstLine="1259"/>
      <w:jc w:val="both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1C0D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AF"/>
    <w:rPr>
      <w:sz w:val="2"/>
      <w:szCs w:val="2"/>
    </w:rPr>
  </w:style>
  <w:style w:type="paragraph" w:styleId="DocumentMap">
    <w:name w:val="Document Map"/>
    <w:basedOn w:val="Normal"/>
    <w:link w:val="DocumentMapChar"/>
    <w:uiPriority w:val="99"/>
    <w:semiHidden/>
    <w:rsid w:val="00CF24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01AF"/>
    <w:rPr>
      <w:sz w:val="2"/>
      <w:szCs w:val="2"/>
    </w:rPr>
  </w:style>
  <w:style w:type="paragraph" w:customStyle="1" w:styleId="CarCar1CarCarCar">
    <w:name w:val="Car Car1 Car Car Car"/>
    <w:basedOn w:val="Normal"/>
    <w:uiPriority w:val="99"/>
    <w:rsid w:val="001B709E"/>
    <w:pPr>
      <w:spacing w:after="160" w:line="240" w:lineRule="exact"/>
    </w:pPr>
    <w:rPr>
      <w:rFonts w:ascii="Tahoma" w:hAnsi="Tahoma" w:cs="Tahoma"/>
      <w:lang w:val="en-US" w:eastAsia="en-US"/>
    </w:rPr>
  </w:style>
  <w:style w:type="character" w:customStyle="1" w:styleId="P0Car">
    <w:name w:val="P0 Car"/>
    <w:basedOn w:val="DefaultParagraphFont"/>
    <w:link w:val="P0"/>
    <w:uiPriority w:val="99"/>
    <w:rsid w:val="001B709E"/>
    <w:rPr>
      <w:sz w:val="24"/>
      <w:szCs w:val="24"/>
      <w:lang w:val="fr-FR" w:eastAsia="fr-FR"/>
    </w:rPr>
  </w:style>
  <w:style w:type="paragraph" w:customStyle="1" w:styleId="CarCar2CarCarCarCar1CarCarCarCarCarCarCarCar">
    <w:name w:val="Car Car2 Car Car Car Car1 Car Car Car Car Car Car Car Car"/>
    <w:basedOn w:val="Normal"/>
    <w:uiPriority w:val="99"/>
    <w:rsid w:val="00326789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326789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1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326789"/>
    <w:rPr>
      <w:vertAlign w:val="superscript"/>
    </w:rPr>
  </w:style>
  <w:style w:type="table" w:styleId="TableGrid">
    <w:name w:val="Table Grid"/>
    <w:basedOn w:val="TableNormal"/>
    <w:uiPriority w:val="99"/>
    <w:rsid w:val="00074FD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1">
    <w:name w:val="Car Car1"/>
    <w:basedOn w:val="Normal"/>
    <w:uiPriority w:val="99"/>
    <w:rsid w:val="00CC7895"/>
    <w:pPr>
      <w:widowControl w:val="0"/>
      <w:overflowPunct w:val="0"/>
      <w:autoSpaceDE w:val="0"/>
      <w:autoSpaceDN w:val="0"/>
      <w:adjustRightInd w:val="0"/>
      <w:spacing w:after="160" w:line="240" w:lineRule="exact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14</TotalTime>
  <Pages>6</Pages>
  <Words>1753</Words>
  <Characters>9646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JP Bonin</cp:lastModifiedBy>
  <cp:revision>5</cp:revision>
  <cp:lastPrinted>2011-01-10T09:58:00Z</cp:lastPrinted>
  <dcterms:created xsi:type="dcterms:W3CDTF">2011-02-02T18:19:00Z</dcterms:created>
  <dcterms:modified xsi:type="dcterms:W3CDTF">2011-02-03T11:03:00Z</dcterms:modified>
</cp:coreProperties>
</file>