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54A" w:rsidRDefault="00B5054A">
      <w:pPr>
        <w:pStyle w:val="ET"/>
      </w:pPr>
      <w:r>
        <w:t>COUR DES COMPTES</w:t>
      </w:r>
    </w:p>
    <w:p w:rsidR="00B5054A" w:rsidRDefault="00B5054A">
      <w:pPr>
        <w:pStyle w:val="ET"/>
      </w:pPr>
      <w:r>
        <w:tab/>
        <w:t xml:space="preserve">    ------ </w:t>
      </w:r>
    </w:p>
    <w:p w:rsidR="00B5054A" w:rsidRDefault="00B5054A">
      <w:pPr>
        <w:pStyle w:val="ET"/>
      </w:pPr>
      <w:r>
        <w:t>TROISIEME CHAMBRE</w:t>
      </w:r>
    </w:p>
    <w:p w:rsidR="00B5054A" w:rsidRDefault="00B5054A" w:rsidP="000434DD">
      <w:pPr>
        <w:pStyle w:val="ET"/>
      </w:pPr>
      <w:r>
        <w:tab/>
        <w:t xml:space="preserve">    ------ </w:t>
      </w:r>
    </w:p>
    <w:p w:rsidR="00B5054A" w:rsidRDefault="00B5054A">
      <w:pPr>
        <w:pStyle w:val="ET"/>
      </w:pPr>
      <w:r>
        <w:t>QUATRIEME SECTION</w:t>
      </w:r>
    </w:p>
    <w:p w:rsidR="00B5054A" w:rsidRDefault="00B5054A">
      <w:pPr>
        <w:pStyle w:val="ET"/>
      </w:pPr>
      <w:r>
        <w:tab/>
        <w:t xml:space="preserve">    ------ </w:t>
      </w:r>
    </w:p>
    <w:p w:rsidR="00B5054A" w:rsidRPr="005D0918" w:rsidRDefault="00B5054A" w:rsidP="000434DD">
      <w:pPr>
        <w:pStyle w:val="Header"/>
        <w:rPr>
          <w:b/>
          <w:bCs/>
          <w:i/>
          <w:iCs/>
        </w:rPr>
      </w:pPr>
      <w:r w:rsidRPr="005D0918">
        <w:t xml:space="preserve">       </w:t>
      </w:r>
      <w:r w:rsidRPr="005D0918">
        <w:rPr>
          <w:b/>
          <w:bCs/>
          <w:i/>
          <w:iCs/>
        </w:rPr>
        <w:t xml:space="preserve">Arrêt n° </w:t>
      </w:r>
      <w:r>
        <w:rPr>
          <w:b/>
          <w:bCs/>
          <w:i/>
          <w:iCs/>
        </w:rPr>
        <w:t>60386</w:t>
      </w:r>
      <w:r>
        <w:fldChar w:fldCharType="begin"/>
      </w:r>
      <w:r>
        <w:fldChar w:fldCharType="end"/>
      </w:r>
    </w:p>
    <w:p w:rsidR="00B5054A" w:rsidRPr="005D0918" w:rsidRDefault="00B5054A" w:rsidP="001C5029">
      <w:pPr>
        <w:pStyle w:val="OR"/>
        <w:tabs>
          <w:tab w:val="left" w:pos="5387"/>
        </w:tabs>
        <w:ind w:left="5529" w:right="-284"/>
      </w:pPr>
      <w:r>
        <w:t>AGENCE NATIONALE DE LA RECHERCHE (ANR)</w:t>
      </w:r>
    </w:p>
    <w:p w:rsidR="00B5054A" w:rsidRPr="005D0918" w:rsidRDefault="00B5054A" w:rsidP="001C5029">
      <w:pPr>
        <w:pStyle w:val="OR"/>
        <w:ind w:left="5529" w:right="-284"/>
      </w:pPr>
    </w:p>
    <w:p w:rsidR="00B5054A" w:rsidRDefault="00B5054A" w:rsidP="001C5029">
      <w:pPr>
        <w:pStyle w:val="OR"/>
        <w:ind w:left="5529"/>
      </w:pPr>
      <w:r>
        <w:t>Rapport n° 2010-860-0</w:t>
      </w:r>
    </w:p>
    <w:p w:rsidR="00B5054A" w:rsidRDefault="00B5054A" w:rsidP="001C5029">
      <w:pPr>
        <w:pStyle w:val="OR"/>
        <w:ind w:left="5529"/>
      </w:pPr>
    </w:p>
    <w:p w:rsidR="00B5054A" w:rsidRDefault="00B5054A" w:rsidP="001C5029">
      <w:pPr>
        <w:pStyle w:val="OR"/>
        <w:ind w:left="5529"/>
      </w:pPr>
      <w:r>
        <w:t>Audience publique et délibéré du 7 février 2011</w:t>
      </w:r>
    </w:p>
    <w:p w:rsidR="00B5054A" w:rsidRDefault="00B5054A" w:rsidP="001C5029">
      <w:pPr>
        <w:pStyle w:val="OR"/>
        <w:ind w:left="5529"/>
      </w:pPr>
    </w:p>
    <w:p w:rsidR="00B5054A" w:rsidRDefault="00B5054A" w:rsidP="001C5029">
      <w:pPr>
        <w:pStyle w:val="OR"/>
        <w:ind w:left="5529"/>
      </w:pPr>
      <w:r>
        <w:t>Lecture publique du 4 avril 2011</w:t>
      </w:r>
    </w:p>
    <w:p w:rsidR="00B5054A" w:rsidRDefault="00B5054A">
      <w:pPr>
        <w:pStyle w:val="PS"/>
      </w:pPr>
    </w:p>
    <w:p w:rsidR="00B5054A" w:rsidRDefault="00B5054A">
      <w:pPr>
        <w:pStyle w:val="PS"/>
      </w:pPr>
      <w:r>
        <w:t>LA COUR DES COMPTES a rendu l’arrêt suivant :</w:t>
      </w:r>
    </w:p>
    <w:p w:rsidR="00B5054A" w:rsidRDefault="00B5054A">
      <w:pPr>
        <w:pStyle w:val="PS"/>
      </w:pPr>
      <w:r>
        <w:t>LA COUR,</w:t>
      </w:r>
    </w:p>
    <w:p w:rsidR="00B5054A" w:rsidRPr="009213DA" w:rsidRDefault="00B5054A" w:rsidP="00DC36EC">
      <w:pPr>
        <w:pStyle w:val="PS"/>
      </w:pPr>
      <w:r w:rsidRPr="009213DA">
        <w:t>Vu le réquisitoire n° 2010-73 RQ-DB du 1er septembre 2010 par lequel le Procureur général près la Cour des comptes a saisi la Troisième Chambre de la Cour d’une présomption de charge concernant M.</w:t>
      </w:r>
      <w:r>
        <w:t> X</w:t>
      </w:r>
      <w:r w:rsidRPr="009213DA">
        <w:t>, agent comptable de l’Agence nationale de la recherche (ANR) ;</w:t>
      </w:r>
    </w:p>
    <w:p w:rsidR="00B5054A" w:rsidRPr="009213DA" w:rsidRDefault="00B5054A" w:rsidP="001B7F39">
      <w:pPr>
        <w:pStyle w:val="PS"/>
      </w:pPr>
      <w:r w:rsidRPr="009213DA">
        <w:t>Vu le code des juridictions financières, notamment ses articles L.</w:t>
      </w:r>
      <w:r>
        <w:t> </w:t>
      </w:r>
      <w:r w:rsidRPr="009213DA">
        <w:t>142-1 III, R.</w:t>
      </w:r>
      <w:r>
        <w:t> </w:t>
      </w:r>
      <w:r w:rsidRPr="009213DA">
        <w:t>141-13 et suivants ;</w:t>
      </w:r>
    </w:p>
    <w:p w:rsidR="00B5054A" w:rsidRPr="009213DA" w:rsidRDefault="00B5054A" w:rsidP="002523DD">
      <w:pPr>
        <w:pStyle w:val="PS"/>
      </w:pPr>
      <w:r w:rsidRPr="009213DA">
        <w:t>Vu l'article 60 de la loi de finances n° 63-156 du 23 février 1963 ;</w:t>
      </w:r>
    </w:p>
    <w:p w:rsidR="00B5054A" w:rsidRPr="009213DA" w:rsidRDefault="00B5054A" w:rsidP="002523DD">
      <w:pPr>
        <w:pStyle w:val="PS"/>
      </w:pPr>
      <w:r w:rsidRPr="009213DA">
        <w:t xml:space="preserve">Vu le décret n° 62-1587 du 29 décembre 1962 modifié portant règlement de la comptabilité publique ; </w:t>
      </w:r>
    </w:p>
    <w:p w:rsidR="00B5054A" w:rsidRPr="009213DA" w:rsidRDefault="00B5054A" w:rsidP="002523DD">
      <w:pPr>
        <w:pStyle w:val="PS"/>
      </w:pPr>
      <w:r w:rsidRPr="009213DA">
        <w:t>Vu l’arrêté du Premier Président du 2 février 2011, portant répartition des attributions entre les chambres de la Cour des Comptes ;</w:t>
      </w:r>
    </w:p>
    <w:p w:rsidR="00B5054A" w:rsidRDefault="00B5054A" w:rsidP="002523DD">
      <w:pPr>
        <w:pStyle w:val="PS"/>
      </w:pPr>
      <w:r w:rsidRPr="009213DA">
        <w:t xml:space="preserve">Vu la lettre en date du 20 octobre 2010 par laquelle le président de la troisième chambre de la Cour a désigné </w:t>
      </w:r>
      <w:r w:rsidRPr="00A76C94">
        <w:t>M</w:t>
      </w:r>
      <w:r w:rsidRPr="00A76C94">
        <w:rPr>
          <w:vertAlign w:val="superscript"/>
        </w:rPr>
        <w:t>me</w:t>
      </w:r>
      <w:r>
        <w:t xml:space="preserve"> </w:t>
      </w:r>
      <w:r w:rsidRPr="009213DA">
        <w:t>Valérie Charolles, conseillère référendaire, pour instruire ce dossier ;</w:t>
      </w:r>
    </w:p>
    <w:p w:rsidR="00B5054A" w:rsidRPr="009213DA" w:rsidRDefault="00B5054A" w:rsidP="002523DD">
      <w:pPr>
        <w:pStyle w:val="PS"/>
        <w:spacing w:after="240"/>
      </w:pPr>
      <w:r w:rsidRPr="009213DA">
        <w:t xml:space="preserve">Vu la notification du réquisitoire </w:t>
      </w:r>
      <w:r>
        <w:t xml:space="preserve">en date du 21 octobre 2010 à M. </w:t>
      </w:r>
      <w:r w:rsidRPr="009213DA">
        <w:t xml:space="preserve">X, comptable ainsi qu’à </w:t>
      </w:r>
      <w:r w:rsidRPr="00A76C94">
        <w:t>M</w:t>
      </w:r>
      <w:r w:rsidRPr="00A76C94">
        <w:rPr>
          <w:vertAlign w:val="superscript"/>
        </w:rPr>
        <w:t>me</w:t>
      </w:r>
      <w:r w:rsidRPr="009213DA">
        <w:t xml:space="preserve">  Y, </w:t>
      </w:r>
      <w:r>
        <w:t>d</w:t>
      </w:r>
      <w:r w:rsidRPr="009213DA">
        <w:t>irectrice générale de l’Agence nationale de la recherche ;</w:t>
      </w:r>
    </w:p>
    <w:p w:rsidR="00B5054A" w:rsidRDefault="00B5054A" w:rsidP="002523DD">
      <w:pPr>
        <w:pStyle w:val="PS"/>
        <w:sectPr w:rsidR="00B5054A" w:rsidSect="002523DD">
          <w:headerReference w:type="default" r:id="rId7"/>
          <w:pgSz w:w="11907" w:h="16840" w:code="9"/>
          <w:pgMar w:top="1134" w:right="1134" w:bottom="964" w:left="567" w:header="720" w:footer="720" w:gutter="0"/>
          <w:cols w:space="720"/>
          <w:titlePg/>
        </w:sectPr>
      </w:pPr>
    </w:p>
    <w:p w:rsidR="00B5054A" w:rsidRPr="009213DA" w:rsidRDefault="00B5054A" w:rsidP="002523DD">
      <w:pPr>
        <w:pStyle w:val="PS"/>
      </w:pPr>
      <w:r w:rsidRPr="009213DA">
        <w:t>Vu l’ensemble des pièces jointes au réquisitoire ;</w:t>
      </w:r>
    </w:p>
    <w:p w:rsidR="00B5054A" w:rsidRPr="009213DA" w:rsidRDefault="00B5054A" w:rsidP="002523DD">
      <w:pPr>
        <w:pStyle w:val="PS"/>
      </w:pPr>
      <w:r w:rsidRPr="009213DA">
        <w:t xml:space="preserve">Vu la réponse de M. X en date du 27 octobre 2010 ;  </w:t>
      </w:r>
    </w:p>
    <w:p w:rsidR="00B5054A" w:rsidRPr="009213DA" w:rsidRDefault="00B5054A" w:rsidP="002523DD">
      <w:pPr>
        <w:pStyle w:val="PS"/>
      </w:pPr>
      <w:r w:rsidRPr="009213DA">
        <w:t xml:space="preserve">Vu le rapport à fin d’arrêt n° 2010-860-0 de </w:t>
      </w:r>
      <w:r w:rsidRPr="00DE58E4">
        <w:t>M</w:t>
      </w:r>
      <w:r w:rsidRPr="00DE58E4">
        <w:rPr>
          <w:vertAlign w:val="superscript"/>
        </w:rPr>
        <w:t>me</w:t>
      </w:r>
      <w:r>
        <w:t xml:space="preserve"> </w:t>
      </w:r>
      <w:r w:rsidRPr="009213DA">
        <w:t>Valérie Charolles, conseillère référendaire, transmis au Procureur général près la Cour des comptes le 7</w:t>
      </w:r>
      <w:r>
        <w:t> </w:t>
      </w:r>
      <w:r w:rsidRPr="009213DA">
        <w:t>décembre 2010 ;</w:t>
      </w:r>
    </w:p>
    <w:p w:rsidR="00B5054A" w:rsidRPr="009213DA" w:rsidRDefault="00B5054A" w:rsidP="002523DD">
      <w:pPr>
        <w:pStyle w:val="PS"/>
      </w:pPr>
      <w:r w:rsidRPr="009213DA">
        <w:t xml:space="preserve">Vu les conclusions n° 877 du Procureur général près la Cour des comptes en date du 23 décembre 2010 ; </w:t>
      </w:r>
    </w:p>
    <w:p w:rsidR="00B5054A" w:rsidRPr="009213DA" w:rsidRDefault="00B5054A" w:rsidP="002523DD">
      <w:pPr>
        <w:pStyle w:val="PS"/>
      </w:pPr>
      <w:r w:rsidRPr="009213DA">
        <w:t>Vu les lettres de notification de l’audience publique adressée</w:t>
      </w:r>
      <w:r>
        <w:t>s</w:t>
      </w:r>
      <w:r w:rsidRPr="009213DA">
        <w:t xml:space="preserve"> au comptable et à l’ordonnateur les 11 et 19 janvier 2011</w:t>
      </w:r>
      <w:r>
        <w:t xml:space="preserve"> </w:t>
      </w:r>
      <w:r w:rsidRPr="009213DA">
        <w:t>;</w:t>
      </w:r>
    </w:p>
    <w:p w:rsidR="00B5054A" w:rsidRPr="009213DA" w:rsidRDefault="00B5054A" w:rsidP="002523DD">
      <w:pPr>
        <w:pStyle w:val="PS"/>
      </w:pPr>
      <w:r w:rsidRPr="009213DA">
        <w:t>Vu la feuille de présence à l’audience publique qui s’est tenue le 7 février 2011, attestant que M. X, agent comptable était présent à celle-ci ;</w:t>
      </w:r>
    </w:p>
    <w:p w:rsidR="00B5054A" w:rsidRPr="009213DA" w:rsidRDefault="00B5054A" w:rsidP="002523DD">
      <w:pPr>
        <w:pStyle w:val="PS"/>
      </w:pPr>
      <w:r w:rsidRPr="009213DA">
        <w:t xml:space="preserve">Après avoir entendu en audience publique </w:t>
      </w:r>
      <w:r w:rsidRPr="00A76C94">
        <w:t>M</w:t>
      </w:r>
      <w:r w:rsidRPr="00A76C94">
        <w:rPr>
          <w:vertAlign w:val="superscript"/>
        </w:rPr>
        <w:t>me</w:t>
      </w:r>
      <w:r>
        <w:t xml:space="preserve"> </w:t>
      </w:r>
      <w:r w:rsidRPr="009213DA">
        <w:t>Valérie Charolles, conseillère référendaire en son rapport, M. Louis Vallernaud, avocat général, en ses conclusions, et M. Richard X, agent comptable, ayant eu la parole en dernier</w:t>
      </w:r>
      <w:r>
        <w:t xml:space="preserve"> </w:t>
      </w:r>
      <w:r w:rsidRPr="009213DA">
        <w:t xml:space="preserve">; </w:t>
      </w:r>
    </w:p>
    <w:p w:rsidR="00B5054A" w:rsidRPr="009213DA" w:rsidRDefault="00B5054A" w:rsidP="002523DD">
      <w:pPr>
        <w:pStyle w:val="PS"/>
      </w:pPr>
      <w:r w:rsidRPr="009213DA">
        <w:t xml:space="preserve">Après avoir délibéré hors la présence du rapporteur et du ministère public ; </w:t>
      </w:r>
    </w:p>
    <w:p w:rsidR="00B5054A" w:rsidRPr="009213DA" w:rsidRDefault="00B5054A" w:rsidP="002523DD">
      <w:pPr>
        <w:pStyle w:val="PS"/>
      </w:pPr>
      <w:r w:rsidRPr="009213DA">
        <w:t xml:space="preserve">Charge unique </w:t>
      </w:r>
    </w:p>
    <w:p w:rsidR="00B5054A" w:rsidRPr="009213DA" w:rsidRDefault="00B5054A" w:rsidP="001B7F39">
      <w:pPr>
        <w:pStyle w:val="PS"/>
      </w:pPr>
      <w:r w:rsidRPr="009213DA">
        <w:t>Attendu que par le réquisitoire susvisé, le Procureur général de la Cour des comptes requiert la Cour de constituer M.</w:t>
      </w:r>
      <w:r>
        <w:t> </w:t>
      </w:r>
      <w:r w:rsidRPr="009213DA">
        <w:t>X débiteur de la somme de mille huit cents soixante quinze euros augmentée des intérêts de droit, à raison du défaut présumé de diligences de l’intéressé pour recouvrer une créance de l’ANR sur la société Praxim, que la procédure de redressement judiciaire de ladite société ouverte par un jugement publié le 22 février 2009 a rendu irrécouvrable</w:t>
      </w:r>
      <w:r>
        <w:t xml:space="preserve"> </w:t>
      </w:r>
      <w:r w:rsidRPr="009213DA">
        <w:t>;</w:t>
      </w:r>
    </w:p>
    <w:p w:rsidR="00B5054A" w:rsidRPr="009213DA" w:rsidRDefault="00B5054A" w:rsidP="002523DD">
      <w:pPr>
        <w:pStyle w:val="PS"/>
      </w:pPr>
      <w:r w:rsidRPr="009213DA">
        <w:t>Attendu que le jugement susmentionné comme sa publication ainsi que les démarches entreprises par le comptable se sont produits en 2009, et que la reconnaissance de la forclusion relative à ce titre affecte les comptes de l’exercice 2009 non soumis au contrôle juridictionnel de la Cour</w:t>
      </w:r>
      <w:r>
        <w:t xml:space="preserve"> </w:t>
      </w:r>
      <w:r w:rsidRPr="009213DA">
        <w:t>;</w:t>
      </w:r>
    </w:p>
    <w:p w:rsidR="00B5054A" w:rsidRPr="009213DA" w:rsidRDefault="00B5054A" w:rsidP="007950A1">
      <w:pPr>
        <w:pStyle w:val="PS"/>
      </w:pPr>
      <w:r w:rsidRPr="009213DA">
        <w:t xml:space="preserve">Considérant dès lors que l’éventuel engagement de la responsabilité personnelle et pécuniaire du comptable, à raison de son défaut de diligence dans cette affaire, trouverait son fait générateur dans un exercice dont la Cour n’est pas saisie et que le juge des comptes n’est pas fondé à statuer sur ce point pour incompétence </w:t>
      </w:r>
      <w:r w:rsidRPr="009213DA">
        <w:rPr>
          <w:i/>
          <w:iCs/>
        </w:rPr>
        <w:t>ratione</w:t>
      </w:r>
      <w:r>
        <w:rPr>
          <w:i/>
          <w:iCs/>
        </w:rPr>
        <w:t> </w:t>
      </w:r>
      <w:r w:rsidRPr="009213DA">
        <w:rPr>
          <w:i/>
          <w:iCs/>
        </w:rPr>
        <w:t>temporis</w:t>
      </w:r>
      <w:r w:rsidRPr="009213DA">
        <w:t xml:space="preserve"> ;</w:t>
      </w:r>
    </w:p>
    <w:p w:rsidR="00B5054A" w:rsidRPr="009213DA" w:rsidRDefault="00B5054A" w:rsidP="002523DD">
      <w:pPr>
        <w:pStyle w:val="PS"/>
      </w:pPr>
      <w:r w:rsidRPr="009213DA">
        <w:t xml:space="preserve">Par ces motifs </w:t>
      </w:r>
    </w:p>
    <w:p w:rsidR="00B5054A" w:rsidRPr="009213DA" w:rsidRDefault="00B5054A" w:rsidP="002523DD">
      <w:pPr>
        <w:pStyle w:val="PS"/>
        <w:ind w:firstLine="0"/>
        <w:jc w:val="center"/>
      </w:pPr>
      <w:r w:rsidRPr="009213DA">
        <w:t>ORDONNE</w:t>
      </w:r>
    </w:p>
    <w:p w:rsidR="00B5054A" w:rsidRPr="009213DA" w:rsidRDefault="00B5054A" w:rsidP="002523DD">
      <w:pPr>
        <w:pStyle w:val="PS"/>
      </w:pPr>
      <w:r w:rsidRPr="009213DA">
        <w:t>Article unique : Il n’y a pas lieu à déclarer M. X, agent comptable de l’ANR, débiteur de la somme de 1</w:t>
      </w:r>
      <w:r>
        <w:t xml:space="preserve"> </w:t>
      </w:r>
      <w:r w:rsidRPr="009213DA">
        <w:t>875 euros.</w:t>
      </w:r>
    </w:p>
    <w:p w:rsidR="00B5054A" w:rsidRPr="00660A6D" w:rsidRDefault="00B5054A" w:rsidP="005D0918">
      <w:pPr>
        <w:pStyle w:val="PS"/>
        <w:spacing w:after="360"/>
        <w:jc w:val="center"/>
      </w:pPr>
      <w:r w:rsidRPr="00660A6D">
        <w:t>---------</w:t>
      </w:r>
    </w:p>
    <w:p w:rsidR="00B5054A" w:rsidRDefault="00B5054A" w:rsidP="005D0918">
      <w:pPr>
        <w:pStyle w:val="PS"/>
        <w:spacing w:after="360"/>
      </w:pPr>
      <w:r w:rsidRPr="00660A6D">
        <w:t xml:space="preserve">Fait et jugé en la Cour des comptes, </w:t>
      </w:r>
      <w:r>
        <w:t xml:space="preserve">troisième </w:t>
      </w:r>
      <w:r w:rsidRPr="00660A6D">
        <w:t xml:space="preserve">chambre, </w:t>
      </w:r>
      <w:r>
        <w:t>quatrième</w:t>
      </w:r>
      <w:r w:rsidRPr="00660A6D">
        <w:t xml:space="preserve"> section</w:t>
      </w:r>
      <w:r>
        <w:t xml:space="preserve">, le sept février deux mil onze. Présents : MM. Picq, Président, Mayaud, Duchadeuil, Cazala, Andréani et Sabbe, </w:t>
      </w:r>
      <w:r w:rsidRPr="00660A6D">
        <w:t>conseillers maîtres.</w:t>
      </w:r>
    </w:p>
    <w:p w:rsidR="00B5054A" w:rsidRDefault="00B5054A" w:rsidP="005D0918">
      <w:pPr>
        <w:pStyle w:val="PS"/>
        <w:spacing w:after="360"/>
      </w:pPr>
      <w:r>
        <w:t>Signé : Picq, président, et Brulé, greffière.</w:t>
      </w:r>
    </w:p>
    <w:p w:rsidR="00B5054A" w:rsidRPr="00D80DF0" w:rsidRDefault="00B5054A" w:rsidP="002B172F">
      <w:pPr>
        <w:pStyle w:val="PS"/>
      </w:pPr>
      <w:r>
        <w:t>Collationné, certifié conforme à la minute étant au greffe de la Cour des comptes et délivré par moi, secrétaire général.</w:t>
      </w:r>
    </w:p>
    <w:p w:rsidR="00B5054A" w:rsidRPr="00A63D8F" w:rsidRDefault="00B5054A" w:rsidP="008E0A74">
      <w:pPr>
        <w:pStyle w:val="StylepsNoirPremireligne222cmAvantAutomatiqueApr"/>
        <w:spacing w:before="0" w:beforeAutospacing="0" w:after="0" w:afterAutospacing="0"/>
        <w:ind w:left="5398" w:hanging="11"/>
        <w:jc w:val="center"/>
        <w:rPr>
          <w:b/>
          <w:bCs/>
          <w:color w:val="auto"/>
        </w:rPr>
      </w:pPr>
      <w:r w:rsidRPr="00A63D8F">
        <w:rPr>
          <w:b/>
          <w:bCs/>
          <w:color w:val="auto"/>
        </w:rPr>
        <w:t>Pour le Secrétaire général</w:t>
      </w:r>
    </w:p>
    <w:p w:rsidR="00B5054A" w:rsidRPr="00A63D8F" w:rsidRDefault="00B5054A" w:rsidP="008E0A74">
      <w:pPr>
        <w:pStyle w:val="StylepsNoirPremireligne222cmAvantAutomatiqueApr"/>
        <w:spacing w:before="0" w:beforeAutospacing="0" w:after="0" w:afterAutospacing="0"/>
        <w:ind w:left="5398" w:hanging="11"/>
        <w:jc w:val="center"/>
        <w:rPr>
          <w:b/>
          <w:bCs/>
          <w:color w:val="auto"/>
        </w:rPr>
      </w:pPr>
      <w:r w:rsidRPr="00A63D8F">
        <w:rPr>
          <w:b/>
          <w:bCs/>
          <w:color w:val="auto"/>
        </w:rPr>
        <w:t>et par délégation</w:t>
      </w:r>
    </w:p>
    <w:p w:rsidR="00B5054A" w:rsidRPr="00A63D8F" w:rsidRDefault="00B5054A" w:rsidP="002B172F">
      <w:pPr>
        <w:pStyle w:val="StylepsNoirPremireligne222cmAvantAutomatiqueApr"/>
        <w:spacing w:before="0" w:beforeAutospacing="0" w:after="240" w:afterAutospacing="0"/>
        <w:ind w:left="5398" w:hanging="11"/>
        <w:jc w:val="center"/>
        <w:rPr>
          <w:b/>
          <w:bCs/>
          <w:color w:val="auto"/>
        </w:rPr>
      </w:pPr>
      <w:r w:rsidRPr="00A63D8F">
        <w:rPr>
          <w:b/>
          <w:bCs/>
          <w:color w:val="auto"/>
        </w:rPr>
        <w:t>le Chef du greffe contentieux</w:t>
      </w:r>
    </w:p>
    <w:p w:rsidR="00B5054A" w:rsidRPr="00A63D8F" w:rsidRDefault="00B5054A" w:rsidP="008E0A74">
      <w:pPr>
        <w:pStyle w:val="StylepsNoirPremireligne222cmAvantAutomatiqueApr"/>
        <w:ind w:left="5398" w:hanging="11"/>
        <w:jc w:val="center"/>
        <w:rPr>
          <w:b/>
          <w:bCs/>
          <w:color w:val="auto"/>
        </w:rPr>
      </w:pPr>
    </w:p>
    <w:p w:rsidR="00B5054A" w:rsidRPr="00A63D8F" w:rsidRDefault="00B5054A" w:rsidP="008E0A74">
      <w:pPr>
        <w:pStyle w:val="StylepsNoirPremireligne222cmAvantAutomatiqueApr"/>
        <w:ind w:left="5398" w:hanging="11"/>
        <w:jc w:val="center"/>
        <w:rPr>
          <w:b/>
          <w:bCs/>
          <w:color w:val="auto"/>
        </w:rPr>
      </w:pPr>
    </w:p>
    <w:p w:rsidR="00B5054A" w:rsidRPr="00A63D8F" w:rsidRDefault="00B5054A" w:rsidP="00D40485">
      <w:pPr>
        <w:pStyle w:val="StylepsNoirPremireligne222cmAvantAutomatiqueApr"/>
        <w:spacing w:after="0" w:afterAutospacing="0"/>
        <w:ind w:left="5398" w:hanging="11"/>
        <w:jc w:val="center"/>
        <w:rPr>
          <w:b/>
          <w:bCs/>
          <w:color w:val="auto"/>
        </w:rPr>
      </w:pPr>
      <w:r w:rsidRPr="00A63D8F">
        <w:rPr>
          <w:b/>
          <w:bCs/>
          <w:color w:val="auto"/>
        </w:rPr>
        <w:t>Daniel FEREZ</w:t>
      </w:r>
    </w:p>
    <w:p w:rsidR="00B5054A" w:rsidRPr="00A63D8F" w:rsidRDefault="00B5054A" w:rsidP="00D40485">
      <w:pPr>
        <w:pStyle w:val="StylepsNoirPremireligne222cmAvantAutomatiqueApr"/>
        <w:spacing w:after="0" w:afterAutospacing="0"/>
        <w:ind w:left="5398" w:hanging="11"/>
        <w:jc w:val="center"/>
        <w:rPr>
          <w:b/>
          <w:bCs/>
          <w:color w:val="auto"/>
        </w:rPr>
      </w:pPr>
    </w:p>
    <w:p w:rsidR="00B5054A" w:rsidRPr="00A63D8F" w:rsidRDefault="00B5054A" w:rsidP="00D40485">
      <w:pPr>
        <w:pStyle w:val="StylepsNoirPremireligne222cmAvantAutomatiqueApr"/>
        <w:spacing w:after="0" w:afterAutospacing="0"/>
        <w:ind w:left="5398" w:hanging="11"/>
        <w:jc w:val="center"/>
        <w:rPr>
          <w:b/>
          <w:bCs/>
          <w:color w:val="auto"/>
        </w:rPr>
      </w:pPr>
    </w:p>
    <w:p w:rsidR="00B5054A" w:rsidRPr="00A63D8F" w:rsidRDefault="00B5054A" w:rsidP="00D40485">
      <w:pPr>
        <w:pStyle w:val="StylepsNoirPremireligne222cmAvantAutomatiqueApr"/>
        <w:spacing w:after="0" w:afterAutospacing="0"/>
        <w:ind w:left="5398" w:hanging="11"/>
        <w:jc w:val="center"/>
        <w:rPr>
          <w:b/>
          <w:bCs/>
          <w:color w:val="auto"/>
        </w:rPr>
      </w:pPr>
    </w:p>
    <w:p w:rsidR="00B5054A" w:rsidRPr="00A63D8F" w:rsidRDefault="00B5054A" w:rsidP="005A7382">
      <w:pPr>
        <w:pStyle w:val="PS"/>
      </w:pPr>
      <w:r w:rsidRPr="00A63D8F">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B5054A" w:rsidRPr="00102433" w:rsidRDefault="00B5054A" w:rsidP="009605C9">
      <w:pPr>
        <w:pStyle w:val="ParagrapheAlina"/>
      </w:pPr>
    </w:p>
    <w:sectPr w:rsidR="00B5054A" w:rsidRPr="00102433" w:rsidSect="00D54AAB">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54A" w:rsidRDefault="00B5054A">
      <w:r>
        <w:separator/>
      </w:r>
    </w:p>
  </w:endnote>
  <w:endnote w:type="continuationSeparator" w:id="0">
    <w:p w:rsidR="00B5054A" w:rsidRDefault="00B505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54A" w:rsidRDefault="00B5054A" w:rsidP="00220C7C">
      <w:pPr>
        <w:ind w:left="1701"/>
      </w:pPr>
      <w:r>
        <w:separator/>
      </w:r>
    </w:p>
  </w:footnote>
  <w:footnote w:type="continuationSeparator" w:id="0">
    <w:p w:rsidR="00B5054A" w:rsidRDefault="00B505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54A" w:rsidRPr="002523DD" w:rsidRDefault="00B5054A" w:rsidP="002523DD">
    <w:pPr>
      <w:pStyle w:val="Header"/>
      <w:jc w:val="right"/>
      <w:rPr>
        <w:sz w:val="24"/>
        <w:szCs w:val="24"/>
      </w:rPr>
    </w:pPr>
    <w:r w:rsidRPr="002523DD">
      <w:rPr>
        <w:rStyle w:val="PageNumber"/>
        <w:sz w:val="24"/>
        <w:szCs w:val="24"/>
      </w:rPr>
      <w:fldChar w:fldCharType="begin"/>
    </w:r>
    <w:r w:rsidRPr="002523DD">
      <w:rPr>
        <w:rStyle w:val="PageNumber"/>
        <w:sz w:val="24"/>
        <w:szCs w:val="24"/>
      </w:rPr>
      <w:instrText xml:space="preserve"> PAGE </w:instrText>
    </w:r>
    <w:r w:rsidRPr="002523DD">
      <w:rPr>
        <w:rStyle w:val="PageNumber"/>
        <w:sz w:val="24"/>
        <w:szCs w:val="24"/>
      </w:rPr>
      <w:fldChar w:fldCharType="separate"/>
    </w:r>
    <w:r>
      <w:rPr>
        <w:rStyle w:val="PageNumber"/>
        <w:noProof/>
        <w:sz w:val="24"/>
        <w:szCs w:val="24"/>
      </w:rPr>
      <w:t>3</w:t>
    </w:r>
    <w:r w:rsidRPr="002523DD">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54A" w:rsidRPr="002523DD" w:rsidRDefault="00B5054A" w:rsidP="002523DD">
    <w:pPr>
      <w:pStyle w:val="Header"/>
      <w:jc w:val="right"/>
      <w:rPr>
        <w:sz w:val="24"/>
        <w:szCs w:val="24"/>
      </w:rPr>
    </w:pPr>
    <w:r w:rsidRPr="002523DD">
      <w:rPr>
        <w:rStyle w:val="PageNumber"/>
        <w:sz w:val="24"/>
        <w:szCs w:val="24"/>
      </w:rPr>
      <w:fldChar w:fldCharType="begin"/>
    </w:r>
    <w:r w:rsidRPr="002523DD">
      <w:rPr>
        <w:rStyle w:val="PageNumber"/>
        <w:sz w:val="24"/>
        <w:szCs w:val="24"/>
      </w:rPr>
      <w:instrText xml:space="preserve"> PAGE </w:instrText>
    </w:r>
    <w:r w:rsidRPr="002523DD">
      <w:rPr>
        <w:rStyle w:val="PageNumber"/>
        <w:sz w:val="24"/>
        <w:szCs w:val="24"/>
      </w:rPr>
      <w:fldChar w:fldCharType="separate"/>
    </w:r>
    <w:r>
      <w:rPr>
        <w:rStyle w:val="PageNumber"/>
        <w:noProof/>
        <w:sz w:val="24"/>
        <w:szCs w:val="24"/>
      </w:rPr>
      <w:t>2</w:t>
    </w:r>
    <w:r w:rsidRPr="002523DD">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7A03B53"/>
    <w:multiLevelType w:val="hybridMultilevel"/>
    <w:tmpl w:val="E4CC2068"/>
    <w:lvl w:ilvl="0" w:tplc="AACE2A7C">
      <w:start w:val="2"/>
      <w:numFmt w:val="bullet"/>
      <w:lvlText w:val="-"/>
      <w:lvlJc w:val="left"/>
      <w:pPr>
        <w:tabs>
          <w:tab w:val="num" w:pos="360"/>
        </w:tabs>
        <w:ind w:left="36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297E"/>
    <w:rsid w:val="00003D5E"/>
    <w:rsid w:val="000055F1"/>
    <w:rsid w:val="000141CC"/>
    <w:rsid w:val="000167F5"/>
    <w:rsid w:val="00021D4A"/>
    <w:rsid w:val="00030F6E"/>
    <w:rsid w:val="00031E54"/>
    <w:rsid w:val="00042F19"/>
    <w:rsid w:val="000434DD"/>
    <w:rsid w:val="00051744"/>
    <w:rsid w:val="00052A8C"/>
    <w:rsid w:val="00061809"/>
    <w:rsid w:val="00064D64"/>
    <w:rsid w:val="00066A80"/>
    <w:rsid w:val="00067294"/>
    <w:rsid w:val="00071B4F"/>
    <w:rsid w:val="00075915"/>
    <w:rsid w:val="0009604E"/>
    <w:rsid w:val="000A0603"/>
    <w:rsid w:val="000A1A9D"/>
    <w:rsid w:val="000B06D8"/>
    <w:rsid w:val="000B1355"/>
    <w:rsid w:val="000C275E"/>
    <w:rsid w:val="000C78DE"/>
    <w:rsid w:val="000D3643"/>
    <w:rsid w:val="000E5AD4"/>
    <w:rsid w:val="000F549E"/>
    <w:rsid w:val="000F68CE"/>
    <w:rsid w:val="000F79D0"/>
    <w:rsid w:val="00102433"/>
    <w:rsid w:val="001036A6"/>
    <w:rsid w:val="00114645"/>
    <w:rsid w:val="00125075"/>
    <w:rsid w:val="00126E76"/>
    <w:rsid w:val="001279DA"/>
    <w:rsid w:val="001334EE"/>
    <w:rsid w:val="00135000"/>
    <w:rsid w:val="0014464D"/>
    <w:rsid w:val="00145FE4"/>
    <w:rsid w:val="00146BF4"/>
    <w:rsid w:val="0015780C"/>
    <w:rsid w:val="00163556"/>
    <w:rsid w:val="001656AE"/>
    <w:rsid w:val="00170875"/>
    <w:rsid w:val="00171F87"/>
    <w:rsid w:val="001738F4"/>
    <w:rsid w:val="001807C8"/>
    <w:rsid w:val="00181574"/>
    <w:rsid w:val="0018757B"/>
    <w:rsid w:val="00194717"/>
    <w:rsid w:val="00196C08"/>
    <w:rsid w:val="001A425E"/>
    <w:rsid w:val="001A5310"/>
    <w:rsid w:val="001B7F39"/>
    <w:rsid w:val="001C5029"/>
    <w:rsid w:val="001D3C77"/>
    <w:rsid w:val="001E03FF"/>
    <w:rsid w:val="001E37A4"/>
    <w:rsid w:val="001E5A3D"/>
    <w:rsid w:val="001E6C9F"/>
    <w:rsid w:val="00205475"/>
    <w:rsid w:val="00207EAC"/>
    <w:rsid w:val="0021293D"/>
    <w:rsid w:val="00220C75"/>
    <w:rsid w:val="00220C7C"/>
    <w:rsid w:val="00245375"/>
    <w:rsid w:val="00245D17"/>
    <w:rsid w:val="0024676F"/>
    <w:rsid w:val="002523DD"/>
    <w:rsid w:val="00262504"/>
    <w:rsid w:val="00267E79"/>
    <w:rsid w:val="00277770"/>
    <w:rsid w:val="0028047E"/>
    <w:rsid w:val="0028187F"/>
    <w:rsid w:val="00283473"/>
    <w:rsid w:val="00285908"/>
    <w:rsid w:val="00290972"/>
    <w:rsid w:val="0029217F"/>
    <w:rsid w:val="00294E2E"/>
    <w:rsid w:val="00297926"/>
    <w:rsid w:val="002B172F"/>
    <w:rsid w:val="002B36AD"/>
    <w:rsid w:val="002C75D7"/>
    <w:rsid w:val="002D4E1A"/>
    <w:rsid w:val="002E3128"/>
    <w:rsid w:val="002F0052"/>
    <w:rsid w:val="002F5398"/>
    <w:rsid w:val="002F7236"/>
    <w:rsid w:val="002F74BE"/>
    <w:rsid w:val="003042E6"/>
    <w:rsid w:val="00307EA9"/>
    <w:rsid w:val="0032105C"/>
    <w:rsid w:val="00322D9C"/>
    <w:rsid w:val="00324068"/>
    <w:rsid w:val="00330198"/>
    <w:rsid w:val="003354F8"/>
    <w:rsid w:val="0034238B"/>
    <w:rsid w:val="003515AF"/>
    <w:rsid w:val="0035401D"/>
    <w:rsid w:val="00357882"/>
    <w:rsid w:val="003624EC"/>
    <w:rsid w:val="0036320E"/>
    <w:rsid w:val="0036369F"/>
    <w:rsid w:val="00371872"/>
    <w:rsid w:val="00384D45"/>
    <w:rsid w:val="00387124"/>
    <w:rsid w:val="0039241F"/>
    <w:rsid w:val="0039367E"/>
    <w:rsid w:val="003A3D37"/>
    <w:rsid w:val="003A7314"/>
    <w:rsid w:val="003B48E1"/>
    <w:rsid w:val="003D21D1"/>
    <w:rsid w:val="003D6B69"/>
    <w:rsid w:val="003E0F96"/>
    <w:rsid w:val="003E449C"/>
    <w:rsid w:val="003E4550"/>
    <w:rsid w:val="003E4653"/>
    <w:rsid w:val="003F7EE5"/>
    <w:rsid w:val="00410939"/>
    <w:rsid w:val="00422310"/>
    <w:rsid w:val="004266BA"/>
    <w:rsid w:val="004302DA"/>
    <w:rsid w:val="004309C8"/>
    <w:rsid w:val="00440512"/>
    <w:rsid w:val="0044236F"/>
    <w:rsid w:val="00442764"/>
    <w:rsid w:val="0044486D"/>
    <w:rsid w:val="00444FAF"/>
    <w:rsid w:val="00460CCE"/>
    <w:rsid w:val="00466E92"/>
    <w:rsid w:val="004761E6"/>
    <w:rsid w:val="00476BE3"/>
    <w:rsid w:val="00477082"/>
    <w:rsid w:val="0048047C"/>
    <w:rsid w:val="00480585"/>
    <w:rsid w:val="0049411A"/>
    <w:rsid w:val="004A3DE9"/>
    <w:rsid w:val="004A534F"/>
    <w:rsid w:val="004B0ADD"/>
    <w:rsid w:val="004B2E3F"/>
    <w:rsid w:val="004B3484"/>
    <w:rsid w:val="004C05ED"/>
    <w:rsid w:val="004C3AB2"/>
    <w:rsid w:val="004C41FB"/>
    <w:rsid w:val="004D2B66"/>
    <w:rsid w:val="004E7A20"/>
    <w:rsid w:val="004F374B"/>
    <w:rsid w:val="004F5EDC"/>
    <w:rsid w:val="005069FA"/>
    <w:rsid w:val="00507355"/>
    <w:rsid w:val="005164C7"/>
    <w:rsid w:val="005174CB"/>
    <w:rsid w:val="00532CD5"/>
    <w:rsid w:val="00533756"/>
    <w:rsid w:val="00546380"/>
    <w:rsid w:val="00553F5C"/>
    <w:rsid w:val="0057275E"/>
    <w:rsid w:val="00575C50"/>
    <w:rsid w:val="005852C8"/>
    <w:rsid w:val="0059657F"/>
    <w:rsid w:val="005A1347"/>
    <w:rsid w:val="005A250B"/>
    <w:rsid w:val="005A6770"/>
    <w:rsid w:val="005A7382"/>
    <w:rsid w:val="005B07A7"/>
    <w:rsid w:val="005B7707"/>
    <w:rsid w:val="005C1A53"/>
    <w:rsid w:val="005C25AC"/>
    <w:rsid w:val="005C30D7"/>
    <w:rsid w:val="005C648F"/>
    <w:rsid w:val="005C726F"/>
    <w:rsid w:val="005D0918"/>
    <w:rsid w:val="005D3439"/>
    <w:rsid w:val="005D353C"/>
    <w:rsid w:val="005D7445"/>
    <w:rsid w:val="005E0652"/>
    <w:rsid w:val="005E5C31"/>
    <w:rsid w:val="005F1FD8"/>
    <w:rsid w:val="00600E92"/>
    <w:rsid w:val="0060660D"/>
    <w:rsid w:val="00616573"/>
    <w:rsid w:val="00621D3A"/>
    <w:rsid w:val="00624C22"/>
    <w:rsid w:val="00626233"/>
    <w:rsid w:val="00626BB7"/>
    <w:rsid w:val="006359DE"/>
    <w:rsid w:val="00635BAE"/>
    <w:rsid w:val="006366F0"/>
    <w:rsid w:val="0064570E"/>
    <w:rsid w:val="00660133"/>
    <w:rsid w:val="00660A6D"/>
    <w:rsid w:val="00666690"/>
    <w:rsid w:val="006768E5"/>
    <w:rsid w:val="00681F73"/>
    <w:rsid w:val="0068378D"/>
    <w:rsid w:val="0069044F"/>
    <w:rsid w:val="006A0CD3"/>
    <w:rsid w:val="006B2C66"/>
    <w:rsid w:val="006B49E7"/>
    <w:rsid w:val="006B64F2"/>
    <w:rsid w:val="006C667D"/>
    <w:rsid w:val="006C6EBC"/>
    <w:rsid w:val="006E5E23"/>
    <w:rsid w:val="006F1733"/>
    <w:rsid w:val="006F2EDD"/>
    <w:rsid w:val="006F7AB9"/>
    <w:rsid w:val="00703498"/>
    <w:rsid w:val="0072249F"/>
    <w:rsid w:val="007325D4"/>
    <w:rsid w:val="00732677"/>
    <w:rsid w:val="00756167"/>
    <w:rsid w:val="0076640F"/>
    <w:rsid w:val="00770246"/>
    <w:rsid w:val="00773733"/>
    <w:rsid w:val="00783BEC"/>
    <w:rsid w:val="0078758A"/>
    <w:rsid w:val="007950A1"/>
    <w:rsid w:val="007B5171"/>
    <w:rsid w:val="007B6EDE"/>
    <w:rsid w:val="007C6153"/>
    <w:rsid w:val="007C6484"/>
    <w:rsid w:val="007E0166"/>
    <w:rsid w:val="007E02FB"/>
    <w:rsid w:val="007E564B"/>
    <w:rsid w:val="007E7B84"/>
    <w:rsid w:val="007F2BB6"/>
    <w:rsid w:val="007F7F41"/>
    <w:rsid w:val="00802AB4"/>
    <w:rsid w:val="0080478C"/>
    <w:rsid w:val="008047BA"/>
    <w:rsid w:val="00830504"/>
    <w:rsid w:val="00840C95"/>
    <w:rsid w:val="008429C7"/>
    <w:rsid w:val="00842F54"/>
    <w:rsid w:val="00843AB2"/>
    <w:rsid w:val="008522C9"/>
    <w:rsid w:val="00861C65"/>
    <w:rsid w:val="0086613F"/>
    <w:rsid w:val="00866B33"/>
    <w:rsid w:val="008738F8"/>
    <w:rsid w:val="00875127"/>
    <w:rsid w:val="00880CDC"/>
    <w:rsid w:val="00884D12"/>
    <w:rsid w:val="008A1A1A"/>
    <w:rsid w:val="008A6F6F"/>
    <w:rsid w:val="008C4486"/>
    <w:rsid w:val="008D62AD"/>
    <w:rsid w:val="008D7208"/>
    <w:rsid w:val="008D7CD7"/>
    <w:rsid w:val="008E0A74"/>
    <w:rsid w:val="008E49C2"/>
    <w:rsid w:val="008F00D3"/>
    <w:rsid w:val="008F14D9"/>
    <w:rsid w:val="008F2B0B"/>
    <w:rsid w:val="009126C5"/>
    <w:rsid w:val="00920842"/>
    <w:rsid w:val="009213DA"/>
    <w:rsid w:val="00921BCE"/>
    <w:rsid w:val="00923AAA"/>
    <w:rsid w:val="00932406"/>
    <w:rsid w:val="009336D3"/>
    <w:rsid w:val="009339C7"/>
    <w:rsid w:val="00940986"/>
    <w:rsid w:val="00947ABC"/>
    <w:rsid w:val="00947C81"/>
    <w:rsid w:val="009521FD"/>
    <w:rsid w:val="0096048A"/>
    <w:rsid w:val="009605C9"/>
    <w:rsid w:val="009843F2"/>
    <w:rsid w:val="00995FF9"/>
    <w:rsid w:val="009A0A29"/>
    <w:rsid w:val="009A401C"/>
    <w:rsid w:val="009B2B47"/>
    <w:rsid w:val="009B35EA"/>
    <w:rsid w:val="009B3858"/>
    <w:rsid w:val="009C3959"/>
    <w:rsid w:val="009C4289"/>
    <w:rsid w:val="009C5C47"/>
    <w:rsid w:val="009E1B56"/>
    <w:rsid w:val="009E6704"/>
    <w:rsid w:val="009E7E5B"/>
    <w:rsid w:val="009F11C4"/>
    <w:rsid w:val="009F6F91"/>
    <w:rsid w:val="009F71A9"/>
    <w:rsid w:val="00A030F6"/>
    <w:rsid w:val="00A136B1"/>
    <w:rsid w:val="00A16A25"/>
    <w:rsid w:val="00A17A37"/>
    <w:rsid w:val="00A210A1"/>
    <w:rsid w:val="00A2306A"/>
    <w:rsid w:val="00A24AB0"/>
    <w:rsid w:val="00A27A51"/>
    <w:rsid w:val="00A45CFD"/>
    <w:rsid w:val="00A52FEF"/>
    <w:rsid w:val="00A6055F"/>
    <w:rsid w:val="00A61508"/>
    <w:rsid w:val="00A63605"/>
    <w:rsid w:val="00A63D8F"/>
    <w:rsid w:val="00A75040"/>
    <w:rsid w:val="00A7581C"/>
    <w:rsid w:val="00A76C94"/>
    <w:rsid w:val="00A80C0C"/>
    <w:rsid w:val="00A819DD"/>
    <w:rsid w:val="00A8557B"/>
    <w:rsid w:val="00A8694B"/>
    <w:rsid w:val="00A92A64"/>
    <w:rsid w:val="00A96F40"/>
    <w:rsid w:val="00AA1D12"/>
    <w:rsid w:val="00AA599C"/>
    <w:rsid w:val="00AA5D1E"/>
    <w:rsid w:val="00AA689C"/>
    <w:rsid w:val="00AB5491"/>
    <w:rsid w:val="00AC5F71"/>
    <w:rsid w:val="00AC7429"/>
    <w:rsid w:val="00AD6163"/>
    <w:rsid w:val="00AE4AAD"/>
    <w:rsid w:val="00AE6899"/>
    <w:rsid w:val="00AF02BA"/>
    <w:rsid w:val="00AF5E7C"/>
    <w:rsid w:val="00B1659B"/>
    <w:rsid w:val="00B3050D"/>
    <w:rsid w:val="00B31021"/>
    <w:rsid w:val="00B439F9"/>
    <w:rsid w:val="00B45105"/>
    <w:rsid w:val="00B45B08"/>
    <w:rsid w:val="00B5054A"/>
    <w:rsid w:val="00B52C72"/>
    <w:rsid w:val="00B6371A"/>
    <w:rsid w:val="00B66558"/>
    <w:rsid w:val="00B66FB5"/>
    <w:rsid w:val="00B71E65"/>
    <w:rsid w:val="00B73D48"/>
    <w:rsid w:val="00B93911"/>
    <w:rsid w:val="00B9619D"/>
    <w:rsid w:val="00BA1354"/>
    <w:rsid w:val="00BA50F4"/>
    <w:rsid w:val="00BA671B"/>
    <w:rsid w:val="00BB0D9A"/>
    <w:rsid w:val="00BB10F5"/>
    <w:rsid w:val="00BB28D9"/>
    <w:rsid w:val="00BB523D"/>
    <w:rsid w:val="00BB714D"/>
    <w:rsid w:val="00BC14AF"/>
    <w:rsid w:val="00BC1B0C"/>
    <w:rsid w:val="00BD0003"/>
    <w:rsid w:val="00BD2E1F"/>
    <w:rsid w:val="00BE0469"/>
    <w:rsid w:val="00BE4AD4"/>
    <w:rsid w:val="00BE57F7"/>
    <w:rsid w:val="00BF4D00"/>
    <w:rsid w:val="00BF669A"/>
    <w:rsid w:val="00BF7B0F"/>
    <w:rsid w:val="00C01BA2"/>
    <w:rsid w:val="00C03DA3"/>
    <w:rsid w:val="00C31C1A"/>
    <w:rsid w:val="00C3435F"/>
    <w:rsid w:val="00C41763"/>
    <w:rsid w:val="00C50A94"/>
    <w:rsid w:val="00C50D69"/>
    <w:rsid w:val="00C52ECD"/>
    <w:rsid w:val="00C54F93"/>
    <w:rsid w:val="00C55807"/>
    <w:rsid w:val="00C640B8"/>
    <w:rsid w:val="00C770DC"/>
    <w:rsid w:val="00C94ECC"/>
    <w:rsid w:val="00CA006E"/>
    <w:rsid w:val="00CA6863"/>
    <w:rsid w:val="00CC1127"/>
    <w:rsid w:val="00CD1803"/>
    <w:rsid w:val="00CE026B"/>
    <w:rsid w:val="00CE2B48"/>
    <w:rsid w:val="00CE3D68"/>
    <w:rsid w:val="00D23729"/>
    <w:rsid w:val="00D40485"/>
    <w:rsid w:val="00D41110"/>
    <w:rsid w:val="00D54AAB"/>
    <w:rsid w:val="00D552DA"/>
    <w:rsid w:val="00D6296A"/>
    <w:rsid w:val="00D70AB8"/>
    <w:rsid w:val="00D70D1A"/>
    <w:rsid w:val="00D70E86"/>
    <w:rsid w:val="00D72927"/>
    <w:rsid w:val="00D80DF0"/>
    <w:rsid w:val="00D93348"/>
    <w:rsid w:val="00D957B6"/>
    <w:rsid w:val="00DA697D"/>
    <w:rsid w:val="00DC36EC"/>
    <w:rsid w:val="00DC5623"/>
    <w:rsid w:val="00DC7F0C"/>
    <w:rsid w:val="00DD0C26"/>
    <w:rsid w:val="00DE2E5B"/>
    <w:rsid w:val="00DE4654"/>
    <w:rsid w:val="00DE58E4"/>
    <w:rsid w:val="00E00357"/>
    <w:rsid w:val="00E03DDC"/>
    <w:rsid w:val="00E1046F"/>
    <w:rsid w:val="00E106D5"/>
    <w:rsid w:val="00E13131"/>
    <w:rsid w:val="00E23DA2"/>
    <w:rsid w:val="00E32A2C"/>
    <w:rsid w:val="00E36A8A"/>
    <w:rsid w:val="00E3788E"/>
    <w:rsid w:val="00E40A54"/>
    <w:rsid w:val="00E4478F"/>
    <w:rsid w:val="00E5698E"/>
    <w:rsid w:val="00E60CCA"/>
    <w:rsid w:val="00E6128F"/>
    <w:rsid w:val="00E64619"/>
    <w:rsid w:val="00E657C4"/>
    <w:rsid w:val="00E65FFB"/>
    <w:rsid w:val="00E66ABD"/>
    <w:rsid w:val="00E823A2"/>
    <w:rsid w:val="00E832BF"/>
    <w:rsid w:val="00E8372C"/>
    <w:rsid w:val="00E85525"/>
    <w:rsid w:val="00E96403"/>
    <w:rsid w:val="00E96F77"/>
    <w:rsid w:val="00E978B9"/>
    <w:rsid w:val="00EA09D2"/>
    <w:rsid w:val="00EA2401"/>
    <w:rsid w:val="00EA280B"/>
    <w:rsid w:val="00EB2F08"/>
    <w:rsid w:val="00EB3D66"/>
    <w:rsid w:val="00EC03CC"/>
    <w:rsid w:val="00ED219A"/>
    <w:rsid w:val="00ED5354"/>
    <w:rsid w:val="00ED5A9D"/>
    <w:rsid w:val="00ED5AC5"/>
    <w:rsid w:val="00EE01F1"/>
    <w:rsid w:val="00EE7567"/>
    <w:rsid w:val="00F07123"/>
    <w:rsid w:val="00F10E6F"/>
    <w:rsid w:val="00F1533A"/>
    <w:rsid w:val="00F23E24"/>
    <w:rsid w:val="00F32F21"/>
    <w:rsid w:val="00F343AA"/>
    <w:rsid w:val="00F364C4"/>
    <w:rsid w:val="00F4783C"/>
    <w:rsid w:val="00F511CA"/>
    <w:rsid w:val="00F51CA9"/>
    <w:rsid w:val="00F6665B"/>
    <w:rsid w:val="00F72395"/>
    <w:rsid w:val="00F7332C"/>
    <w:rsid w:val="00F749E3"/>
    <w:rsid w:val="00F74F6B"/>
    <w:rsid w:val="00F80AE6"/>
    <w:rsid w:val="00F86EA4"/>
    <w:rsid w:val="00F94E8E"/>
    <w:rsid w:val="00F97080"/>
    <w:rsid w:val="00FA4770"/>
    <w:rsid w:val="00FF1EE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3D66"/>
    <w:rPr>
      <w:sz w:val="20"/>
      <w:szCs w:val="20"/>
    </w:rPr>
  </w:style>
  <w:style w:type="paragraph" w:styleId="Heading1">
    <w:name w:val="heading 1"/>
    <w:basedOn w:val="Normal"/>
    <w:next w:val="Normal"/>
    <w:link w:val="Heading1Char"/>
    <w:uiPriority w:val="99"/>
    <w:qFormat/>
    <w:rsid w:val="00EB3D66"/>
    <w:pPr>
      <w:spacing w:before="240"/>
      <w:outlineLvl w:val="0"/>
    </w:pPr>
    <w:rPr>
      <w:b/>
      <w:bCs/>
      <w:sz w:val="24"/>
      <w:szCs w:val="24"/>
      <w:u w:val="single"/>
    </w:rPr>
  </w:style>
  <w:style w:type="paragraph" w:styleId="Heading2">
    <w:name w:val="heading 2"/>
    <w:basedOn w:val="Normal"/>
    <w:next w:val="Normal"/>
    <w:link w:val="Heading2Char"/>
    <w:uiPriority w:val="99"/>
    <w:qFormat/>
    <w:rsid w:val="00EB3D66"/>
    <w:pPr>
      <w:spacing w:before="120"/>
      <w:outlineLvl w:val="1"/>
    </w:pPr>
    <w:rPr>
      <w:b/>
      <w:bCs/>
      <w:sz w:val="24"/>
      <w:szCs w:val="24"/>
    </w:rPr>
  </w:style>
  <w:style w:type="paragraph" w:styleId="Heading3">
    <w:name w:val="heading 3"/>
    <w:basedOn w:val="Normal"/>
    <w:next w:val="NormalIndent"/>
    <w:link w:val="Heading3Char"/>
    <w:uiPriority w:val="99"/>
    <w:qFormat/>
    <w:rsid w:val="00EB3D66"/>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43AA"/>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F343AA"/>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F343AA"/>
    <w:rPr>
      <w:rFonts w:ascii="Cambria" w:hAnsi="Cambria" w:cs="Cambria"/>
      <w:b/>
      <w:bCs/>
      <w:sz w:val="26"/>
      <w:szCs w:val="26"/>
    </w:rPr>
  </w:style>
  <w:style w:type="paragraph" w:styleId="NormalIndent">
    <w:name w:val="Normal Indent"/>
    <w:basedOn w:val="Normal"/>
    <w:uiPriority w:val="99"/>
    <w:rsid w:val="00EB3D66"/>
    <w:pPr>
      <w:ind w:left="708"/>
    </w:pPr>
  </w:style>
  <w:style w:type="paragraph" w:styleId="Header">
    <w:name w:val="header"/>
    <w:basedOn w:val="Normal"/>
    <w:link w:val="HeaderChar"/>
    <w:uiPriority w:val="99"/>
    <w:rsid w:val="00EB3D66"/>
    <w:pPr>
      <w:tabs>
        <w:tab w:val="center" w:pos="4819"/>
        <w:tab w:val="right" w:pos="9071"/>
      </w:tabs>
    </w:pPr>
  </w:style>
  <w:style w:type="character" w:customStyle="1" w:styleId="HeaderChar">
    <w:name w:val="Header Char"/>
    <w:basedOn w:val="DefaultParagraphFont"/>
    <w:link w:val="Header"/>
    <w:uiPriority w:val="99"/>
    <w:semiHidden/>
    <w:locked/>
    <w:rsid w:val="00F343AA"/>
    <w:rPr>
      <w:rFonts w:cs="Times New Roman"/>
      <w:sz w:val="20"/>
      <w:szCs w:val="20"/>
    </w:rPr>
  </w:style>
  <w:style w:type="paragraph" w:customStyle="1" w:styleId="ET">
    <w:name w:val="ET"/>
    <w:basedOn w:val="Normal"/>
    <w:link w:val="ETCar"/>
    <w:uiPriority w:val="99"/>
    <w:rsid w:val="00EB3D66"/>
    <w:rPr>
      <w:b/>
      <w:bCs/>
      <w:caps/>
      <w:sz w:val="24"/>
      <w:szCs w:val="24"/>
    </w:rPr>
  </w:style>
  <w:style w:type="paragraph" w:customStyle="1" w:styleId="OR">
    <w:name w:val="OR"/>
    <w:basedOn w:val="ET"/>
    <w:uiPriority w:val="99"/>
    <w:rsid w:val="00EB3D66"/>
    <w:pPr>
      <w:ind w:left="5670"/>
    </w:pPr>
    <w:rPr>
      <w:b w:val="0"/>
      <w:bCs w:val="0"/>
      <w:caps w:val="0"/>
    </w:rPr>
  </w:style>
  <w:style w:type="paragraph" w:customStyle="1" w:styleId="TI">
    <w:name w:val="TI"/>
    <w:basedOn w:val="OR"/>
    <w:uiPriority w:val="99"/>
    <w:rsid w:val="00EB3D66"/>
    <w:pPr>
      <w:ind w:left="1701"/>
      <w:jc w:val="center"/>
    </w:pPr>
    <w:rPr>
      <w:caps/>
      <w:u w:val="single"/>
    </w:rPr>
  </w:style>
  <w:style w:type="paragraph" w:customStyle="1" w:styleId="P0">
    <w:name w:val="P0"/>
    <w:basedOn w:val="ET"/>
    <w:link w:val="P0Car"/>
    <w:uiPriority w:val="99"/>
    <w:rsid w:val="00EB3D66"/>
    <w:pPr>
      <w:ind w:left="1701"/>
      <w:jc w:val="both"/>
    </w:pPr>
    <w:rPr>
      <w:b w:val="0"/>
      <w:bCs w:val="0"/>
      <w:caps w:val="0"/>
    </w:rPr>
  </w:style>
  <w:style w:type="paragraph" w:customStyle="1" w:styleId="EL">
    <w:name w:val="EL"/>
    <w:basedOn w:val="P0"/>
    <w:uiPriority w:val="99"/>
    <w:rsid w:val="00EB3D66"/>
    <w:pPr>
      <w:spacing w:after="240"/>
      <w:ind w:firstLine="1418"/>
    </w:pPr>
  </w:style>
  <w:style w:type="paragraph" w:customStyle="1" w:styleId="IN">
    <w:name w:val="IN"/>
    <w:basedOn w:val="P0"/>
    <w:link w:val="INCar"/>
    <w:uiPriority w:val="99"/>
    <w:rsid w:val="00EB3D66"/>
    <w:pPr>
      <w:ind w:left="0"/>
      <w:jc w:val="left"/>
    </w:pPr>
    <w:rPr>
      <w:i/>
      <w:iCs/>
      <w:sz w:val="16"/>
      <w:szCs w:val="16"/>
    </w:rPr>
  </w:style>
  <w:style w:type="paragraph" w:customStyle="1" w:styleId="RE">
    <w:name w:val="RE"/>
    <w:basedOn w:val="P0"/>
    <w:uiPriority w:val="99"/>
    <w:rsid w:val="00EB3D66"/>
    <w:pPr>
      <w:ind w:left="0"/>
    </w:pPr>
  </w:style>
  <w:style w:type="paragraph" w:customStyle="1" w:styleId="PE">
    <w:name w:val="PE"/>
    <w:basedOn w:val="IN"/>
    <w:uiPriority w:val="99"/>
    <w:rsid w:val="00EB3D66"/>
    <w:pPr>
      <w:keepNext/>
      <w:ind w:left="1701"/>
      <w:jc w:val="both"/>
    </w:pPr>
    <w:rPr>
      <w:i w:val="0"/>
      <w:iCs w:val="0"/>
      <w:sz w:val="24"/>
      <w:szCs w:val="24"/>
    </w:rPr>
  </w:style>
  <w:style w:type="paragraph" w:customStyle="1" w:styleId="PC">
    <w:name w:val="PC"/>
    <w:basedOn w:val="IN"/>
    <w:uiPriority w:val="99"/>
    <w:rsid w:val="00EB3D66"/>
    <w:pPr>
      <w:spacing w:after="480"/>
      <w:ind w:left="2268" w:firstLine="1134"/>
      <w:jc w:val="both"/>
    </w:pPr>
    <w:rPr>
      <w:i w:val="0"/>
      <w:iCs w:val="0"/>
      <w:sz w:val="24"/>
      <w:szCs w:val="24"/>
    </w:rPr>
  </w:style>
  <w:style w:type="paragraph" w:customStyle="1" w:styleId="PS">
    <w:name w:val="PS"/>
    <w:basedOn w:val="IN"/>
    <w:link w:val="PSCar"/>
    <w:uiPriority w:val="99"/>
    <w:rsid w:val="00EB3D66"/>
    <w:pPr>
      <w:spacing w:after="480"/>
      <w:ind w:left="1701" w:firstLine="1134"/>
      <w:jc w:val="both"/>
    </w:pPr>
    <w:rPr>
      <w:i w:val="0"/>
      <w:iCs w:val="0"/>
      <w:sz w:val="24"/>
      <w:szCs w:val="24"/>
    </w:rPr>
  </w:style>
  <w:style w:type="paragraph" w:customStyle="1" w:styleId="AR">
    <w:name w:val="AR"/>
    <w:basedOn w:val="IN"/>
    <w:uiPriority w:val="99"/>
    <w:rsid w:val="00EB3D66"/>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43AA"/>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F343AA"/>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F343AA"/>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character" w:styleId="FootnoteReference">
    <w:name w:val="footnote reference"/>
    <w:basedOn w:val="DefaultParagraphFont"/>
    <w:uiPriority w:val="99"/>
    <w:semiHidden/>
    <w:rsid w:val="005D0918"/>
    <w:rPr>
      <w:rFonts w:cs="Times New Roman"/>
      <w:sz w:val="20"/>
      <w:szCs w:val="20"/>
      <w:vertAlign w:val="superscript"/>
    </w:rPr>
  </w:style>
  <w:style w:type="paragraph" w:styleId="FootnoteText">
    <w:name w:val="footnote text"/>
    <w:basedOn w:val="Normal"/>
    <w:next w:val="BodyText"/>
    <w:link w:val="FootnoteTextChar"/>
    <w:uiPriority w:val="99"/>
    <w:semiHidden/>
    <w:rsid w:val="005D0918"/>
    <w:pPr>
      <w:spacing w:before="120"/>
      <w:ind w:firstLine="709"/>
      <w:jc w:val="both"/>
    </w:pPr>
  </w:style>
  <w:style w:type="character" w:customStyle="1" w:styleId="FootnoteTextChar">
    <w:name w:val="Footnote Text Char"/>
    <w:basedOn w:val="DefaultParagraphFont"/>
    <w:link w:val="FootnoteText"/>
    <w:uiPriority w:val="99"/>
    <w:semiHidden/>
    <w:locked/>
    <w:rsid w:val="00F343AA"/>
    <w:rPr>
      <w:rFonts w:cs="Times New Roman"/>
      <w:sz w:val="20"/>
      <w:szCs w:val="20"/>
    </w:rPr>
  </w:style>
  <w:style w:type="paragraph" w:customStyle="1" w:styleId="p00">
    <w:name w:val="p0"/>
    <w:basedOn w:val="Normal"/>
    <w:uiPriority w:val="99"/>
    <w:rsid w:val="005D0918"/>
    <w:pPr>
      <w:spacing w:before="100" w:beforeAutospacing="1" w:after="100" w:afterAutospacing="1"/>
    </w:pPr>
    <w:rPr>
      <w:sz w:val="24"/>
      <w:szCs w:val="24"/>
    </w:rPr>
  </w:style>
  <w:style w:type="paragraph" w:customStyle="1" w:styleId="Car1CarCarCarCarCarCarCarCarCarCar1CarCarCarCarCar">
    <w:name w:val="Car1 Car Car Car Car Car Car Car Car Car Car1 Car Car Car Car Car"/>
    <w:basedOn w:val="Normal"/>
    <w:uiPriority w:val="99"/>
    <w:rsid w:val="005D0918"/>
    <w:pPr>
      <w:widowControl w:val="0"/>
      <w:adjustRightInd w:val="0"/>
      <w:spacing w:after="160" w:line="240" w:lineRule="exact"/>
      <w:jc w:val="both"/>
      <w:textAlignment w:val="baseline"/>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8E0A74"/>
    <w:pPr>
      <w:ind w:firstLine="1259"/>
      <w:jc w:val="both"/>
    </w:pPr>
    <w:rPr>
      <w:color w:val="000000"/>
    </w:rPr>
  </w:style>
  <w:style w:type="paragraph" w:customStyle="1" w:styleId="Char">
    <w:name w:val="Char"/>
    <w:basedOn w:val="Normal"/>
    <w:uiPriority w:val="99"/>
    <w:rsid w:val="008E0A74"/>
    <w:pPr>
      <w:spacing w:after="160" w:line="240" w:lineRule="exact"/>
    </w:pPr>
    <w:rPr>
      <w:rFonts w:ascii="Tahoma" w:hAnsi="Tahoma" w:cs="Tahoma"/>
      <w:lang w:val="en-US" w:eastAsia="en-US"/>
    </w:rPr>
  </w:style>
  <w:style w:type="paragraph" w:customStyle="1" w:styleId="CarCar1CarCarCarCarCarCar">
    <w:name w:val="Car Car1 Car Car Car Car Car Car"/>
    <w:basedOn w:val="Normal"/>
    <w:uiPriority w:val="99"/>
    <w:rsid w:val="00307EA9"/>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302001844">
      <w:marLeft w:val="0"/>
      <w:marRight w:val="0"/>
      <w:marTop w:val="0"/>
      <w:marBottom w:val="0"/>
      <w:divBdr>
        <w:top w:val="none" w:sz="0" w:space="0" w:color="auto"/>
        <w:left w:val="none" w:sz="0" w:space="0" w:color="auto"/>
        <w:bottom w:val="none" w:sz="0" w:space="0" w:color="auto"/>
        <w:right w:val="none" w:sz="0" w:space="0" w:color="auto"/>
      </w:divBdr>
    </w:div>
    <w:div w:id="3020018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6</TotalTime>
  <Pages>3</Pages>
  <Words>659</Words>
  <Characters>3628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2011-03-29T08:08:00Z</cp:lastPrinted>
  <dcterms:created xsi:type="dcterms:W3CDTF">2011-04-13T16:10:00Z</dcterms:created>
  <dcterms:modified xsi:type="dcterms:W3CDTF">2011-04-15T13:28:00Z</dcterms:modified>
</cp:coreProperties>
</file>