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112" w:rsidRPr="00EB6713" w:rsidRDefault="00225112" w:rsidP="00F404E3">
      <w:pPr>
        <w:pStyle w:val="ET"/>
      </w:pPr>
      <w:r>
        <w:t xml:space="preserve">  </w:t>
      </w:r>
      <w:r w:rsidRPr="00EB6713">
        <w:t>COUR DES COMPTES</w:t>
      </w:r>
    </w:p>
    <w:p w:rsidR="00225112" w:rsidRPr="00EB6713" w:rsidRDefault="00225112" w:rsidP="00F404E3">
      <w:pPr>
        <w:pStyle w:val="ET"/>
      </w:pPr>
      <w:r w:rsidRPr="00EB6713">
        <w:t xml:space="preserve">             -------</w:t>
      </w:r>
    </w:p>
    <w:p w:rsidR="00225112" w:rsidRPr="00EB6713" w:rsidRDefault="00225112" w:rsidP="00F404E3">
      <w:pPr>
        <w:pStyle w:val="ET"/>
      </w:pPr>
      <w:r w:rsidRPr="00EB6713">
        <w:t>QUATRIEME CHAMBRE</w:t>
      </w:r>
    </w:p>
    <w:p w:rsidR="00225112" w:rsidRPr="00EB6713" w:rsidRDefault="00225112" w:rsidP="00F404E3">
      <w:pPr>
        <w:pStyle w:val="ET"/>
      </w:pPr>
      <w:r w:rsidRPr="00EB6713">
        <w:t xml:space="preserve">             -------</w:t>
      </w:r>
    </w:p>
    <w:p w:rsidR="00225112" w:rsidRDefault="00225112" w:rsidP="00F404E3">
      <w:pPr>
        <w:pStyle w:val="ET"/>
      </w:pPr>
      <w:r w:rsidRPr="00EB6713">
        <w:t>PREMIERE SECTION</w:t>
      </w:r>
    </w:p>
    <w:p w:rsidR="00225112" w:rsidRPr="006135FB" w:rsidRDefault="00225112" w:rsidP="00F404E3">
      <w:pPr>
        <w:pStyle w:val="ET"/>
        <w:spacing w:after="240"/>
      </w:pPr>
      <w:r>
        <w:t xml:space="preserve">             </w:t>
      </w:r>
      <w:r w:rsidRPr="006135FB">
        <w:t>-------</w:t>
      </w:r>
    </w:p>
    <w:p w:rsidR="00225112" w:rsidRPr="00F404E3" w:rsidRDefault="00225112" w:rsidP="00F404E3">
      <w:pPr>
        <w:pStyle w:val="Header"/>
        <w:rPr>
          <w:b/>
          <w:bCs/>
          <w:i/>
          <w:iCs/>
          <w:sz w:val="22"/>
          <w:szCs w:val="22"/>
        </w:rPr>
      </w:pPr>
      <w:r>
        <w:t xml:space="preserve">           </w:t>
      </w:r>
      <w:r w:rsidRPr="00F404E3">
        <w:rPr>
          <w:b/>
          <w:bCs/>
          <w:i/>
          <w:iCs/>
          <w:sz w:val="22"/>
          <w:szCs w:val="22"/>
        </w:rPr>
        <w:t>Arrêt n° 62040</w:t>
      </w:r>
    </w:p>
    <w:p w:rsidR="00225112" w:rsidRPr="00042DE1" w:rsidRDefault="00225112" w:rsidP="00ED01DE"/>
    <w:p w:rsidR="00225112" w:rsidRPr="00F404E3" w:rsidRDefault="00225112" w:rsidP="00F404E3">
      <w:pPr>
        <w:pStyle w:val="OR"/>
        <w:rPr>
          <w:caps/>
        </w:rPr>
      </w:pPr>
      <w:r w:rsidRPr="00F404E3">
        <w:rPr>
          <w:caps/>
        </w:rPr>
        <w:t>Commune de konÉ</w:t>
      </w:r>
    </w:p>
    <w:p w:rsidR="00225112" w:rsidRPr="00F404E3" w:rsidRDefault="00225112" w:rsidP="00F404E3">
      <w:pPr>
        <w:pStyle w:val="OR"/>
        <w:rPr>
          <w:caps/>
        </w:rPr>
      </w:pPr>
      <w:r w:rsidRPr="00F404E3">
        <w:rPr>
          <w:caps/>
        </w:rPr>
        <w:t>(Nouvelle-calÉdonie)</w:t>
      </w:r>
    </w:p>
    <w:p w:rsidR="00225112" w:rsidRPr="006135FB" w:rsidRDefault="00225112" w:rsidP="00F404E3">
      <w:pPr>
        <w:pStyle w:val="OR"/>
      </w:pPr>
    </w:p>
    <w:p w:rsidR="00225112" w:rsidRDefault="00225112" w:rsidP="00F404E3">
      <w:pPr>
        <w:pStyle w:val="OR"/>
      </w:pPr>
      <w:r w:rsidRPr="00F404E3">
        <w:t>Appel d’un jugement de la chambre territoriale des comptes de Nouvelle-Calédonie</w:t>
      </w:r>
    </w:p>
    <w:p w:rsidR="00225112" w:rsidRPr="00F404E3" w:rsidRDefault="00225112" w:rsidP="00F404E3">
      <w:pPr>
        <w:pStyle w:val="OR"/>
      </w:pPr>
    </w:p>
    <w:p w:rsidR="00225112" w:rsidRDefault="00225112" w:rsidP="00F404E3">
      <w:pPr>
        <w:pStyle w:val="OR"/>
      </w:pPr>
      <w:r w:rsidRPr="00F404E3">
        <w:t>Rapport n° 2011-415-0</w:t>
      </w:r>
    </w:p>
    <w:p w:rsidR="00225112" w:rsidRPr="00F404E3" w:rsidRDefault="00225112" w:rsidP="00F404E3">
      <w:pPr>
        <w:pStyle w:val="OR"/>
      </w:pPr>
    </w:p>
    <w:p w:rsidR="00225112" w:rsidRDefault="00225112" w:rsidP="00F404E3">
      <w:pPr>
        <w:pStyle w:val="OR"/>
      </w:pPr>
      <w:r>
        <w:t xml:space="preserve">Audience </w:t>
      </w:r>
      <w:r w:rsidRPr="00CE299A">
        <w:t>du</w:t>
      </w:r>
      <w:r>
        <w:t xml:space="preserve"> 8 septembre 2011</w:t>
      </w:r>
    </w:p>
    <w:p w:rsidR="00225112" w:rsidRDefault="00225112" w:rsidP="00F404E3">
      <w:pPr>
        <w:pStyle w:val="OR"/>
      </w:pPr>
    </w:p>
    <w:p w:rsidR="00225112" w:rsidRDefault="00225112" w:rsidP="00CD66B8">
      <w:pPr>
        <w:pStyle w:val="OR"/>
        <w:spacing w:after="360"/>
      </w:pPr>
      <w:r>
        <w:t>Lecture du 29 septembre 2011</w:t>
      </w:r>
    </w:p>
    <w:p w:rsidR="00225112" w:rsidRDefault="00225112" w:rsidP="00CD66B8">
      <w:pPr>
        <w:pStyle w:val="P0"/>
        <w:ind w:left="284"/>
        <w:jc w:val="center"/>
      </w:pPr>
      <w:r>
        <w:t>REPUBLIQUE FRANÇAISE</w:t>
      </w:r>
    </w:p>
    <w:p w:rsidR="00225112" w:rsidRDefault="00225112" w:rsidP="00CD66B8">
      <w:pPr>
        <w:pStyle w:val="P0"/>
        <w:ind w:left="284"/>
        <w:jc w:val="center"/>
      </w:pPr>
    </w:p>
    <w:p w:rsidR="00225112" w:rsidRDefault="00225112" w:rsidP="00D65E29">
      <w:pPr>
        <w:pStyle w:val="P0"/>
        <w:spacing w:after="400"/>
        <w:ind w:left="284"/>
        <w:jc w:val="center"/>
      </w:pPr>
      <w:r>
        <w:t>AU NOM DU PEUPLE FRANÇAIS</w:t>
      </w:r>
    </w:p>
    <w:p w:rsidR="00225112" w:rsidRDefault="00225112" w:rsidP="005154CD">
      <w:pPr>
        <w:pStyle w:val="P0"/>
        <w:spacing w:after="400"/>
        <w:ind w:left="284"/>
        <w:jc w:val="center"/>
      </w:pPr>
      <w:r>
        <w:t>LA COUR DES COMPTES a rendu l’arrêt suivant :</w:t>
      </w:r>
    </w:p>
    <w:p w:rsidR="00225112" w:rsidRPr="00B82C1D" w:rsidRDefault="00225112" w:rsidP="009D57A8">
      <w:pPr>
        <w:pStyle w:val="PS"/>
        <w:spacing w:after="360"/>
      </w:pPr>
      <w:r>
        <w:t>LA</w:t>
      </w:r>
      <w:r w:rsidRPr="00B82C1D">
        <w:t xml:space="preserve"> COUR,</w:t>
      </w:r>
    </w:p>
    <w:p w:rsidR="00225112" w:rsidRPr="00B82C1D" w:rsidRDefault="00225112" w:rsidP="00CD66B8">
      <w:pPr>
        <w:pStyle w:val="PS"/>
        <w:spacing w:after="280"/>
      </w:pPr>
      <w:r w:rsidRPr="00B82C1D">
        <w:t>Vu la requête</w:t>
      </w:r>
      <w:r>
        <w:t>,</w:t>
      </w:r>
      <w:r w:rsidRPr="00B82C1D">
        <w:t xml:space="preserve"> enregistrée le </w:t>
      </w:r>
      <w:r>
        <w:t xml:space="preserve">11 février 2011 </w:t>
      </w:r>
      <w:r w:rsidRPr="00B82C1D">
        <w:t xml:space="preserve">au greffe de la chambre </w:t>
      </w:r>
      <w:r>
        <w:t xml:space="preserve">territoriale </w:t>
      </w:r>
      <w:r w:rsidRPr="00B82C1D">
        <w:t xml:space="preserve">des comptes de </w:t>
      </w:r>
      <w:r>
        <w:t xml:space="preserve">Nouvelle-Calédonie, </w:t>
      </w:r>
      <w:r w:rsidRPr="00B82C1D">
        <w:t xml:space="preserve">par laquelle </w:t>
      </w:r>
      <w:r>
        <w:t>M. X</w:t>
      </w:r>
      <w:r w:rsidRPr="00B82C1D">
        <w:t xml:space="preserve">, comptable de </w:t>
      </w:r>
      <w:r>
        <w:t xml:space="preserve">la </w:t>
      </w:r>
      <w:r w:rsidRPr="00263DF7">
        <w:rPr>
          <w:caps/>
        </w:rPr>
        <w:t>Commune de KONÉ</w:t>
      </w:r>
      <w:r>
        <w:t>, du 1</w:t>
      </w:r>
      <w:r w:rsidRPr="00DC22E9">
        <w:rPr>
          <w:vertAlign w:val="superscript"/>
        </w:rPr>
        <w:t>er</w:t>
      </w:r>
      <w:r>
        <w:rPr>
          <w:vertAlign w:val="superscript"/>
        </w:rPr>
        <w:t> </w:t>
      </w:r>
      <w:r>
        <w:t xml:space="preserve">janvier 2007 au 31 décembre 2008, </w:t>
      </w:r>
      <w:r w:rsidRPr="00B82C1D">
        <w:t>a</w:t>
      </w:r>
      <w:r>
        <w:t> </w:t>
      </w:r>
      <w:r w:rsidRPr="00B82C1D">
        <w:t xml:space="preserve">élevé appel du jugement </w:t>
      </w:r>
      <w:r>
        <w:t xml:space="preserve">n° 2010-02 </w:t>
      </w:r>
      <w:r w:rsidRPr="00B82C1D">
        <w:t xml:space="preserve">du </w:t>
      </w:r>
      <w:r>
        <w:t>18 novembre 2010 par lequel</w:t>
      </w:r>
      <w:r w:rsidRPr="00B82C1D">
        <w:t xml:space="preserve"> ladite chambre l’a constitué débiteur </w:t>
      </w:r>
      <w:r>
        <w:t>des deniers de ladite commune pour</w:t>
      </w:r>
      <w:r w:rsidRPr="00B82C1D">
        <w:t xml:space="preserve"> la somme de </w:t>
      </w:r>
      <w:r>
        <w:t xml:space="preserve">11 749,83 € (1 402 128 francs CFP) </w:t>
      </w:r>
      <w:r w:rsidRPr="00B82C1D">
        <w:t>augmentée des intérêts de droit</w:t>
      </w:r>
      <w:r>
        <w:t xml:space="preserve"> </w:t>
      </w:r>
      <w:r w:rsidRPr="00B82C1D">
        <w:t>;</w:t>
      </w:r>
    </w:p>
    <w:p w:rsidR="00225112" w:rsidRDefault="00225112" w:rsidP="00CD66B8">
      <w:pPr>
        <w:pStyle w:val="PS"/>
        <w:spacing w:after="280"/>
      </w:pPr>
      <w:r w:rsidRPr="00497A94">
        <w:t xml:space="preserve">Vu le réquisitoire </w:t>
      </w:r>
      <w:r>
        <w:t xml:space="preserve">n° 2011-42 </w:t>
      </w:r>
      <w:r w:rsidRPr="00497A94">
        <w:t xml:space="preserve">du </w:t>
      </w:r>
      <w:r>
        <w:t>P</w:t>
      </w:r>
      <w:r w:rsidRPr="00497A94">
        <w:t>rocureur général, du</w:t>
      </w:r>
      <w:r>
        <w:t xml:space="preserve"> 14 avril 2011</w:t>
      </w:r>
      <w:r w:rsidRPr="00497A94">
        <w:t xml:space="preserve">, </w:t>
      </w:r>
      <w:r>
        <w:t>transmettant</w:t>
      </w:r>
      <w:r w:rsidRPr="00497A94">
        <w:t xml:space="preserve"> la requête précitée ;</w:t>
      </w:r>
    </w:p>
    <w:p w:rsidR="00225112" w:rsidRPr="00B82C1D" w:rsidRDefault="00225112" w:rsidP="00CD66B8">
      <w:pPr>
        <w:pStyle w:val="PS"/>
        <w:spacing w:after="280"/>
      </w:pPr>
      <w:r w:rsidRPr="00B82C1D">
        <w:t>Vu les pièces de la procédure suivie en première instance</w:t>
      </w:r>
      <w:r>
        <w:t xml:space="preserve"> </w:t>
      </w:r>
      <w:r w:rsidRPr="00B82C1D">
        <w:t>;</w:t>
      </w:r>
    </w:p>
    <w:p w:rsidR="00225112" w:rsidRPr="00B82C1D" w:rsidRDefault="00225112" w:rsidP="00CD66B8">
      <w:pPr>
        <w:pStyle w:val="PS"/>
        <w:spacing w:after="280"/>
      </w:pPr>
      <w:r>
        <w:t xml:space="preserve">Vu la loi organique n° 99-209 du 19 mars 1999 relative à la Nouvelle-Calédonie </w:t>
      </w:r>
      <w:r w:rsidRPr="00B82C1D">
        <w:t>;</w:t>
      </w:r>
    </w:p>
    <w:p w:rsidR="00225112" w:rsidRPr="00B82C1D" w:rsidRDefault="00225112" w:rsidP="00CD66B8">
      <w:pPr>
        <w:pStyle w:val="PS"/>
        <w:spacing w:after="280"/>
      </w:pPr>
      <w:r w:rsidRPr="00B82C1D">
        <w:t>Vu l’article 60 de la loi de finances n°</w:t>
      </w:r>
      <w:r>
        <w:t> </w:t>
      </w:r>
      <w:r w:rsidRPr="00B82C1D">
        <w:t>63-156 du 23</w:t>
      </w:r>
      <w:r>
        <w:t> </w:t>
      </w:r>
      <w:r w:rsidRPr="00B82C1D">
        <w:t>février</w:t>
      </w:r>
      <w:r>
        <w:t> </w:t>
      </w:r>
      <w:r w:rsidRPr="00B82C1D">
        <w:t>1963 modifiée ;</w:t>
      </w:r>
    </w:p>
    <w:p w:rsidR="00225112" w:rsidRDefault="00225112" w:rsidP="00CD66B8">
      <w:pPr>
        <w:pStyle w:val="PS"/>
        <w:spacing w:after="280"/>
      </w:pPr>
      <w:r w:rsidRPr="00B82C1D">
        <w:t>Vu le décret n°</w:t>
      </w:r>
      <w:r>
        <w:t> </w:t>
      </w:r>
      <w:r w:rsidRPr="00B82C1D">
        <w:t>62-1587 du 29</w:t>
      </w:r>
      <w:r>
        <w:t> </w:t>
      </w:r>
      <w:r w:rsidRPr="00B82C1D">
        <w:t>décembre</w:t>
      </w:r>
      <w:r>
        <w:t> </w:t>
      </w:r>
      <w:r w:rsidRPr="00B82C1D">
        <w:t>1962 modifié portant règlement général sur la comptabilité publique ;</w:t>
      </w:r>
    </w:p>
    <w:p w:rsidR="00225112" w:rsidRDefault="00225112" w:rsidP="009D13E1">
      <w:pPr>
        <w:pStyle w:val="PS"/>
        <w:spacing w:after="240"/>
      </w:pPr>
      <w:r w:rsidRPr="00B82C1D">
        <w:t>Vu le code des juridictions financières ;</w:t>
      </w:r>
    </w:p>
    <w:p w:rsidR="00225112" w:rsidRDefault="00225112" w:rsidP="00F404E3">
      <w:pPr>
        <w:pStyle w:val="PS"/>
        <w:sectPr w:rsidR="00225112">
          <w:pgSz w:w="11907" w:h="16840"/>
          <w:pgMar w:top="1134" w:right="1134" w:bottom="1134" w:left="567" w:header="720" w:footer="720" w:gutter="0"/>
          <w:cols w:space="720"/>
        </w:sectPr>
      </w:pPr>
    </w:p>
    <w:p w:rsidR="00225112" w:rsidRDefault="00225112" w:rsidP="009D57A8">
      <w:pPr>
        <w:pStyle w:val="PS"/>
      </w:pPr>
      <w:r>
        <w:t>Vu le décret du 2 septembre 1996 et son annexe, portant établissement de la liste des pièces justificatives des paiements des communes, des provinces, du territoire et des établissements publics locaux de Nouvelle-Calédonie ;</w:t>
      </w:r>
    </w:p>
    <w:p w:rsidR="00225112" w:rsidRDefault="00225112" w:rsidP="001D63C0">
      <w:pPr>
        <w:pStyle w:val="PS"/>
      </w:pPr>
      <w:r>
        <w:t xml:space="preserve">Vu le </w:t>
      </w:r>
      <w:r w:rsidRPr="009D57A8">
        <w:t>décret n° 2003-301 du 2</w:t>
      </w:r>
      <w:r>
        <w:t> </w:t>
      </w:r>
      <w:r w:rsidRPr="009D57A8">
        <w:t>avril</w:t>
      </w:r>
      <w:r>
        <w:t> </w:t>
      </w:r>
      <w:r w:rsidRPr="009D57A8">
        <w:t>2003, codifié dans le code général des collectivités territoriales (articles D.</w:t>
      </w:r>
      <w:r>
        <w:t> </w:t>
      </w:r>
      <w:r w:rsidRPr="009D57A8">
        <w:t>1617</w:t>
      </w:r>
      <w:r>
        <w:t>-</w:t>
      </w:r>
      <w:r w:rsidRPr="009D57A8">
        <w:t>19 à D.</w:t>
      </w:r>
      <w:r>
        <w:t> </w:t>
      </w:r>
      <w:r w:rsidRPr="009D57A8">
        <w:t>1617-21), fixant</w:t>
      </w:r>
      <w:r>
        <w:rPr>
          <w:color w:val="000000"/>
        </w:rPr>
        <w:t xml:space="preserve"> </w:t>
      </w:r>
      <w:r>
        <w:t>la liste des pièces justificatives des dépenses des collectivités et établissements publics locaux ;</w:t>
      </w:r>
    </w:p>
    <w:p w:rsidR="00225112" w:rsidRPr="00B82C1D" w:rsidRDefault="00225112" w:rsidP="009D57A8">
      <w:pPr>
        <w:pStyle w:val="PS"/>
      </w:pPr>
      <w:r>
        <w:t>Vu le rapport de Mme Catherine Démier, conseillère maître ;</w:t>
      </w:r>
    </w:p>
    <w:p w:rsidR="00225112" w:rsidRPr="00B82C1D" w:rsidRDefault="00225112" w:rsidP="009D57A8">
      <w:pPr>
        <w:pStyle w:val="PS"/>
      </w:pPr>
      <w:r w:rsidRPr="00B82C1D">
        <w:t xml:space="preserve">Vu les conclusions </w:t>
      </w:r>
      <w:r>
        <w:t xml:space="preserve">n° 438 </w:t>
      </w:r>
      <w:r w:rsidRPr="00B82C1D">
        <w:t>du Procureur général</w:t>
      </w:r>
      <w:r>
        <w:t xml:space="preserve"> du 1</w:t>
      </w:r>
      <w:r w:rsidRPr="009D57A8">
        <w:rPr>
          <w:vertAlign w:val="superscript"/>
        </w:rPr>
        <w:t>er</w:t>
      </w:r>
      <w:r>
        <w:rPr>
          <w:vertAlign w:val="superscript"/>
        </w:rPr>
        <w:t> </w:t>
      </w:r>
      <w:r>
        <w:t xml:space="preserve">juillet 2011 </w:t>
      </w:r>
      <w:r w:rsidRPr="00B82C1D">
        <w:t>;</w:t>
      </w:r>
    </w:p>
    <w:p w:rsidR="00225112" w:rsidRPr="009D57A8" w:rsidRDefault="00225112" w:rsidP="009D57A8">
      <w:pPr>
        <w:pStyle w:val="PS"/>
      </w:pPr>
      <w:r w:rsidRPr="00B82C1D">
        <w:t xml:space="preserve">Entendu, lors de l’audience publique de ce jour, </w:t>
      </w:r>
      <w:r>
        <w:t>Mme Démier,</w:t>
      </w:r>
      <w:r w:rsidRPr="00B82C1D">
        <w:t xml:space="preserve"> </w:t>
      </w:r>
      <w:r>
        <w:t>en</w:t>
      </w:r>
      <w:r w:rsidRPr="00B82C1D">
        <w:t xml:space="preserve"> son </w:t>
      </w:r>
      <w:r>
        <w:t>rapport</w:t>
      </w:r>
      <w:r w:rsidRPr="00B82C1D">
        <w:t>, M.</w:t>
      </w:r>
      <w:r>
        <w:t> Maistre</w:t>
      </w:r>
      <w:r w:rsidRPr="00B82C1D">
        <w:t xml:space="preserve">, </w:t>
      </w:r>
      <w:r>
        <w:t xml:space="preserve">premier </w:t>
      </w:r>
      <w:r w:rsidRPr="00B82C1D">
        <w:t xml:space="preserve">avocat général, en </w:t>
      </w:r>
      <w:r w:rsidRPr="00CE299A">
        <w:t>l</w:t>
      </w:r>
      <w:r w:rsidRPr="00AA35D6">
        <w:t>es</w:t>
      </w:r>
      <w:r w:rsidRPr="00B82C1D">
        <w:t xml:space="preserve"> conclusions</w:t>
      </w:r>
      <w:r>
        <w:t xml:space="preserve"> du P</w:t>
      </w:r>
      <w:r w:rsidRPr="00CE299A">
        <w:t>arquet</w:t>
      </w:r>
      <w:r w:rsidRPr="00B82C1D">
        <w:t>, l’appelant, informé de l’audience</w:t>
      </w:r>
      <w:r w:rsidRPr="009D57A8">
        <w:t>, n’étant pas présent ;</w:t>
      </w:r>
    </w:p>
    <w:p w:rsidR="00225112" w:rsidRPr="00B82C1D" w:rsidRDefault="00225112" w:rsidP="009D57A8">
      <w:pPr>
        <w:pStyle w:val="PS"/>
      </w:pPr>
      <w:r>
        <w:t>Après avoir e</w:t>
      </w:r>
      <w:r w:rsidRPr="00B82C1D">
        <w:t xml:space="preserve">ntendu, </w:t>
      </w:r>
      <w:r>
        <w:t>en délibéré</w:t>
      </w:r>
      <w:r w:rsidRPr="00B82C1D">
        <w:t>, M.</w:t>
      </w:r>
      <w:r>
        <w:t xml:space="preserve"> Gilles Cazanave, conseiller maître, </w:t>
      </w:r>
      <w:r w:rsidRPr="00B82C1D">
        <w:t>en</w:t>
      </w:r>
      <w:r>
        <w:t> </w:t>
      </w:r>
      <w:r w:rsidRPr="00B82C1D">
        <w:t>ses observations ;</w:t>
      </w:r>
    </w:p>
    <w:p w:rsidR="00225112" w:rsidRDefault="00225112" w:rsidP="00F404E3">
      <w:pPr>
        <w:pStyle w:val="PS"/>
        <w:rPr>
          <w:b/>
          <w:bCs/>
          <w:u w:val="single"/>
        </w:rPr>
      </w:pPr>
      <w:r w:rsidRPr="001B7368">
        <w:rPr>
          <w:b/>
          <w:bCs/>
          <w:u w:val="single"/>
        </w:rPr>
        <w:t>Sur la recevabilité :</w:t>
      </w:r>
    </w:p>
    <w:p w:rsidR="00225112" w:rsidRDefault="00225112" w:rsidP="009D57A8">
      <w:pPr>
        <w:pStyle w:val="PS"/>
      </w:pPr>
      <w:r w:rsidRPr="00E23018">
        <w:t>Attendu que les articles</w:t>
      </w:r>
      <w:r>
        <w:t xml:space="preserve"> R. 262-87 et R. 262-88 du code des juridictions financières prescrivent que le délai d’appel pour former le recours d’un jugement de la chambre territoriale des comptes de Nouvelle-Calédonie est de deux mois et qu’il s’apprécie à la date d’enregistrement de la requête au greffe de ladite chambre ;</w:t>
      </w:r>
    </w:p>
    <w:p w:rsidR="00225112" w:rsidRDefault="00225112" w:rsidP="00A7785E">
      <w:pPr>
        <w:pStyle w:val="PS"/>
      </w:pPr>
      <w:r>
        <w:t xml:space="preserve">Attendu que le jugement n° 2010-02 </w:t>
      </w:r>
      <w:r w:rsidRPr="00B82C1D">
        <w:t xml:space="preserve">du </w:t>
      </w:r>
      <w:r>
        <w:t>18 novembre 2010 a été notifié à M. X le 9 décembre 2010, que ce dernier a interjeté appel par lettre du 1</w:t>
      </w:r>
      <w:r w:rsidRPr="00E23018">
        <w:rPr>
          <w:vertAlign w:val="superscript"/>
        </w:rPr>
        <w:t>er</w:t>
      </w:r>
      <w:r>
        <w:rPr>
          <w:vertAlign w:val="superscript"/>
        </w:rPr>
        <w:t> </w:t>
      </w:r>
      <w:r>
        <w:t xml:space="preserve">février 2011, mais que celle-ci n’a été enregistrée au greffe que le 11 février 2011 ; </w:t>
      </w:r>
    </w:p>
    <w:p w:rsidR="00225112" w:rsidRDefault="00225112" w:rsidP="009D57A8">
      <w:pPr>
        <w:pStyle w:val="PS"/>
      </w:pPr>
      <w:r>
        <w:t>Qu’ainsi le délai de deux mois prévu à l’article R. 262-87 n’a pas été respecté ;</w:t>
      </w:r>
    </w:p>
    <w:p w:rsidR="00225112" w:rsidRPr="00E23018" w:rsidRDefault="00225112" w:rsidP="00F404E3">
      <w:pPr>
        <w:pStyle w:val="PS"/>
      </w:pPr>
      <w:r>
        <w:t>Considérant toutefois que cet appel tardif est recevable, compte tenu du délai d’acheminement postal anormalement long ;</w:t>
      </w:r>
    </w:p>
    <w:p w:rsidR="00225112" w:rsidRDefault="00225112" w:rsidP="00F404E3">
      <w:pPr>
        <w:pStyle w:val="PS"/>
        <w:rPr>
          <w:b/>
          <w:bCs/>
          <w:u w:val="single"/>
        </w:rPr>
      </w:pPr>
      <w:r>
        <w:rPr>
          <w:b/>
          <w:bCs/>
          <w:u w:val="single"/>
        </w:rPr>
        <w:br w:type="page"/>
      </w:r>
      <w:r w:rsidRPr="001B7368">
        <w:rPr>
          <w:b/>
          <w:bCs/>
          <w:u w:val="single"/>
        </w:rPr>
        <w:t>Sur le fond</w:t>
      </w:r>
      <w:r w:rsidRPr="003A325E">
        <w:rPr>
          <w:b/>
          <w:bCs/>
        </w:rPr>
        <w:t> :</w:t>
      </w:r>
    </w:p>
    <w:p w:rsidR="00225112" w:rsidRDefault="00225112" w:rsidP="00F73DA8">
      <w:pPr>
        <w:pStyle w:val="PS"/>
      </w:pPr>
      <w:r>
        <w:t>Attendu que par jugement du 18 novembre 2010 précité, la chambre territoriale des comptes de Nouvelle-Calédonie a rendu M. X, comptable de la commune de Koné, débiteur de la somme de 11 749,83 € (1 402 128 francs CFP) pour avoir procédé au paiement de mandats en dépassement du seuil des marchés publics, fixé, en Nouvelle-Calédonie, à 8 000 000 F CFP par une délibération n° 136 CP modifiée du 1</w:t>
      </w:r>
      <w:r w:rsidRPr="005632C8">
        <w:rPr>
          <w:vertAlign w:val="superscript"/>
        </w:rPr>
        <w:t>er</w:t>
      </w:r>
      <w:r>
        <w:rPr>
          <w:vertAlign w:val="superscript"/>
        </w:rPr>
        <w:t> </w:t>
      </w:r>
      <w:r>
        <w:t>mars 1967 du Congrès du territoire ;</w:t>
      </w:r>
    </w:p>
    <w:p w:rsidR="00225112" w:rsidRDefault="00225112" w:rsidP="00F404E3">
      <w:pPr>
        <w:pStyle w:val="PS"/>
      </w:pPr>
      <w:r>
        <w:t>Attendu que l’appelant soutient en premier lieu que le recours à des conventions, en lieu et place d’un marché public, s’explique par des circonstances locales ;</w:t>
      </w:r>
    </w:p>
    <w:p w:rsidR="00225112" w:rsidRDefault="00225112" w:rsidP="00F404E3">
      <w:pPr>
        <w:pStyle w:val="PS"/>
      </w:pPr>
      <w:r>
        <w:t>Attendu qu’en deuxième lieu, il estime que ces conventions sont exécutoires et qu’elles s’imposent à lui sans qu’il ait à en apprécier la légalité interne ;</w:t>
      </w:r>
    </w:p>
    <w:p w:rsidR="00225112" w:rsidRDefault="00225112" w:rsidP="00F404E3">
      <w:pPr>
        <w:pStyle w:val="PS"/>
      </w:pPr>
      <w:r>
        <w:t>Attendu qu’en troisième lieu, il invoque le fait que les comptables ne sont plus chargés depuis 2003 de veiller au contrôle de l’application des seuils des marchés publics ;</w:t>
      </w:r>
    </w:p>
    <w:p w:rsidR="00225112" w:rsidRDefault="00225112" w:rsidP="00F404E3">
      <w:pPr>
        <w:pStyle w:val="PS"/>
      </w:pPr>
      <w:r>
        <w:t>Qu’ainsi l’appelant demande que le jugement de la chambre territoriale des comptes de Nouvelle-Calédonie soit infirmé ;</w:t>
      </w:r>
    </w:p>
    <w:p w:rsidR="00225112" w:rsidRDefault="00225112" w:rsidP="00F13E1B">
      <w:pPr>
        <w:pStyle w:val="PS"/>
      </w:pPr>
      <w:r>
        <w:t>Considérant que les circonstances locales rappelées par le comptable, tenant aux dissensions au sein du SIVOM VKP, à la nécessité en conséquence pour la commune de Koné de prendre des mesures de salubrité, et au faible nombre d’entreprises aptes localement à effectuer les prestations objets des conventions en cause, sont sans incidence sur la responsabilité du comptable ;</w:t>
      </w:r>
    </w:p>
    <w:p w:rsidR="00225112" w:rsidRDefault="00225112" w:rsidP="00001464">
      <w:pPr>
        <w:pStyle w:val="PS"/>
      </w:pPr>
      <w:r>
        <w:t>Considérant que le fait que ces conventions soient exécutoires, ce qui est avéré, et qui n’a pas été soulevé par la chambre territoriale, ne saurait constituer une condition suffisante pour apprécier la responsabilité du comptable, ici fondée sur l’absence de contrôle de la validité de la créance ;</w:t>
      </w:r>
    </w:p>
    <w:p w:rsidR="00225112" w:rsidRDefault="00225112" w:rsidP="00C15A05">
      <w:pPr>
        <w:pStyle w:val="PS"/>
      </w:pPr>
      <w:r>
        <w:t xml:space="preserve">Considérant enfin que les dispositions du code général des collectivités territoriales, notamment les articles </w:t>
      </w:r>
      <w:r w:rsidRPr="00C15A05">
        <w:t>D.</w:t>
      </w:r>
      <w:r>
        <w:t> </w:t>
      </w:r>
      <w:r w:rsidRPr="00C15A05">
        <w:t>1617-19 à D.</w:t>
      </w:r>
      <w:r>
        <w:t> </w:t>
      </w:r>
      <w:r w:rsidRPr="00C15A05">
        <w:t>1617-21, introduites par le décret n°</w:t>
      </w:r>
      <w:r>
        <w:t> </w:t>
      </w:r>
      <w:r w:rsidRPr="00C15A05">
        <w:t>2003-301 du 2</w:t>
      </w:r>
      <w:r>
        <w:t> </w:t>
      </w:r>
      <w:r w:rsidRPr="00C15A05">
        <w:t>avril</w:t>
      </w:r>
      <w:r>
        <w:t> </w:t>
      </w:r>
      <w:r w:rsidRPr="00C15A05">
        <w:t>2003, n’imposant plus aux comptables publics de contrôler le seuil des marchés publics, ne sont pas applicables à la Nouvelle-Calédonie</w:t>
      </w:r>
      <w:r>
        <w:rPr>
          <w:color w:val="000000"/>
        </w:rPr>
        <w:t> ;</w:t>
      </w:r>
    </w:p>
    <w:p w:rsidR="00225112" w:rsidRDefault="00225112" w:rsidP="00F404E3">
      <w:pPr>
        <w:pStyle w:val="PS"/>
      </w:pPr>
      <w:r>
        <w:br w:type="page"/>
        <w:t>Par ces motifs,</w:t>
      </w:r>
    </w:p>
    <w:p w:rsidR="00225112" w:rsidRPr="00660A6D" w:rsidRDefault="00225112" w:rsidP="00DC14A7">
      <w:pPr>
        <w:pStyle w:val="PS"/>
        <w:ind w:firstLine="0"/>
        <w:jc w:val="center"/>
      </w:pPr>
      <w:r w:rsidRPr="00660A6D">
        <w:t>ORDONNE :</w:t>
      </w:r>
    </w:p>
    <w:p w:rsidR="00225112" w:rsidRDefault="00225112" w:rsidP="00DC14A7">
      <w:pPr>
        <w:pStyle w:val="PS"/>
      </w:pPr>
      <w:r>
        <w:t>1</w:t>
      </w:r>
      <w:r w:rsidRPr="001D22DF">
        <w:rPr>
          <w:vertAlign w:val="superscript"/>
        </w:rPr>
        <w:t>er</w:t>
      </w:r>
      <w:r>
        <w:t>) </w:t>
      </w:r>
      <w:r w:rsidRPr="00660A6D">
        <w:t xml:space="preserve">La requête de </w:t>
      </w:r>
      <w:r>
        <w:t xml:space="preserve">M. X </w:t>
      </w:r>
      <w:r w:rsidRPr="00660A6D">
        <w:t xml:space="preserve">est </w:t>
      </w:r>
      <w:r>
        <w:t xml:space="preserve">déclarée </w:t>
      </w:r>
      <w:r w:rsidRPr="00671DB5">
        <w:t>recevable</w:t>
      </w:r>
      <w:r>
        <w:t>.</w:t>
      </w:r>
    </w:p>
    <w:p w:rsidR="00225112" w:rsidRDefault="00225112" w:rsidP="00DC14A7">
      <w:pPr>
        <w:pStyle w:val="PS"/>
      </w:pPr>
      <w:r>
        <w:t>2</w:t>
      </w:r>
      <w:r w:rsidRPr="001D22DF">
        <w:rPr>
          <w:vertAlign w:val="superscript"/>
        </w:rPr>
        <w:t>ème</w:t>
      </w:r>
      <w:r>
        <w:t>) </w:t>
      </w:r>
      <w:r w:rsidRPr="00660A6D">
        <w:t xml:space="preserve">Le jugement </w:t>
      </w:r>
      <w:r>
        <w:t xml:space="preserve">n° 2010-02 </w:t>
      </w:r>
      <w:r w:rsidRPr="00B82C1D">
        <w:t xml:space="preserve">du </w:t>
      </w:r>
      <w:r>
        <w:t>18 novembre 2010 d</w:t>
      </w:r>
      <w:r w:rsidRPr="00660A6D">
        <w:t xml:space="preserve">e la chambre </w:t>
      </w:r>
      <w:r>
        <w:t xml:space="preserve">territoriale </w:t>
      </w:r>
      <w:r w:rsidRPr="00660A6D">
        <w:t>des comptes de</w:t>
      </w:r>
      <w:r>
        <w:t xml:space="preserve"> Nouvelle-Calédonie est confirmé.</w:t>
      </w:r>
    </w:p>
    <w:p w:rsidR="00225112" w:rsidRPr="00660A6D" w:rsidRDefault="00225112" w:rsidP="00A85DC9">
      <w:pPr>
        <w:pStyle w:val="PS"/>
        <w:ind w:firstLine="0"/>
        <w:jc w:val="center"/>
      </w:pPr>
      <w:r w:rsidRPr="00660A6D">
        <w:t>--------</w:t>
      </w:r>
    </w:p>
    <w:p w:rsidR="00225112" w:rsidRDefault="00225112" w:rsidP="00A85DC9">
      <w:pPr>
        <w:pStyle w:val="PS"/>
      </w:pPr>
      <w:r w:rsidRPr="00660A6D">
        <w:t>Fait et jugé en la Cour des comptes, quatrième cham</w:t>
      </w:r>
      <w:r>
        <w:t>bre, première section. Présents : </w:t>
      </w:r>
      <w:r w:rsidRPr="00660A6D">
        <w:t>MM</w:t>
      </w:r>
      <w:r>
        <w:t>. Bayle,</w:t>
      </w:r>
      <w:r w:rsidRPr="00660A6D">
        <w:t xml:space="preserve"> président,</w:t>
      </w:r>
      <w:r>
        <w:t xml:space="preserve"> Cazanave,</w:t>
      </w:r>
      <w:r w:rsidRPr="00660A6D">
        <w:t xml:space="preserve"> président de section, </w:t>
      </w:r>
      <w:r>
        <w:t xml:space="preserve">MM. Thérond, Lafaure, Vermeulen, Vachia, Martin, Mme Gadriot-Renard, et M. Geoffroy, </w:t>
      </w:r>
      <w:r w:rsidRPr="00660A6D">
        <w:t>conseille</w:t>
      </w:r>
      <w:r>
        <w:t>rs maîtres</w:t>
      </w:r>
      <w:r w:rsidRPr="00660A6D">
        <w:t>.</w:t>
      </w:r>
    </w:p>
    <w:p w:rsidR="00225112" w:rsidRDefault="00225112" w:rsidP="00A85DC9">
      <w:pPr>
        <w:pStyle w:val="PS"/>
      </w:pPr>
      <w:r>
        <w:t>Signé : Bayle, président, et Le Baron, greffier.</w:t>
      </w:r>
    </w:p>
    <w:p w:rsidR="00225112" w:rsidRDefault="00225112" w:rsidP="00A85DC9">
      <w:pPr>
        <w:pStyle w:val="PS"/>
      </w:pPr>
      <w:r w:rsidRPr="000C41E2">
        <w:t>Collationné, certifié conforme à la minute étant au greffe de la Cour des comptes.</w:t>
      </w:r>
    </w:p>
    <w:p w:rsidR="00225112" w:rsidRDefault="00225112" w:rsidP="00D54224">
      <w:pPr>
        <w:pStyle w:val="PS"/>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225112" w:rsidRDefault="00225112" w:rsidP="000E540E">
      <w:pPr>
        <w:pStyle w:val="PS"/>
        <w:spacing w:after="240"/>
      </w:pPr>
      <w:r w:rsidRPr="000C41E2">
        <w:t>Délivré par moi, secrétaire général</w:t>
      </w:r>
      <w:r>
        <w:t>.</w:t>
      </w:r>
    </w:p>
    <w:p w:rsidR="00225112" w:rsidRPr="00270E3D" w:rsidRDefault="00225112" w:rsidP="00FF468D">
      <w:pPr>
        <w:pStyle w:val="StylepsNoirPremireligne222cmAvantAutomatiqueApr"/>
        <w:spacing w:before="0" w:beforeAutospacing="0" w:after="0" w:afterAutospacing="0"/>
        <w:ind w:left="6804" w:hanging="11"/>
        <w:jc w:val="center"/>
        <w:rPr>
          <w:i w:val="0"/>
          <w:iCs w:val="0"/>
          <w:caps w:val="0"/>
          <w:color w:val="auto"/>
        </w:rPr>
      </w:pPr>
      <w:r w:rsidRPr="00270E3D">
        <w:rPr>
          <w:i w:val="0"/>
          <w:iCs w:val="0"/>
          <w:caps w:val="0"/>
          <w:color w:val="auto"/>
        </w:rPr>
        <w:t>Pour le Secrétaire général</w:t>
      </w:r>
    </w:p>
    <w:p w:rsidR="00225112" w:rsidRPr="00270E3D" w:rsidRDefault="00225112" w:rsidP="00FF468D">
      <w:pPr>
        <w:pStyle w:val="StylepsNoirPremireligne222cmAvantAutomatiqueApr"/>
        <w:spacing w:before="0" w:beforeAutospacing="0" w:after="0" w:afterAutospacing="0"/>
        <w:ind w:left="6804" w:hanging="11"/>
        <w:jc w:val="center"/>
        <w:rPr>
          <w:i w:val="0"/>
          <w:iCs w:val="0"/>
          <w:caps w:val="0"/>
          <w:color w:val="auto"/>
        </w:rPr>
      </w:pPr>
      <w:r w:rsidRPr="00270E3D">
        <w:rPr>
          <w:i w:val="0"/>
          <w:iCs w:val="0"/>
          <w:caps w:val="0"/>
          <w:color w:val="auto"/>
        </w:rPr>
        <w:t>et par délégation</w:t>
      </w:r>
    </w:p>
    <w:p w:rsidR="00225112" w:rsidRPr="00270E3D" w:rsidRDefault="00225112" w:rsidP="00142533">
      <w:pPr>
        <w:pStyle w:val="StylepsNoirPremireligne222cmAvantAutomatiqueApr"/>
        <w:spacing w:before="0" w:beforeAutospacing="0" w:after="1680" w:afterAutospacing="0"/>
        <w:ind w:left="6804" w:hanging="11"/>
        <w:jc w:val="center"/>
        <w:rPr>
          <w:i w:val="0"/>
          <w:iCs w:val="0"/>
          <w:caps w:val="0"/>
          <w:color w:val="auto"/>
        </w:rPr>
      </w:pPr>
      <w:r w:rsidRPr="00270E3D">
        <w:rPr>
          <w:i w:val="0"/>
          <w:iCs w:val="0"/>
          <w:caps w:val="0"/>
          <w:color w:val="auto"/>
        </w:rPr>
        <w:t>le Chef du greffe contentieux</w:t>
      </w:r>
    </w:p>
    <w:p w:rsidR="00225112" w:rsidRPr="00270E3D" w:rsidRDefault="00225112" w:rsidP="00FF468D">
      <w:pPr>
        <w:pStyle w:val="StylepsNoirPremireligne222cmAvantAutomatiqueApr"/>
        <w:spacing w:after="0" w:afterAutospacing="0"/>
        <w:ind w:left="7088" w:hanging="11"/>
        <w:jc w:val="center"/>
        <w:rPr>
          <w:i w:val="0"/>
          <w:iCs w:val="0"/>
          <w:caps w:val="0"/>
          <w:color w:val="auto"/>
        </w:rPr>
      </w:pPr>
      <w:r w:rsidRPr="00270E3D">
        <w:rPr>
          <w:i w:val="0"/>
          <w:iCs w:val="0"/>
          <w:caps w:val="0"/>
          <w:color w:val="auto"/>
        </w:rPr>
        <w:t>Daniel FEREZ</w:t>
      </w:r>
    </w:p>
    <w:sectPr w:rsidR="00225112" w:rsidRPr="00270E3D" w:rsidSect="00004A8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112" w:rsidRDefault="00225112">
      <w:r>
        <w:separator/>
      </w:r>
    </w:p>
  </w:endnote>
  <w:endnote w:type="continuationSeparator" w:id="0">
    <w:p w:rsidR="00225112" w:rsidRDefault="002251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112" w:rsidRDefault="00225112">
      <w:r>
        <w:separator/>
      </w:r>
    </w:p>
  </w:footnote>
  <w:footnote w:type="continuationSeparator" w:id="0">
    <w:p w:rsidR="00225112" w:rsidRDefault="002251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112" w:rsidRDefault="00225112">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1464"/>
    <w:rsid w:val="00004A88"/>
    <w:rsid w:val="00042DE1"/>
    <w:rsid w:val="0004319A"/>
    <w:rsid w:val="00046972"/>
    <w:rsid w:val="00055DDF"/>
    <w:rsid w:val="00093381"/>
    <w:rsid w:val="000B5C9C"/>
    <w:rsid w:val="000C41E2"/>
    <w:rsid w:val="000E540E"/>
    <w:rsid w:val="00142533"/>
    <w:rsid w:val="001B7368"/>
    <w:rsid w:val="001D22DF"/>
    <w:rsid w:val="001D63C0"/>
    <w:rsid w:val="00225112"/>
    <w:rsid w:val="002608E2"/>
    <w:rsid w:val="00263DF7"/>
    <w:rsid w:val="00270E3D"/>
    <w:rsid w:val="002974D2"/>
    <w:rsid w:val="002F3939"/>
    <w:rsid w:val="00362DCA"/>
    <w:rsid w:val="003A325E"/>
    <w:rsid w:val="00450250"/>
    <w:rsid w:val="004823D9"/>
    <w:rsid w:val="00493E58"/>
    <w:rsid w:val="00497A94"/>
    <w:rsid w:val="005154CD"/>
    <w:rsid w:val="00532246"/>
    <w:rsid w:val="00535D05"/>
    <w:rsid w:val="005632C8"/>
    <w:rsid w:val="005C176F"/>
    <w:rsid w:val="005F71A6"/>
    <w:rsid w:val="006135FB"/>
    <w:rsid w:val="006270A4"/>
    <w:rsid w:val="00660A6D"/>
    <w:rsid w:val="00671DB5"/>
    <w:rsid w:val="0069408F"/>
    <w:rsid w:val="00723360"/>
    <w:rsid w:val="007569B1"/>
    <w:rsid w:val="00760DA9"/>
    <w:rsid w:val="007C6C7C"/>
    <w:rsid w:val="009D13E1"/>
    <w:rsid w:val="009D46D0"/>
    <w:rsid w:val="009D57A8"/>
    <w:rsid w:val="009E3751"/>
    <w:rsid w:val="00A7785E"/>
    <w:rsid w:val="00A85DC9"/>
    <w:rsid w:val="00AA35D6"/>
    <w:rsid w:val="00AC0E91"/>
    <w:rsid w:val="00AE78DD"/>
    <w:rsid w:val="00AF5D34"/>
    <w:rsid w:val="00B44CEE"/>
    <w:rsid w:val="00B82C1D"/>
    <w:rsid w:val="00BC6D50"/>
    <w:rsid w:val="00BF38D6"/>
    <w:rsid w:val="00BF61C1"/>
    <w:rsid w:val="00C15A05"/>
    <w:rsid w:val="00CD66B8"/>
    <w:rsid w:val="00CE299A"/>
    <w:rsid w:val="00D31700"/>
    <w:rsid w:val="00D43E7E"/>
    <w:rsid w:val="00D54224"/>
    <w:rsid w:val="00D65E29"/>
    <w:rsid w:val="00DC14A7"/>
    <w:rsid w:val="00DC22E9"/>
    <w:rsid w:val="00DC244C"/>
    <w:rsid w:val="00E23018"/>
    <w:rsid w:val="00E302B7"/>
    <w:rsid w:val="00E70980"/>
    <w:rsid w:val="00E807AD"/>
    <w:rsid w:val="00EA0FFF"/>
    <w:rsid w:val="00EA73FB"/>
    <w:rsid w:val="00EB6713"/>
    <w:rsid w:val="00ED01DE"/>
    <w:rsid w:val="00F13E1B"/>
    <w:rsid w:val="00F404E3"/>
    <w:rsid w:val="00F56CDA"/>
    <w:rsid w:val="00F67850"/>
    <w:rsid w:val="00F73DA8"/>
    <w:rsid w:val="00FE17F0"/>
    <w:rsid w:val="00FF468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08F"/>
    <w:rPr>
      <w:sz w:val="20"/>
      <w:szCs w:val="20"/>
    </w:rPr>
  </w:style>
  <w:style w:type="paragraph" w:styleId="Heading1">
    <w:name w:val="heading 1"/>
    <w:basedOn w:val="Normal"/>
    <w:next w:val="Normal"/>
    <w:link w:val="Heading1Char"/>
    <w:uiPriority w:val="99"/>
    <w:qFormat/>
    <w:rsid w:val="0069408F"/>
    <w:pPr>
      <w:spacing w:before="240"/>
      <w:outlineLvl w:val="0"/>
    </w:pPr>
    <w:rPr>
      <w:b/>
      <w:bCs/>
      <w:sz w:val="24"/>
      <w:szCs w:val="24"/>
      <w:u w:val="single"/>
    </w:rPr>
  </w:style>
  <w:style w:type="paragraph" w:styleId="Heading2">
    <w:name w:val="heading 2"/>
    <w:basedOn w:val="Normal"/>
    <w:next w:val="Normal"/>
    <w:link w:val="Heading2Char"/>
    <w:uiPriority w:val="99"/>
    <w:qFormat/>
    <w:rsid w:val="0069408F"/>
    <w:pPr>
      <w:spacing w:before="120"/>
      <w:outlineLvl w:val="1"/>
    </w:pPr>
    <w:rPr>
      <w:b/>
      <w:bCs/>
      <w:sz w:val="24"/>
      <w:szCs w:val="24"/>
    </w:rPr>
  </w:style>
  <w:style w:type="paragraph" w:styleId="Heading3">
    <w:name w:val="heading 3"/>
    <w:basedOn w:val="Normal"/>
    <w:next w:val="NormalIndent"/>
    <w:link w:val="Heading3Char"/>
    <w:uiPriority w:val="99"/>
    <w:qFormat/>
    <w:rsid w:val="0069408F"/>
    <w:pPr>
      <w:ind w:left="354"/>
      <w:outlineLvl w:val="2"/>
    </w:pPr>
    <w:rPr>
      <w:b/>
      <w:bCs/>
      <w:sz w:val="24"/>
      <w:szCs w:val="24"/>
    </w:rPr>
  </w:style>
  <w:style w:type="paragraph" w:styleId="Heading4">
    <w:name w:val="heading 4"/>
    <w:basedOn w:val="Normal"/>
    <w:next w:val="Normal"/>
    <w:link w:val="Heading4Char"/>
    <w:uiPriority w:val="99"/>
    <w:qFormat/>
    <w:rsid w:val="00ED01DE"/>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224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3224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32246"/>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532246"/>
    <w:rPr>
      <w:rFonts w:ascii="Calibri" w:hAnsi="Calibri" w:cs="Calibri"/>
      <w:b/>
      <w:bCs/>
      <w:sz w:val="28"/>
      <w:szCs w:val="28"/>
    </w:rPr>
  </w:style>
  <w:style w:type="paragraph" w:styleId="NormalIndent">
    <w:name w:val="Normal Indent"/>
    <w:basedOn w:val="Normal"/>
    <w:uiPriority w:val="99"/>
    <w:rsid w:val="0069408F"/>
    <w:pPr>
      <w:ind w:left="708"/>
    </w:pPr>
  </w:style>
  <w:style w:type="paragraph" w:styleId="Header">
    <w:name w:val="header"/>
    <w:basedOn w:val="Normal"/>
    <w:link w:val="HeaderChar"/>
    <w:uiPriority w:val="99"/>
    <w:rsid w:val="0069408F"/>
    <w:pPr>
      <w:tabs>
        <w:tab w:val="center" w:pos="4819"/>
        <w:tab w:val="right" w:pos="9071"/>
      </w:tabs>
    </w:pPr>
  </w:style>
  <w:style w:type="character" w:customStyle="1" w:styleId="HeaderChar">
    <w:name w:val="Header Char"/>
    <w:basedOn w:val="DefaultParagraphFont"/>
    <w:link w:val="Header"/>
    <w:uiPriority w:val="99"/>
    <w:semiHidden/>
    <w:locked/>
    <w:rsid w:val="00532246"/>
    <w:rPr>
      <w:sz w:val="20"/>
      <w:szCs w:val="20"/>
    </w:rPr>
  </w:style>
  <w:style w:type="paragraph" w:customStyle="1" w:styleId="ET">
    <w:name w:val="ET"/>
    <w:basedOn w:val="Normal"/>
    <w:uiPriority w:val="99"/>
    <w:rsid w:val="0069408F"/>
    <w:rPr>
      <w:b/>
      <w:bCs/>
      <w:caps/>
      <w:sz w:val="24"/>
      <w:szCs w:val="24"/>
    </w:rPr>
  </w:style>
  <w:style w:type="paragraph" w:customStyle="1" w:styleId="OR">
    <w:name w:val="OR"/>
    <w:basedOn w:val="ET"/>
    <w:uiPriority w:val="99"/>
    <w:rsid w:val="0069408F"/>
    <w:pPr>
      <w:ind w:left="5670"/>
    </w:pPr>
    <w:rPr>
      <w:b w:val="0"/>
      <w:bCs w:val="0"/>
      <w:caps w:val="0"/>
    </w:rPr>
  </w:style>
  <w:style w:type="paragraph" w:customStyle="1" w:styleId="TI">
    <w:name w:val="TI"/>
    <w:basedOn w:val="OR"/>
    <w:uiPriority w:val="99"/>
    <w:rsid w:val="0069408F"/>
    <w:pPr>
      <w:ind w:left="1701"/>
      <w:jc w:val="center"/>
    </w:pPr>
    <w:rPr>
      <w:caps/>
      <w:u w:val="single"/>
    </w:rPr>
  </w:style>
  <w:style w:type="paragraph" w:customStyle="1" w:styleId="P0">
    <w:name w:val="P0"/>
    <w:basedOn w:val="ET"/>
    <w:link w:val="P0Car"/>
    <w:uiPriority w:val="99"/>
    <w:rsid w:val="0069408F"/>
    <w:pPr>
      <w:ind w:left="1701"/>
      <w:jc w:val="both"/>
    </w:pPr>
    <w:rPr>
      <w:b w:val="0"/>
      <w:bCs w:val="0"/>
      <w:caps w:val="0"/>
    </w:rPr>
  </w:style>
  <w:style w:type="paragraph" w:customStyle="1" w:styleId="EL">
    <w:name w:val="EL"/>
    <w:basedOn w:val="P0"/>
    <w:uiPriority w:val="99"/>
    <w:rsid w:val="0069408F"/>
    <w:pPr>
      <w:spacing w:after="240"/>
      <w:ind w:firstLine="1418"/>
    </w:pPr>
  </w:style>
  <w:style w:type="paragraph" w:customStyle="1" w:styleId="IN">
    <w:name w:val="IN"/>
    <w:basedOn w:val="P0"/>
    <w:uiPriority w:val="99"/>
    <w:rsid w:val="0069408F"/>
    <w:pPr>
      <w:ind w:left="0"/>
      <w:jc w:val="left"/>
    </w:pPr>
    <w:rPr>
      <w:i/>
      <w:iCs/>
      <w:sz w:val="16"/>
      <w:szCs w:val="16"/>
    </w:rPr>
  </w:style>
  <w:style w:type="paragraph" w:customStyle="1" w:styleId="RE">
    <w:name w:val="RE"/>
    <w:basedOn w:val="P0"/>
    <w:uiPriority w:val="99"/>
    <w:rsid w:val="0069408F"/>
    <w:pPr>
      <w:ind w:left="0"/>
    </w:pPr>
  </w:style>
  <w:style w:type="paragraph" w:customStyle="1" w:styleId="PE">
    <w:name w:val="PE"/>
    <w:basedOn w:val="IN"/>
    <w:uiPriority w:val="99"/>
    <w:rsid w:val="0069408F"/>
    <w:pPr>
      <w:keepNext/>
      <w:ind w:left="1701"/>
      <w:jc w:val="both"/>
    </w:pPr>
    <w:rPr>
      <w:i w:val="0"/>
      <w:iCs w:val="0"/>
      <w:sz w:val="24"/>
      <w:szCs w:val="24"/>
    </w:rPr>
  </w:style>
  <w:style w:type="paragraph" w:customStyle="1" w:styleId="PC">
    <w:name w:val="PC"/>
    <w:basedOn w:val="IN"/>
    <w:uiPriority w:val="99"/>
    <w:rsid w:val="0069408F"/>
    <w:pPr>
      <w:spacing w:after="480"/>
      <w:ind w:left="2268" w:firstLine="1134"/>
      <w:jc w:val="both"/>
    </w:pPr>
    <w:rPr>
      <w:i w:val="0"/>
      <w:iCs w:val="0"/>
      <w:sz w:val="24"/>
      <w:szCs w:val="24"/>
    </w:rPr>
  </w:style>
  <w:style w:type="paragraph" w:customStyle="1" w:styleId="PS">
    <w:name w:val="PS"/>
    <w:basedOn w:val="IN"/>
    <w:link w:val="PSCar"/>
    <w:uiPriority w:val="99"/>
    <w:rsid w:val="0069408F"/>
    <w:pPr>
      <w:spacing w:after="480"/>
      <w:ind w:left="1701" w:firstLine="1134"/>
      <w:jc w:val="both"/>
    </w:pPr>
    <w:rPr>
      <w:i w:val="0"/>
      <w:iCs w:val="0"/>
      <w:sz w:val="24"/>
      <w:szCs w:val="24"/>
    </w:rPr>
  </w:style>
  <w:style w:type="paragraph" w:customStyle="1" w:styleId="AR">
    <w:name w:val="AR"/>
    <w:basedOn w:val="IN"/>
    <w:uiPriority w:val="99"/>
    <w:rsid w:val="0069408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
    <w:uiPriority w:val="99"/>
    <w:rsid w:val="00ED01DE"/>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532246"/>
    <w:rPr>
      <w:sz w:val="20"/>
      <w:szCs w:val="20"/>
    </w:rPr>
  </w:style>
  <w:style w:type="paragraph" w:customStyle="1" w:styleId="Style">
    <w:name w:val="Style"/>
    <w:basedOn w:val="Normal"/>
    <w:uiPriority w:val="99"/>
    <w:rsid w:val="00ED01DE"/>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ED01DE"/>
    <w:rPr>
      <w:sz w:val="24"/>
      <w:szCs w:val="24"/>
      <w:lang w:val="fr-FR" w:eastAsia="fr-FR"/>
    </w:rPr>
  </w:style>
  <w:style w:type="paragraph" w:customStyle="1" w:styleId="CarCar1">
    <w:name w:val="Car Car1"/>
    <w:basedOn w:val="Normal"/>
    <w:uiPriority w:val="99"/>
    <w:rsid w:val="00450250"/>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450250"/>
    <w:pPr>
      <w:spacing w:before="100" w:beforeAutospacing="1" w:after="100" w:afterAutospacing="1"/>
      <w:ind w:left="0" w:firstLine="1259"/>
    </w:pPr>
    <w:rPr>
      <w:b/>
      <w:bCs/>
      <w:i/>
      <w:iCs/>
      <w:caps/>
      <w:color w:val="000000"/>
    </w:rPr>
  </w:style>
  <w:style w:type="character" w:customStyle="1" w:styleId="P0Car">
    <w:name w:val="P0 Car"/>
    <w:basedOn w:val="DefaultParagraphFont"/>
    <w:link w:val="P0"/>
    <w:uiPriority w:val="99"/>
    <w:locked/>
    <w:rsid w:val="004823D9"/>
    <w:rPr>
      <w:sz w:val="24"/>
      <w:szCs w:val="24"/>
      <w:lang w:val="fr-FR" w:eastAsia="fr-FR"/>
    </w:rPr>
  </w:style>
  <w:style w:type="table" w:styleId="TableGrid">
    <w:name w:val="Table Grid"/>
    <w:basedOn w:val="TableNormal"/>
    <w:uiPriority w:val="99"/>
    <w:rsid w:val="004823D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9159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948</Words>
  <Characters>5220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2011-09-26T14:11:00Z</cp:lastPrinted>
  <dcterms:created xsi:type="dcterms:W3CDTF">2011-09-29T15:12:00Z</dcterms:created>
  <dcterms:modified xsi:type="dcterms:W3CDTF">2011-09-30T08:08:00Z</dcterms:modified>
</cp:coreProperties>
</file>