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EC" w:rsidRDefault="00A40BEC" w:rsidP="001B3744">
      <w:pPr>
        <w:pStyle w:val="ET"/>
      </w:pPr>
      <w:bookmarkStart w:id="0" w:name="_GoBack"/>
      <w:bookmarkEnd w:id="0"/>
      <w:r>
        <w:t>COUR DES COMPTES</w:t>
      </w:r>
    </w:p>
    <w:p w:rsidR="00A40BEC" w:rsidRDefault="00A40BEC" w:rsidP="001B3744">
      <w:pPr>
        <w:pStyle w:val="ET"/>
      </w:pPr>
      <w:r>
        <w:t xml:space="preserve">           --------</w:t>
      </w:r>
    </w:p>
    <w:p w:rsidR="00A40BEC" w:rsidRDefault="00A40BEC" w:rsidP="001B3744">
      <w:pPr>
        <w:pStyle w:val="ET"/>
      </w:pPr>
      <w:r>
        <w:t>QUATRIEME CHAMBRE</w:t>
      </w:r>
    </w:p>
    <w:p w:rsidR="00A40BEC" w:rsidRDefault="00A40BEC" w:rsidP="001B3744">
      <w:pPr>
        <w:pStyle w:val="ET"/>
      </w:pPr>
      <w:r>
        <w:t xml:space="preserve">            -------</w:t>
      </w:r>
    </w:p>
    <w:p w:rsidR="00A40BEC" w:rsidRDefault="00A40BEC" w:rsidP="001B3744">
      <w:pPr>
        <w:pStyle w:val="ET"/>
      </w:pPr>
      <w:r>
        <w:t>PREMIERE SECTION</w:t>
      </w:r>
    </w:p>
    <w:p w:rsidR="00A40BEC" w:rsidRPr="001B3744" w:rsidRDefault="00A40BEC" w:rsidP="009047F5">
      <w:pPr>
        <w:pStyle w:val="ET"/>
        <w:spacing w:after="120"/>
      </w:pPr>
      <w:r>
        <w:t xml:space="preserve">            </w:t>
      </w:r>
      <w:r w:rsidRPr="001B3744">
        <w:t>-----</w:t>
      </w:r>
      <w:r>
        <w:t>--</w:t>
      </w:r>
    </w:p>
    <w:p w:rsidR="00A40BEC" w:rsidRPr="00D30C06" w:rsidRDefault="00A40BEC" w:rsidP="009047F5">
      <w:pPr>
        <w:pStyle w:val="En-tte"/>
        <w:rPr>
          <w:b/>
          <w:bCs/>
          <w:i/>
          <w:iCs/>
          <w:sz w:val="22"/>
          <w:szCs w:val="22"/>
        </w:rPr>
      </w:pPr>
      <w:r>
        <w:t xml:space="preserve">           </w:t>
      </w:r>
      <w:r w:rsidRPr="00D30C06">
        <w:rPr>
          <w:b/>
          <w:bCs/>
          <w:i/>
          <w:iCs/>
          <w:sz w:val="22"/>
          <w:szCs w:val="22"/>
        </w:rPr>
        <w:t>Arrêt n° 62568</w:t>
      </w:r>
    </w:p>
    <w:p w:rsidR="00A40BEC" w:rsidRDefault="00A40BEC" w:rsidP="001B3744">
      <w:pPr>
        <w:pStyle w:val="OR"/>
      </w:pPr>
      <w:r>
        <w:t>LYCEE D’ENSEIGNEMENT</w:t>
      </w:r>
    </w:p>
    <w:p w:rsidR="00A40BEC" w:rsidRDefault="00A40BEC" w:rsidP="001B3744">
      <w:pPr>
        <w:pStyle w:val="OR"/>
      </w:pPr>
      <w:r>
        <w:t>PROFESSIONNEL</w:t>
      </w:r>
    </w:p>
    <w:p w:rsidR="00A40BEC" w:rsidRDefault="00A40BEC" w:rsidP="001B3744">
      <w:pPr>
        <w:pStyle w:val="OR"/>
      </w:pPr>
      <w:r>
        <w:t>LE SIDOBRE DE CASTRES</w:t>
      </w:r>
    </w:p>
    <w:p w:rsidR="00A40BEC" w:rsidRDefault="00A40BEC" w:rsidP="001B3744">
      <w:pPr>
        <w:pStyle w:val="OR"/>
      </w:pPr>
      <w:r>
        <w:t>(TARN)</w:t>
      </w:r>
    </w:p>
    <w:p w:rsidR="00A40BEC" w:rsidRDefault="00A40BEC" w:rsidP="001B3744">
      <w:pPr>
        <w:pStyle w:val="OR"/>
      </w:pPr>
    </w:p>
    <w:p w:rsidR="00A40BEC" w:rsidRDefault="00A40BEC" w:rsidP="001B3744">
      <w:pPr>
        <w:pStyle w:val="OR"/>
      </w:pPr>
      <w:r>
        <w:t>Appel d’un jugement de la chambre</w:t>
      </w:r>
    </w:p>
    <w:p w:rsidR="00A40BEC" w:rsidRDefault="00A40BEC" w:rsidP="001B3744">
      <w:pPr>
        <w:pStyle w:val="OR"/>
      </w:pPr>
      <w:proofErr w:type="gramStart"/>
      <w:r>
        <w:t>régionale</w:t>
      </w:r>
      <w:proofErr w:type="gramEnd"/>
      <w:r>
        <w:t xml:space="preserve"> des comptes de Midi-Pyrénées</w:t>
      </w:r>
    </w:p>
    <w:p w:rsidR="00A40BEC" w:rsidRDefault="00A40BEC" w:rsidP="001B3744">
      <w:pPr>
        <w:pStyle w:val="OR"/>
      </w:pPr>
    </w:p>
    <w:p w:rsidR="00A40BEC" w:rsidRDefault="00A40BEC" w:rsidP="001B3744">
      <w:pPr>
        <w:pStyle w:val="OR"/>
      </w:pPr>
      <w:r>
        <w:t>Rapport n° 2011-601-0</w:t>
      </w:r>
    </w:p>
    <w:p w:rsidR="00A40BEC" w:rsidRDefault="00A40BEC" w:rsidP="001B3744">
      <w:pPr>
        <w:pStyle w:val="OR"/>
      </w:pPr>
    </w:p>
    <w:p w:rsidR="00A40BEC" w:rsidRDefault="00A40BEC" w:rsidP="001B3744">
      <w:pPr>
        <w:pStyle w:val="OR"/>
      </w:pPr>
      <w:r>
        <w:t>Audience du 27 octobre 2011</w:t>
      </w:r>
    </w:p>
    <w:p w:rsidR="00A40BEC" w:rsidRDefault="00A40BEC" w:rsidP="001B3744">
      <w:pPr>
        <w:pStyle w:val="OR"/>
      </w:pPr>
    </w:p>
    <w:p w:rsidR="00A40BEC" w:rsidRDefault="00A40BEC" w:rsidP="00EA2AE4">
      <w:pPr>
        <w:pStyle w:val="OR"/>
        <w:spacing w:after="840"/>
      </w:pPr>
      <w:r>
        <w:t>Lecture publique du 15 décembre 2011</w:t>
      </w:r>
    </w:p>
    <w:p w:rsidR="00A40BEC" w:rsidRDefault="00A40BEC" w:rsidP="009047F5">
      <w:pPr>
        <w:pStyle w:val="PS"/>
      </w:pPr>
      <w:r>
        <w:t>LA COUR DES COMPTES a rendu l’arrêt suivant :</w:t>
      </w:r>
    </w:p>
    <w:p w:rsidR="00A40BEC" w:rsidRPr="009047F5" w:rsidRDefault="00A40BEC" w:rsidP="009047F5">
      <w:pPr>
        <w:pStyle w:val="PS"/>
      </w:pPr>
      <w:r w:rsidRPr="009047F5">
        <w:t>LA COUR,</w:t>
      </w:r>
    </w:p>
    <w:p w:rsidR="00A40BEC" w:rsidRDefault="00A40BEC" w:rsidP="00D9388D">
      <w:pPr>
        <w:pStyle w:val="PS"/>
      </w:pPr>
      <w:r>
        <w:t xml:space="preserve">Vu la requête, enregistrée le 6 décembre 2010 au greffe de la chambre régionale des comptes de Midi-Pyrénées, par laquelle M. X, agent comptable du </w:t>
      </w:r>
      <w:r w:rsidRPr="00250D53">
        <w:rPr>
          <w:caps/>
        </w:rPr>
        <w:t>Lycée d’enseignement professionnel Le Sidobre de CASTRES</w:t>
      </w:r>
      <w:r>
        <w:t>, du 1</w:t>
      </w:r>
      <w:r w:rsidRPr="00A3581C">
        <w:rPr>
          <w:vertAlign w:val="superscript"/>
        </w:rPr>
        <w:t>er</w:t>
      </w:r>
      <w:r>
        <w:rPr>
          <w:vertAlign w:val="superscript"/>
        </w:rPr>
        <w:t> </w:t>
      </w:r>
      <w:r>
        <w:t>janvier 1998 au 5 septembre 2007, a élevé appel du jugement du 3 août 2010 par lequel ladite chambre l’a constitué débiteur des deniers de cet établissement pour la somme de 162 446,11 € augmentée des intérêts de droit à compter du 10 septembre 2009 ;</w:t>
      </w:r>
    </w:p>
    <w:p w:rsidR="00A40BEC" w:rsidRDefault="00A40BEC" w:rsidP="009047F5">
      <w:pPr>
        <w:pStyle w:val="PS"/>
      </w:pPr>
      <w:r>
        <w:t>Vu le réquisitoire du Procureur général, en date du 25 mars 2011, transmettant la requête précitée ;</w:t>
      </w:r>
    </w:p>
    <w:p w:rsidR="00A40BEC" w:rsidRDefault="00A40BEC" w:rsidP="009047F5">
      <w:pPr>
        <w:pStyle w:val="PS"/>
      </w:pPr>
      <w:r>
        <w:t>Vu les pièces de la procédure suivie en première instance ;</w:t>
      </w:r>
    </w:p>
    <w:p w:rsidR="00A40BEC" w:rsidRDefault="00A40BEC" w:rsidP="00D05293">
      <w:pPr>
        <w:pStyle w:val="PS"/>
      </w:pPr>
      <w:r>
        <w:t>Vu le code général des collectivités territoriales ;</w:t>
      </w:r>
    </w:p>
    <w:p w:rsidR="00A40BEC" w:rsidRDefault="00A40BEC" w:rsidP="00D05293">
      <w:pPr>
        <w:pStyle w:val="PS"/>
      </w:pPr>
      <w:r>
        <w:t>Vu l’article 60 de la loi de finances n° 63-156 du 23 février 1963 modifiée ;</w:t>
      </w:r>
    </w:p>
    <w:p w:rsidR="00A40BEC" w:rsidRDefault="00A40BEC">
      <w:pPr>
        <w:pStyle w:val="P0"/>
        <w:sectPr w:rsidR="00A40BEC">
          <w:pgSz w:w="11907" w:h="16840"/>
          <w:pgMar w:top="1134" w:right="1134" w:bottom="1134" w:left="567" w:header="720" w:footer="720" w:gutter="0"/>
          <w:cols w:space="720"/>
        </w:sectPr>
      </w:pPr>
    </w:p>
    <w:p w:rsidR="00A40BEC" w:rsidRDefault="00A40BEC" w:rsidP="00B2657B">
      <w:pPr>
        <w:pStyle w:val="PS"/>
      </w:pPr>
      <w:r>
        <w:lastRenderedPageBreak/>
        <w:t>Vu le décret n° 62-1587 du 29 décembre 1962 modifié portant règlement général sur la comptabilité publique ;</w:t>
      </w:r>
    </w:p>
    <w:p w:rsidR="00A40BEC" w:rsidRDefault="00A40BEC" w:rsidP="00B2657B">
      <w:pPr>
        <w:pStyle w:val="PS"/>
      </w:pPr>
      <w:r>
        <w:t>Vu les lois et règlements relatifs à la comptabilité des établissements publics locaux d’enseignement, notamment le décret n° 85-924 du 30 août 1985 ;</w:t>
      </w:r>
    </w:p>
    <w:p w:rsidR="00A40BEC" w:rsidRDefault="00A40BEC" w:rsidP="00B2657B">
      <w:pPr>
        <w:pStyle w:val="PS"/>
      </w:pPr>
      <w:r>
        <w:t>Vu le code des juridictions financières ;</w:t>
      </w:r>
    </w:p>
    <w:p w:rsidR="00A40BEC" w:rsidRDefault="00A40BEC" w:rsidP="00B2657B">
      <w:pPr>
        <w:pStyle w:val="PS"/>
      </w:pPr>
      <w:r>
        <w:t>Vu le rapport de M. Jacques Brana, conseiller référendaire ;</w:t>
      </w:r>
    </w:p>
    <w:p w:rsidR="00A40BEC" w:rsidRDefault="00A40BEC" w:rsidP="00B2657B">
      <w:pPr>
        <w:pStyle w:val="PS"/>
      </w:pPr>
      <w:r>
        <w:t>Vu les conclusions du Procureur général ;</w:t>
      </w:r>
    </w:p>
    <w:p w:rsidR="00A40BEC" w:rsidRDefault="00A40BEC" w:rsidP="00D05744">
      <w:pPr>
        <w:pStyle w:val="PS"/>
      </w:pPr>
      <w:r>
        <w:t>Entendu, lors de l’audience publique de ce jour, M. Brana, rapporteur, Mme Sanchez, chargée de mission, en les conclusions du Parquet, l’appelant, informé de l’audience, n’étant pas présent ni représenté ;</w:t>
      </w:r>
    </w:p>
    <w:p w:rsidR="00A40BEC" w:rsidRDefault="00A40BEC" w:rsidP="00B2657B">
      <w:pPr>
        <w:pStyle w:val="PS"/>
      </w:pPr>
      <w:r>
        <w:t>Entendu, en délibéré, M. Cazanave, conseiller maître, en ses observations ;</w:t>
      </w:r>
    </w:p>
    <w:p w:rsidR="00A40BEC" w:rsidRDefault="00A40BEC" w:rsidP="00B2657B">
      <w:pPr>
        <w:pStyle w:val="PS"/>
        <w:rPr>
          <w:b/>
          <w:bCs/>
        </w:rPr>
      </w:pPr>
      <w:r>
        <w:rPr>
          <w:b/>
          <w:bCs/>
        </w:rPr>
        <w:t>Sur la recevabilité :</w:t>
      </w:r>
    </w:p>
    <w:p w:rsidR="00A40BEC" w:rsidRDefault="00A40BEC" w:rsidP="00B2657B">
      <w:pPr>
        <w:pStyle w:val="PS"/>
      </w:pPr>
      <w:r>
        <w:t>Attendu</w:t>
      </w:r>
      <w:r w:rsidRPr="0007102D">
        <w:t xml:space="preserve"> </w:t>
      </w:r>
      <w:r>
        <w:t>qu’aux termes de l’</w:t>
      </w:r>
      <w:r w:rsidRPr="0007102D">
        <w:t>article R.</w:t>
      </w:r>
      <w:r>
        <w:t> </w:t>
      </w:r>
      <w:r w:rsidRPr="0007102D">
        <w:t xml:space="preserve">243-5 </w:t>
      </w:r>
      <w:r>
        <w:t>du code des juridictions financières,</w:t>
      </w:r>
      <w:r w:rsidRPr="0007102D">
        <w:t xml:space="preserve"> l’appel doit être formé dans un délai de deux mois à compter </w:t>
      </w:r>
      <w:r>
        <w:t>de la notification du jugement,</w:t>
      </w:r>
      <w:r w:rsidRPr="0007102D">
        <w:t xml:space="preserve"> la date à prendre en compte pour apprécie</w:t>
      </w:r>
      <w:r>
        <w:t xml:space="preserve">r le respect du délai étant, selon l’article R. 243-6 du même code, </w:t>
      </w:r>
      <w:r w:rsidRPr="0007102D">
        <w:t>celle de l’enregistrement de la requête au greffe de la chambre</w:t>
      </w:r>
      <w:r>
        <w:t xml:space="preserve"> régionale ;</w:t>
      </w:r>
    </w:p>
    <w:p w:rsidR="00A40BEC" w:rsidRPr="0007102D" w:rsidRDefault="00A40BEC" w:rsidP="00B2657B">
      <w:pPr>
        <w:pStyle w:val="PS"/>
      </w:pPr>
      <w:r>
        <w:t xml:space="preserve">Attendu que la requête de M. X a été </w:t>
      </w:r>
      <w:r w:rsidRPr="0007102D">
        <w:t>enregistré</w:t>
      </w:r>
      <w:r>
        <w:t>e</w:t>
      </w:r>
      <w:r w:rsidRPr="0007102D">
        <w:t xml:space="preserve"> au greffe de la chambre régionale le 6 décembre 2010</w:t>
      </w:r>
      <w:r>
        <w:t> ; que</w:t>
      </w:r>
      <w:r w:rsidRPr="0007102D">
        <w:t xml:space="preserve"> le jugement </w:t>
      </w:r>
      <w:r>
        <w:t xml:space="preserve">dont est appel lui </w:t>
      </w:r>
      <w:r w:rsidRPr="0007102D">
        <w:t>a été notifié le 1</w:t>
      </w:r>
      <w:r w:rsidRPr="0007102D">
        <w:rPr>
          <w:vertAlign w:val="superscript"/>
        </w:rPr>
        <w:t>er</w:t>
      </w:r>
      <w:r>
        <w:rPr>
          <w:vertAlign w:val="superscript"/>
        </w:rPr>
        <w:t> </w:t>
      </w:r>
      <w:r w:rsidRPr="0007102D">
        <w:t>octobre</w:t>
      </w:r>
      <w:r>
        <w:t> </w:t>
      </w:r>
      <w:r w:rsidRPr="0007102D">
        <w:t>2010</w:t>
      </w:r>
      <w:r>
        <w:t xml:space="preserve">, comme l’atteste l’avis de réception postal ; </w:t>
      </w:r>
      <w:r w:rsidRPr="0007102D">
        <w:t>que le délai réglementaire</w:t>
      </w:r>
      <w:r>
        <w:t>, délai franc qui commence à courir le lendemain</w:t>
      </w:r>
      <w:r w:rsidRPr="0007102D">
        <w:t xml:space="preserve"> </w:t>
      </w:r>
      <w:r>
        <w:t xml:space="preserve">de la notification, </w:t>
      </w:r>
      <w:r w:rsidRPr="0007102D">
        <w:t xml:space="preserve">expirait </w:t>
      </w:r>
      <w:r>
        <w:t>donc le 2 décembre 2010 ;</w:t>
      </w:r>
    </w:p>
    <w:p w:rsidR="00A40BEC" w:rsidRDefault="00A40BEC" w:rsidP="00D05744">
      <w:pPr>
        <w:pStyle w:val="PS"/>
      </w:pPr>
      <w:r>
        <w:t xml:space="preserve">Attendu que la requête du comptable, </w:t>
      </w:r>
      <w:r w:rsidRPr="0007102D">
        <w:t>effectué</w:t>
      </w:r>
      <w:r>
        <w:t>e</w:t>
      </w:r>
      <w:r w:rsidRPr="0007102D">
        <w:t xml:space="preserve"> en envoi recommandé</w:t>
      </w:r>
      <w:r>
        <w:t>, porte le cachet de la poste du 1</w:t>
      </w:r>
      <w:r w:rsidRPr="00D80D2A">
        <w:rPr>
          <w:vertAlign w:val="superscript"/>
        </w:rPr>
        <w:t>er</w:t>
      </w:r>
      <w:r>
        <w:rPr>
          <w:vertAlign w:val="superscript"/>
        </w:rPr>
        <w:t> </w:t>
      </w:r>
      <w:r>
        <w:t>décembre 2010 ; que ce</w:t>
      </w:r>
      <w:r w:rsidRPr="0007102D">
        <w:t xml:space="preserve"> dépôt aurait d</w:t>
      </w:r>
      <w:r>
        <w:t>û</w:t>
      </w:r>
      <w:r w:rsidRPr="0007102D">
        <w:t xml:space="preserve"> intervenir en temps utile pour permettre, compte tenu de la durée normale d’acheminement des plis postaux expédiés en recommandé, d’assurer l’enre</w:t>
      </w:r>
      <w:r>
        <w:t>gistrement dans le délai requis ;</w:t>
      </w:r>
    </w:p>
    <w:p w:rsidR="00A40BEC" w:rsidRPr="0007102D" w:rsidRDefault="00A40BEC" w:rsidP="00B2657B">
      <w:pPr>
        <w:pStyle w:val="PS"/>
      </w:pPr>
      <w:r>
        <w:t>Qu’en conséquence, la requête est irrecevable.</w:t>
      </w:r>
    </w:p>
    <w:p w:rsidR="00A40BEC" w:rsidRDefault="00A40BEC" w:rsidP="00B2657B">
      <w:pPr>
        <w:pStyle w:val="PS"/>
      </w:pPr>
      <w:r>
        <w:br w:type="page"/>
      </w:r>
      <w:r>
        <w:lastRenderedPageBreak/>
        <w:t>Par ces motifs,</w:t>
      </w:r>
    </w:p>
    <w:p w:rsidR="00A40BEC" w:rsidRDefault="00A40BEC" w:rsidP="00B2657B">
      <w:pPr>
        <w:pStyle w:val="P0"/>
        <w:spacing w:after="480"/>
        <w:jc w:val="center"/>
      </w:pPr>
      <w:r>
        <w:t>ORDONNE :</w:t>
      </w:r>
    </w:p>
    <w:p w:rsidR="00A40BEC" w:rsidRDefault="00A40BEC" w:rsidP="00C21204">
      <w:pPr>
        <w:pStyle w:val="PS"/>
      </w:pPr>
      <w:r>
        <w:t>La requête de M.  X est déclarée irrecevable.</w:t>
      </w:r>
    </w:p>
    <w:p w:rsidR="00A40BEC" w:rsidRDefault="00A40BEC" w:rsidP="00B2657B">
      <w:pPr>
        <w:pStyle w:val="PS"/>
        <w:ind w:firstLine="0"/>
        <w:jc w:val="center"/>
      </w:pPr>
      <w:r>
        <w:t>----------</w:t>
      </w:r>
    </w:p>
    <w:p w:rsidR="00A40BEC" w:rsidRDefault="00A40BEC" w:rsidP="006C4FFB">
      <w:pPr>
        <w:pStyle w:val="PS"/>
        <w:spacing w:after="600"/>
      </w:pPr>
      <w:r>
        <w:t xml:space="preserve">Fait et jugé en la Cour des comptes, quatrième chambre, première section. Présents : MM. Bayle, président, Cazanave, président de section, MM. Vachia, Martin, Mmes </w:t>
      </w:r>
      <w:proofErr w:type="spellStart"/>
      <w:r>
        <w:t>Gadriot</w:t>
      </w:r>
      <w:proofErr w:type="spellEnd"/>
      <w:r>
        <w:t xml:space="preserve">-Renard, </w:t>
      </w:r>
      <w:proofErr w:type="spellStart"/>
      <w:r>
        <w:t>Démier</w:t>
      </w:r>
      <w:proofErr w:type="spellEnd"/>
      <w:r>
        <w:t>, MM. Geoffroy et Senhaji, conseillers maîtres.</w:t>
      </w:r>
    </w:p>
    <w:p w:rsidR="00A40BEC" w:rsidRDefault="00A40BEC" w:rsidP="006F4020">
      <w:pPr>
        <w:pStyle w:val="PS"/>
      </w:pPr>
      <w:r>
        <w:t>Signé : Bayle, président, et Le Baron, greffier.</w:t>
      </w:r>
    </w:p>
    <w:p w:rsidR="00A40BEC" w:rsidRDefault="00A40BEC" w:rsidP="006F4020">
      <w:pPr>
        <w:pStyle w:val="PS"/>
        <w:spacing w:after="360"/>
      </w:pPr>
      <w:r>
        <w:t>Collationné, certifié conforme à la minute étant au greffe de la Cour des comptes et délivré par moi, secrétaire général.</w:t>
      </w:r>
    </w:p>
    <w:p w:rsidR="00A40BEC" w:rsidRPr="00F63A23" w:rsidRDefault="00A40BEC" w:rsidP="006F4020">
      <w:pPr>
        <w:pStyle w:val="P0"/>
        <w:spacing w:before="120"/>
        <w:ind w:left="2268" w:firstLine="3969"/>
        <w:jc w:val="center"/>
        <w:rPr>
          <w:b/>
          <w:bCs/>
        </w:rPr>
      </w:pPr>
      <w:r w:rsidRPr="00F63A23">
        <w:rPr>
          <w:b/>
          <w:bCs/>
        </w:rPr>
        <w:t>Pour le Secrétaire général</w:t>
      </w: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  <w:proofErr w:type="gramStart"/>
      <w:r w:rsidRPr="00F63A23">
        <w:rPr>
          <w:b/>
          <w:bCs/>
        </w:rPr>
        <w:t>et</w:t>
      </w:r>
      <w:proofErr w:type="gramEnd"/>
      <w:r w:rsidRPr="00F63A23">
        <w:rPr>
          <w:b/>
          <w:bCs/>
        </w:rPr>
        <w:t xml:space="preserve"> par délégation,</w:t>
      </w: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  <w:proofErr w:type="gramStart"/>
      <w:r w:rsidRPr="00F63A23">
        <w:rPr>
          <w:b/>
          <w:bCs/>
        </w:rPr>
        <w:t>le</w:t>
      </w:r>
      <w:proofErr w:type="gramEnd"/>
      <w:r w:rsidRPr="00F63A23">
        <w:rPr>
          <w:b/>
          <w:bCs/>
        </w:rPr>
        <w:t xml:space="preserve"> Chef du greffe contentieux</w:t>
      </w: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</w:p>
    <w:p w:rsidR="00A40BEC" w:rsidRDefault="00A40BEC" w:rsidP="006F4020">
      <w:pPr>
        <w:pStyle w:val="P0"/>
        <w:ind w:left="2268" w:firstLine="3969"/>
        <w:jc w:val="center"/>
        <w:rPr>
          <w:b/>
          <w:bCs/>
        </w:rPr>
      </w:pP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</w:p>
    <w:p w:rsidR="00A40BEC" w:rsidRPr="00F63A23" w:rsidRDefault="00A40BEC" w:rsidP="006F4020">
      <w:pPr>
        <w:pStyle w:val="P0"/>
        <w:ind w:left="2268" w:firstLine="3969"/>
        <w:jc w:val="center"/>
        <w:rPr>
          <w:b/>
          <w:bCs/>
        </w:rPr>
      </w:pPr>
    </w:p>
    <w:p w:rsidR="00A40BEC" w:rsidRPr="00F63A23" w:rsidRDefault="00A40BEC" w:rsidP="008F1C70">
      <w:pPr>
        <w:pStyle w:val="P0"/>
        <w:ind w:left="2268" w:firstLine="4111"/>
        <w:jc w:val="center"/>
        <w:rPr>
          <w:b/>
          <w:bCs/>
        </w:rPr>
      </w:pPr>
      <w:r w:rsidRPr="00F63A23">
        <w:rPr>
          <w:b/>
          <w:bCs/>
        </w:rPr>
        <w:t>Daniel FEREZ</w:t>
      </w:r>
    </w:p>
    <w:sectPr w:rsidR="00A40BEC" w:rsidRPr="00F63A23" w:rsidSect="00764C2D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BEC" w:rsidRDefault="00A40BEC">
      <w:r>
        <w:separator/>
      </w:r>
    </w:p>
  </w:endnote>
  <w:endnote w:type="continuationSeparator" w:id="0">
    <w:p w:rsidR="00A40BEC" w:rsidRDefault="00A40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BEC" w:rsidRDefault="00A40BEC">
      <w:r>
        <w:separator/>
      </w:r>
    </w:p>
  </w:footnote>
  <w:footnote w:type="continuationSeparator" w:id="0">
    <w:p w:rsidR="00A40BEC" w:rsidRDefault="00A40B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BEC" w:rsidRDefault="00A40BEC">
    <w:pPr>
      <w:pStyle w:val="En-tte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 w:rsidR="006B1935"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printFractionalCharacterWidth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46D0"/>
    <w:rsid w:val="0007102D"/>
    <w:rsid w:val="000A3227"/>
    <w:rsid w:val="000C3FB0"/>
    <w:rsid w:val="000D04DB"/>
    <w:rsid w:val="001856DD"/>
    <w:rsid w:val="001B3744"/>
    <w:rsid w:val="0025099D"/>
    <w:rsid w:val="00250D53"/>
    <w:rsid w:val="002A5768"/>
    <w:rsid w:val="0057528C"/>
    <w:rsid w:val="005E69E5"/>
    <w:rsid w:val="00607BCC"/>
    <w:rsid w:val="006B1935"/>
    <w:rsid w:val="006C4FFB"/>
    <w:rsid w:val="006F4020"/>
    <w:rsid w:val="00700BAD"/>
    <w:rsid w:val="00717767"/>
    <w:rsid w:val="00764C2D"/>
    <w:rsid w:val="00782FDC"/>
    <w:rsid w:val="007C44D7"/>
    <w:rsid w:val="008368FF"/>
    <w:rsid w:val="008F1C70"/>
    <w:rsid w:val="008F6AA1"/>
    <w:rsid w:val="009014A3"/>
    <w:rsid w:val="009047F5"/>
    <w:rsid w:val="00920B41"/>
    <w:rsid w:val="009D46D0"/>
    <w:rsid w:val="00A3581C"/>
    <w:rsid w:val="00A40BEC"/>
    <w:rsid w:val="00A4728A"/>
    <w:rsid w:val="00A801EE"/>
    <w:rsid w:val="00B06D51"/>
    <w:rsid w:val="00B2657B"/>
    <w:rsid w:val="00C21204"/>
    <w:rsid w:val="00D05293"/>
    <w:rsid w:val="00D05744"/>
    <w:rsid w:val="00D30C06"/>
    <w:rsid w:val="00D509F1"/>
    <w:rsid w:val="00D80D2A"/>
    <w:rsid w:val="00D9388D"/>
    <w:rsid w:val="00EA2AE4"/>
    <w:rsid w:val="00EA73FB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0"/>
    <w:lsdException w:name="head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28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57528C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9"/>
    <w:qFormat/>
    <w:rsid w:val="0057528C"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57528C"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782FDC"/>
    <w:rPr>
      <w:rFonts w:ascii="Cambria" w:hAnsi="Cambria" w:cs="Cambria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rsid w:val="00782FDC"/>
    <w:rPr>
      <w:rFonts w:ascii="Cambria" w:hAnsi="Cambria" w:cs="Cambria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rsid w:val="00782FDC"/>
    <w:rPr>
      <w:rFonts w:ascii="Cambria" w:hAnsi="Cambria" w:cs="Cambria"/>
      <w:b/>
      <w:bCs/>
      <w:sz w:val="26"/>
      <w:szCs w:val="26"/>
    </w:rPr>
  </w:style>
  <w:style w:type="paragraph" w:styleId="Retraitnormal">
    <w:name w:val="Normal Indent"/>
    <w:basedOn w:val="Normal"/>
    <w:uiPriority w:val="99"/>
    <w:rsid w:val="0057528C"/>
    <w:pPr>
      <w:ind w:left="708"/>
    </w:pPr>
  </w:style>
  <w:style w:type="paragraph" w:styleId="En-tte">
    <w:name w:val="header"/>
    <w:basedOn w:val="Normal"/>
    <w:link w:val="En-tteCar"/>
    <w:uiPriority w:val="99"/>
    <w:rsid w:val="0057528C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82FDC"/>
    <w:rPr>
      <w:sz w:val="20"/>
      <w:szCs w:val="20"/>
    </w:rPr>
  </w:style>
  <w:style w:type="paragraph" w:customStyle="1" w:styleId="ET">
    <w:name w:val="ET"/>
    <w:basedOn w:val="Normal"/>
    <w:uiPriority w:val="99"/>
    <w:rsid w:val="0057528C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57528C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57528C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57528C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57528C"/>
    <w:pPr>
      <w:spacing w:after="240"/>
      <w:ind w:firstLine="1418"/>
    </w:pPr>
  </w:style>
  <w:style w:type="paragraph" w:customStyle="1" w:styleId="IN">
    <w:name w:val="IN"/>
    <w:basedOn w:val="P0"/>
    <w:uiPriority w:val="99"/>
    <w:rsid w:val="0057528C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57528C"/>
    <w:pPr>
      <w:ind w:left="0"/>
    </w:pPr>
  </w:style>
  <w:style w:type="paragraph" w:customStyle="1" w:styleId="PE">
    <w:name w:val="PE"/>
    <w:basedOn w:val="IN"/>
    <w:uiPriority w:val="99"/>
    <w:rsid w:val="0057528C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57528C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57528C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57528C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paragraph" w:customStyle="1" w:styleId="Style">
    <w:name w:val="Style"/>
    <w:basedOn w:val="Normal"/>
    <w:autoRedefine/>
    <w:uiPriority w:val="99"/>
    <w:rsid w:val="001B3744"/>
    <w:pPr>
      <w:tabs>
        <w:tab w:val="left" w:pos="7020"/>
      </w:tabs>
      <w:spacing w:after="160" w:line="240" w:lineRule="exact"/>
      <w:ind w:left="1701" w:firstLine="709"/>
    </w:pPr>
    <w:rPr>
      <w:rFonts w:ascii="Tahoma" w:hAnsi="Tahoma" w:cs="Tahoma"/>
      <w:lang w:val="en-US" w:eastAsia="en-US"/>
    </w:rPr>
  </w:style>
  <w:style w:type="character" w:customStyle="1" w:styleId="P0Car">
    <w:name w:val="P0 Car"/>
    <w:basedOn w:val="Policepardfaut"/>
    <w:link w:val="P0"/>
    <w:uiPriority w:val="99"/>
    <w:rsid w:val="006F4020"/>
    <w:rPr>
      <w:sz w:val="24"/>
      <w:szCs w:val="24"/>
      <w:lang w:val="fr-FR" w:eastAsia="fr-FR"/>
    </w:rPr>
  </w:style>
  <w:style w:type="paragraph" w:customStyle="1" w:styleId="CarCar1">
    <w:name w:val="Car Car1"/>
    <w:basedOn w:val="Normal"/>
    <w:uiPriority w:val="99"/>
    <w:rsid w:val="006F4020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table" w:styleId="Grilledutableau">
    <w:name w:val="Table Grid"/>
    <w:basedOn w:val="TableauNormal"/>
    <w:uiPriority w:val="99"/>
    <w:rsid w:val="006F402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3004</Characters>
  <Application>Microsoft Office Word</Application>
  <DocSecurity>0</DocSecurity>
  <Lines>25</Lines>
  <Paragraphs>7</Paragraphs>
  <ScaleCrop>false</ScaleCrop>
  <Company>COUR DES COMPTES</Company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2</cp:revision>
  <cp:lastPrinted>2011-12-06T10:13:00Z</cp:lastPrinted>
  <dcterms:created xsi:type="dcterms:W3CDTF">2013-09-24T12:30:00Z</dcterms:created>
  <dcterms:modified xsi:type="dcterms:W3CDTF">2013-09-24T12:30:00Z</dcterms:modified>
</cp:coreProperties>
</file>