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F41" w:rsidRDefault="00467F41" w:rsidP="00240D17">
      <w:pPr>
        <w:pStyle w:val="ET"/>
      </w:pPr>
      <w:r>
        <w:t xml:space="preserve">  COUR DES COMPTES</w:t>
      </w:r>
    </w:p>
    <w:p w:rsidR="00467F41" w:rsidRDefault="00467F41" w:rsidP="006B1304">
      <w:pPr>
        <w:pStyle w:val="ET"/>
      </w:pPr>
      <w:r>
        <w:t xml:space="preserve">               -------</w:t>
      </w:r>
    </w:p>
    <w:p w:rsidR="00467F41" w:rsidRDefault="00467F41" w:rsidP="00240D17">
      <w:pPr>
        <w:pStyle w:val="ET"/>
      </w:pPr>
      <w:r>
        <w:t>QUATRIEME CHAMBRE</w:t>
      </w:r>
    </w:p>
    <w:p w:rsidR="00467F41" w:rsidRDefault="00467F41" w:rsidP="006B1304">
      <w:pPr>
        <w:pStyle w:val="ET"/>
      </w:pPr>
      <w:r>
        <w:t xml:space="preserve">               -------</w:t>
      </w:r>
    </w:p>
    <w:p w:rsidR="00467F41" w:rsidRDefault="00467F41" w:rsidP="00240D17">
      <w:pPr>
        <w:pStyle w:val="ET"/>
      </w:pPr>
      <w:r>
        <w:t xml:space="preserve">  PREMIERE SECTION</w:t>
      </w:r>
    </w:p>
    <w:p w:rsidR="00467F41" w:rsidRPr="006B1304" w:rsidRDefault="00467F41" w:rsidP="00E96F55">
      <w:pPr>
        <w:pStyle w:val="ET"/>
        <w:spacing w:after="120"/>
      </w:pPr>
      <w:r>
        <w:t xml:space="preserve">               </w:t>
      </w:r>
      <w:r w:rsidRPr="006B1304">
        <w:t>-------</w:t>
      </w:r>
    </w:p>
    <w:p w:rsidR="00467F41" w:rsidRDefault="00467F41" w:rsidP="00E96F55">
      <w:pPr>
        <w:pStyle w:val="Header"/>
        <w:rPr>
          <w:b/>
          <w:bCs/>
          <w:i/>
          <w:iCs/>
          <w:sz w:val="22"/>
          <w:szCs w:val="22"/>
        </w:rPr>
      </w:pPr>
      <w:r>
        <w:rPr>
          <w:b/>
          <w:bCs/>
          <w:i/>
          <w:iCs/>
          <w:sz w:val="22"/>
          <w:szCs w:val="22"/>
        </w:rPr>
        <w:t xml:space="preserve">         </w:t>
      </w:r>
      <w:r w:rsidRPr="006B1304">
        <w:rPr>
          <w:b/>
          <w:bCs/>
          <w:i/>
          <w:iCs/>
          <w:sz w:val="22"/>
          <w:szCs w:val="22"/>
        </w:rPr>
        <w:t>Arrêt n°</w:t>
      </w:r>
      <w:r>
        <w:rPr>
          <w:b/>
          <w:bCs/>
          <w:i/>
          <w:iCs/>
          <w:sz w:val="22"/>
          <w:szCs w:val="22"/>
        </w:rPr>
        <w:t xml:space="preserve"> </w:t>
      </w:r>
      <w:r w:rsidRPr="006B1304">
        <w:rPr>
          <w:b/>
          <w:bCs/>
          <w:i/>
          <w:iCs/>
          <w:sz w:val="22"/>
          <w:szCs w:val="22"/>
        </w:rPr>
        <w:t>63648</w:t>
      </w:r>
    </w:p>
    <w:p w:rsidR="00467F41" w:rsidRPr="006B1304" w:rsidRDefault="00467F41" w:rsidP="00E96F55">
      <w:pPr>
        <w:pStyle w:val="Header"/>
        <w:rPr>
          <w:b/>
          <w:bCs/>
          <w:i/>
          <w:iCs/>
          <w:sz w:val="22"/>
          <w:szCs w:val="22"/>
        </w:rPr>
      </w:pPr>
    </w:p>
    <w:p w:rsidR="00467F41" w:rsidRDefault="00467F41" w:rsidP="008A41B1">
      <w:pPr>
        <w:pStyle w:val="OR"/>
        <w:rPr>
          <w:caps/>
        </w:rPr>
      </w:pPr>
      <w:r>
        <w:t xml:space="preserve">COMMUNAUTE </w:t>
      </w:r>
      <w:r w:rsidRPr="008A41B1">
        <w:rPr>
          <w:caps/>
        </w:rPr>
        <w:t>D’agglomeration du plateau de saclay</w:t>
      </w:r>
      <w:r>
        <w:rPr>
          <w:caps/>
        </w:rPr>
        <w:t xml:space="preserve"> (CAPS)</w:t>
      </w:r>
    </w:p>
    <w:p w:rsidR="00467F41" w:rsidRPr="008A41B1" w:rsidRDefault="00467F41" w:rsidP="00E96F55">
      <w:pPr>
        <w:pStyle w:val="OR"/>
        <w:rPr>
          <w:caps/>
        </w:rPr>
      </w:pPr>
      <w:r w:rsidRPr="008A41B1">
        <w:rPr>
          <w:caps/>
        </w:rPr>
        <w:t>(</w:t>
      </w:r>
      <w:r>
        <w:rPr>
          <w:caps/>
        </w:rPr>
        <w:t>ESSONNE</w:t>
      </w:r>
      <w:r w:rsidRPr="008A41B1">
        <w:rPr>
          <w:caps/>
        </w:rPr>
        <w:t>)</w:t>
      </w:r>
    </w:p>
    <w:p w:rsidR="00467F41" w:rsidRDefault="00467F41" w:rsidP="008A41B1">
      <w:pPr>
        <w:pStyle w:val="OR"/>
      </w:pPr>
    </w:p>
    <w:p w:rsidR="00467F41" w:rsidRDefault="00467F41" w:rsidP="008A41B1">
      <w:pPr>
        <w:pStyle w:val="OR"/>
      </w:pPr>
      <w:r>
        <w:t>Appel d’un jugement de la chambre régionale des comptes d’Ile-de-France</w:t>
      </w:r>
    </w:p>
    <w:p w:rsidR="00467F41" w:rsidRDefault="00467F41" w:rsidP="008A41B1">
      <w:pPr>
        <w:pStyle w:val="OR"/>
      </w:pPr>
    </w:p>
    <w:p w:rsidR="00467F41" w:rsidRDefault="00467F41" w:rsidP="008A41B1">
      <w:pPr>
        <w:pStyle w:val="OR"/>
      </w:pPr>
      <w:r>
        <w:t>Rapport n° 2011-755-0</w:t>
      </w:r>
    </w:p>
    <w:p w:rsidR="00467F41" w:rsidRDefault="00467F41" w:rsidP="008A41B1">
      <w:pPr>
        <w:pStyle w:val="OR"/>
      </w:pPr>
    </w:p>
    <w:p w:rsidR="00467F41" w:rsidRDefault="00467F41" w:rsidP="004768EA">
      <w:pPr>
        <w:pStyle w:val="OR"/>
      </w:pPr>
      <w:r>
        <w:t>Audience du 29 mars 2012</w:t>
      </w:r>
    </w:p>
    <w:p w:rsidR="00467F41" w:rsidRDefault="00467F41" w:rsidP="008A41B1">
      <w:pPr>
        <w:pStyle w:val="OR"/>
      </w:pPr>
    </w:p>
    <w:p w:rsidR="00467F41" w:rsidRDefault="00467F41" w:rsidP="008A41B1">
      <w:pPr>
        <w:pStyle w:val="OR"/>
        <w:spacing w:after="480"/>
      </w:pPr>
      <w:r>
        <w:t>Lecture publique du 10 mai 2012</w:t>
      </w:r>
    </w:p>
    <w:p w:rsidR="00467F41" w:rsidRPr="00690D05" w:rsidRDefault="00467F41" w:rsidP="00594876">
      <w:pPr>
        <w:pStyle w:val="P0"/>
        <w:spacing w:after="240"/>
        <w:ind w:left="540" w:right="-284" w:firstLine="594"/>
        <w:jc w:val="center"/>
      </w:pPr>
      <w:r w:rsidRPr="00690D05">
        <w:t>REPUBLIQUE FRANÇAISE</w:t>
      </w:r>
    </w:p>
    <w:p w:rsidR="00467F41" w:rsidRPr="00690D05" w:rsidRDefault="00467F41" w:rsidP="00594876">
      <w:pPr>
        <w:pStyle w:val="P0"/>
        <w:spacing w:after="360"/>
        <w:ind w:left="539" w:right="-284" w:firstLine="594"/>
        <w:jc w:val="center"/>
      </w:pPr>
      <w:r w:rsidRPr="00690D05">
        <w:t>AU NOM DU PEUPLE FRANÇAIS</w:t>
      </w:r>
    </w:p>
    <w:p w:rsidR="00467F41" w:rsidRPr="00690D05" w:rsidRDefault="00467F41" w:rsidP="00594876">
      <w:pPr>
        <w:pStyle w:val="P0"/>
        <w:spacing w:after="480"/>
        <w:ind w:left="539" w:right="-284" w:firstLine="595"/>
        <w:jc w:val="center"/>
      </w:pPr>
      <w:r w:rsidRPr="00690D05">
        <w:t>LA COUR DES COMPTES a rendu l’arrêt suivant :</w:t>
      </w:r>
    </w:p>
    <w:p w:rsidR="00467F41" w:rsidRDefault="00467F41" w:rsidP="0075537A">
      <w:pPr>
        <w:pStyle w:val="PS"/>
        <w:spacing w:after="360"/>
      </w:pPr>
      <w:r>
        <w:t>LA COUR,</w:t>
      </w:r>
    </w:p>
    <w:p w:rsidR="00467F41" w:rsidRDefault="00467F41" w:rsidP="00E96F55">
      <w:pPr>
        <w:pStyle w:val="PS"/>
        <w:spacing w:after="360"/>
      </w:pPr>
      <w:r>
        <w:t xml:space="preserve">Vu la requête </w:t>
      </w:r>
      <w:r>
        <w:rPr>
          <w:color w:val="000000"/>
        </w:rPr>
        <w:t xml:space="preserve">en date </w:t>
      </w:r>
      <w:r w:rsidRPr="00A03548">
        <w:t xml:space="preserve">du 24 juin 2011, enregistrée au greffe de la chambre régionale </w:t>
      </w:r>
      <w:r>
        <w:t xml:space="preserve">le </w:t>
      </w:r>
      <w:r w:rsidRPr="00A03548">
        <w:t>27 juin 2011</w:t>
      </w:r>
      <w:r>
        <w:t>, par laquelle</w:t>
      </w:r>
      <w:r w:rsidRPr="00A03548">
        <w:t>, M.</w:t>
      </w:r>
      <w:r>
        <w:t> </w:t>
      </w:r>
      <w:r w:rsidRPr="00E96F55">
        <w:rPr>
          <w:caps/>
        </w:rPr>
        <w:t>X</w:t>
      </w:r>
      <w:r w:rsidRPr="00A03548">
        <w:t xml:space="preserve"> a interjeté appel </w:t>
      </w:r>
      <w:r>
        <w:t xml:space="preserve">du </w:t>
      </w:r>
      <w:r w:rsidRPr="00EC5F15">
        <w:t>jugement n° 2011-0028 J rendu par la chambre régionale des comptes d'Ile</w:t>
      </w:r>
      <w:r>
        <w:t>-</w:t>
      </w:r>
      <w:r w:rsidRPr="00EC5F15">
        <w:t>de</w:t>
      </w:r>
      <w:r>
        <w:t xml:space="preserve">-France </w:t>
      </w:r>
      <w:r w:rsidRPr="00EC5F15">
        <w:t>le 26 avril 2011</w:t>
      </w:r>
      <w:r>
        <w:t xml:space="preserve">, </w:t>
      </w:r>
      <w:r w:rsidRPr="00A03548">
        <w:t>à lui notifié le 21 mai 2011</w:t>
      </w:r>
      <w:r>
        <w:t> ;</w:t>
      </w:r>
    </w:p>
    <w:p w:rsidR="00467F41" w:rsidRDefault="00467F41" w:rsidP="0070437B">
      <w:pPr>
        <w:pStyle w:val="PS"/>
        <w:spacing w:after="360"/>
      </w:pPr>
      <w:r>
        <w:t>Vu le réquisitoire du Procureur général, du 21 septembre 2011, transmettant la requête précitée et le dossier d’appel ;</w:t>
      </w:r>
    </w:p>
    <w:p w:rsidR="00467F41" w:rsidRDefault="00467F41" w:rsidP="008A41B1">
      <w:pPr>
        <w:pStyle w:val="PS"/>
        <w:spacing w:after="360"/>
      </w:pPr>
      <w:r>
        <w:t>Vu les pièces de la procédure suivie en première instance ;</w:t>
      </w:r>
    </w:p>
    <w:p w:rsidR="00467F41" w:rsidRDefault="00467F41" w:rsidP="008A41B1">
      <w:pPr>
        <w:pStyle w:val="PS"/>
        <w:spacing w:after="360"/>
      </w:pPr>
      <w:r>
        <w:t>Vu le code général des collectivités territoriales ;</w:t>
      </w:r>
    </w:p>
    <w:p w:rsidR="00467F41" w:rsidRDefault="00467F41" w:rsidP="008A41B1">
      <w:pPr>
        <w:pStyle w:val="PS"/>
        <w:spacing w:after="360"/>
      </w:pPr>
      <w:r>
        <w:t>Vu l’article 60 de la loi de finances n° 63-156 du 23 février 1963 modifiée ;</w:t>
      </w:r>
    </w:p>
    <w:p w:rsidR="00467F41" w:rsidRDefault="00467F41" w:rsidP="008A41B1">
      <w:pPr>
        <w:pStyle w:val="PS"/>
        <w:spacing w:after="360"/>
      </w:pPr>
      <w:r>
        <w:t>Vu le décret n° 62-1587 du 29 décembre 1962 modifié portant règlement général sur la comptabilité publique ;</w:t>
      </w:r>
    </w:p>
    <w:p w:rsidR="00467F41" w:rsidRDefault="00467F41" w:rsidP="00594876">
      <w:pPr>
        <w:pStyle w:val="PS"/>
        <w:spacing w:after="240"/>
      </w:pPr>
      <w:r>
        <w:t>Vu le code des juridictions financières ;</w:t>
      </w:r>
    </w:p>
    <w:p w:rsidR="00467F41" w:rsidRDefault="00467F41">
      <w:pPr>
        <w:pStyle w:val="P0"/>
        <w:sectPr w:rsidR="00467F41">
          <w:pgSz w:w="11907" w:h="16840"/>
          <w:pgMar w:top="1134" w:right="1134" w:bottom="1134" w:left="567" w:header="720" w:footer="720" w:gutter="0"/>
          <w:cols w:space="720"/>
        </w:sectPr>
      </w:pPr>
    </w:p>
    <w:p w:rsidR="00467F41" w:rsidRDefault="00467F41" w:rsidP="00FF50E2">
      <w:pPr>
        <w:pStyle w:val="PS"/>
        <w:spacing w:after="360"/>
      </w:pPr>
      <w:r>
        <w:t>Vu le rapport de Mme Hélène Gadriot-Renard, conseillère maître ;</w:t>
      </w:r>
    </w:p>
    <w:p w:rsidR="00467F41" w:rsidRDefault="00467F41" w:rsidP="00FF50E2">
      <w:pPr>
        <w:pStyle w:val="PS"/>
        <w:spacing w:after="360"/>
      </w:pPr>
      <w:r>
        <w:t>Vu les conclusions n° 798 du Procureur général du 21 décembre 2011 ;</w:t>
      </w:r>
    </w:p>
    <w:p w:rsidR="00467F41" w:rsidRPr="008441F2" w:rsidRDefault="00467F41" w:rsidP="00FF50E2">
      <w:pPr>
        <w:pStyle w:val="PS"/>
        <w:spacing w:after="360"/>
      </w:pPr>
      <w:r w:rsidRPr="008441F2">
        <w:t>Entendu, lors de l’audience publique de ce jour, Mme Gadriot-Renard, rapporteur, en son rapport, M.</w:t>
      </w:r>
      <w:r>
        <w:t> </w:t>
      </w:r>
      <w:r w:rsidRPr="008441F2">
        <w:t>Christian Michaut, avocat général, en ses conclusions ; l’appelant, informé de l’audience,  n’étant ni présent ni représenté ;</w:t>
      </w:r>
    </w:p>
    <w:p w:rsidR="00467F41" w:rsidRDefault="00467F41" w:rsidP="00FF50E2">
      <w:pPr>
        <w:pStyle w:val="PS"/>
        <w:spacing w:after="360"/>
      </w:pPr>
      <w:r>
        <w:t xml:space="preserve">Entendu, en délibéré, M. Gilles </w:t>
      </w:r>
      <w:r w:rsidRPr="007C4CC1">
        <w:t>Caz</w:t>
      </w:r>
      <w:r>
        <w:t>a</w:t>
      </w:r>
      <w:r w:rsidRPr="007C4CC1">
        <w:t>nave, conseiller</w:t>
      </w:r>
      <w:r>
        <w:t xml:space="preserve"> maître, président de section, en ses observations ;</w:t>
      </w:r>
    </w:p>
    <w:p w:rsidR="00467F41" w:rsidRDefault="00467F41" w:rsidP="00410D60">
      <w:pPr>
        <w:pStyle w:val="PS"/>
        <w:spacing w:after="360"/>
        <w:rPr>
          <w:color w:val="000000"/>
        </w:rPr>
      </w:pPr>
      <w:r>
        <w:t xml:space="preserve">Attendu que, </w:t>
      </w:r>
      <w:r w:rsidRPr="00FF50E2">
        <w:t>par réquisitoire</w:t>
      </w:r>
      <w:r>
        <w:rPr>
          <w:color w:val="000000"/>
        </w:rPr>
        <w:t xml:space="preserve"> </w:t>
      </w:r>
      <w:r w:rsidRPr="00EC5F15">
        <w:t>n°</w:t>
      </w:r>
      <w:r>
        <w:t> </w:t>
      </w:r>
      <w:r w:rsidRPr="00EC5F15">
        <w:t>2010-0035 du 10 août 2010</w:t>
      </w:r>
      <w:r w:rsidRPr="00FF50E2">
        <w:t>, le procureur financier avait saisi la chambre régionale des comptes d’Ile</w:t>
      </w:r>
      <w:r>
        <w:t>-</w:t>
      </w:r>
      <w:r w:rsidRPr="00FF50E2">
        <w:t>de</w:t>
      </w:r>
      <w:r>
        <w:t>-</w:t>
      </w:r>
      <w:r w:rsidRPr="00FF50E2">
        <w:t>France en vue de la mise en jeu de la responsabilité personnelle et pécuniaire</w:t>
      </w:r>
      <w:r>
        <w:t xml:space="preserve"> de</w:t>
      </w:r>
      <w:r>
        <w:rPr>
          <w:color w:val="000000"/>
        </w:rPr>
        <w:t xml:space="preserve"> </w:t>
      </w:r>
      <w:r w:rsidRPr="00EC5F15">
        <w:t>M.</w:t>
      </w:r>
      <w:r>
        <w:t> </w:t>
      </w:r>
      <w:r w:rsidRPr="00EC5F15">
        <w:t xml:space="preserve">X, comptable de la </w:t>
      </w:r>
      <w:r w:rsidRPr="00FF50E2">
        <w:rPr>
          <w:caps/>
        </w:rPr>
        <w:t>communauté d'agglomération du Plateau de Saclay</w:t>
      </w:r>
      <w:r w:rsidRPr="00EC5F15">
        <w:t xml:space="preserve"> </w:t>
      </w:r>
      <w:r>
        <w:t xml:space="preserve">(CAPS) </w:t>
      </w:r>
      <w:r w:rsidRPr="00EC5F15">
        <w:t>pour l'exercice</w:t>
      </w:r>
      <w:r>
        <w:t> </w:t>
      </w:r>
      <w:r w:rsidRPr="00EC5F15">
        <w:t>2004, du 1er juillet</w:t>
      </w:r>
      <w:r>
        <w:t> ;</w:t>
      </w:r>
    </w:p>
    <w:p w:rsidR="00467F41" w:rsidRPr="00A03548" w:rsidRDefault="00467F41" w:rsidP="00246205">
      <w:pPr>
        <w:pStyle w:val="PS"/>
        <w:spacing w:after="360"/>
      </w:pPr>
      <w:r>
        <w:t xml:space="preserve">Attendu que, par jugement </w:t>
      </w:r>
      <w:r w:rsidRPr="00EC5F15">
        <w:t>n° 2011-0028 J</w:t>
      </w:r>
      <w:r>
        <w:t xml:space="preserve"> du</w:t>
      </w:r>
      <w:r w:rsidRPr="00EC5F15">
        <w:t xml:space="preserve"> </w:t>
      </w:r>
      <w:r w:rsidRPr="00A03548">
        <w:t>26 avril 2011</w:t>
      </w:r>
      <w:r>
        <w:rPr>
          <w:color w:val="000000"/>
        </w:rPr>
        <w:t xml:space="preserve">, </w:t>
      </w:r>
      <w:r w:rsidRPr="00FF50E2">
        <w:t>la chambre régionale des comptes</w:t>
      </w:r>
      <w:r>
        <w:rPr>
          <w:color w:val="000000"/>
        </w:rPr>
        <w:t xml:space="preserve"> a </w:t>
      </w:r>
      <w:r w:rsidRPr="00A03548">
        <w:t>constitué M.</w:t>
      </w:r>
      <w:r>
        <w:t> </w:t>
      </w:r>
      <w:r w:rsidRPr="00A03548">
        <w:t xml:space="preserve">X débiteur envers la </w:t>
      </w:r>
      <w:r>
        <w:t>c</w:t>
      </w:r>
      <w:r w:rsidRPr="00A03548">
        <w:t xml:space="preserve">ommunauté d'agglomération du Plateau de Saclay de la somme de </w:t>
      </w:r>
      <w:r w:rsidRPr="00B917F1">
        <w:t>12</w:t>
      </w:r>
      <w:r>
        <w:t> </w:t>
      </w:r>
      <w:r w:rsidRPr="00B917F1">
        <w:t>133,92</w:t>
      </w:r>
      <w:r>
        <w:t> </w:t>
      </w:r>
      <w:r w:rsidRPr="00B917F1">
        <w:t>€,</w:t>
      </w:r>
      <w:r w:rsidRPr="00A03548">
        <w:t xml:space="preserve"> augmentée des intérêts de droit calculés à compter du 23</w:t>
      </w:r>
      <w:r>
        <w:t> </w:t>
      </w:r>
      <w:r w:rsidRPr="00A03548">
        <w:t>août</w:t>
      </w:r>
      <w:r>
        <w:t> </w:t>
      </w:r>
      <w:r w:rsidRPr="00A03548">
        <w:t>2010, pour le paiement d'indemnités au directeur général adjoint en l'absence d'arrêtés individuels portant attribution desdites indemnités et pour avoir payé indûment des indemnités forfaitaires pour travaux supplémentaires au directeur général des services en s'abstenant de vérifier l'exactitude des calculs de liquidation</w:t>
      </w:r>
      <w:r>
        <w:t> ;</w:t>
      </w:r>
      <w:r w:rsidRPr="00A03548">
        <w:t xml:space="preserve">  </w:t>
      </w:r>
    </w:p>
    <w:p w:rsidR="00467F41" w:rsidRDefault="00467F41" w:rsidP="00FF50E2">
      <w:pPr>
        <w:pStyle w:val="PS"/>
        <w:spacing w:after="360"/>
      </w:pPr>
      <w:r>
        <w:t xml:space="preserve">Attendu que M. X a, au cours de l’exercice 2004, payé plusieurs indemnités </w:t>
      </w:r>
      <w:r w:rsidRPr="00CC2CD1">
        <w:t>(indemnité d'exercice de</w:t>
      </w:r>
      <w:r>
        <w:t xml:space="preserve"> </w:t>
      </w:r>
      <w:r w:rsidRPr="00CC2CD1">
        <w:t xml:space="preserve">mission des préfectures, indemnité forfaitaire pour travaux supplémentaires) </w:t>
      </w:r>
      <w:r>
        <w:t>à M. </w:t>
      </w:r>
      <w:r w:rsidRPr="00410D60">
        <w:rPr>
          <w:caps/>
        </w:rPr>
        <w:t>Y</w:t>
      </w:r>
      <w:r>
        <w:t xml:space="preserve">, </w:t>
      </w:r>
      <w:r w:rsidRPr="00CC2CD1">
        <w:t>directeur général adjoint</w:t>
      </w:r>
      <w:r>
        <w:t xml:space="preserve"> de la communauté d’agglomération</w:t>
      </w:r>
      <w:r w:rsidRPr="00CC2CD1">
        <w:t xml:space="preserve">, pour un montant de </w:t>
      </w:r>
      <w:r w:rsidRPr="00B917F1">
        <w:t>7 828,20</w:t>
      </w:r>
      <w:r>
        <w:t> </w:t>
      </w:r>
      <w:r w:rsidRPr="00B917F1">
        <w:t>€,</w:t>
      </w:r>
      <w:r>
        <w:t xml:space="preserve"> alors qu’il ne disposait pas de </w:t>
      </w:r>
      <w:r w:rsidRPr="00CC2CD1">
        <w:t>l'arrêté individuel</w:t>
      </w:r>
      <w:r>
        <w:t xml:space="preserve"> </w:t>
      </w:r>
      <w:r w:rsidRPr="00311F39">
        <w:t>portant attribution de ces indemnités à l'intéressé, pièce justificative requise par l'article D.</w:t>
      </w:r>
      <w:r>
        <w:t> </w:t>
      </w:r>
      <w:r w:rsidRPr="00311F39">
        <w:t>1617-19 du code général des collectivités territoriales (CGCT)</w:t>
      </w:r>
      <w:r>
        <w:t xml:space="preserve"> ; </w:t>
      </w:r>
    </w:p>
    <w:p w:rsidR="00467F41" w:rsidRDefault="00467F41" w:rsidP="00FF50E2">
      <w:pPr>
        <w:pStyle w:val="PS"/>
        <w:spacing w:after="360"/>
      </w:pPr>
      <w:r>
        <w:t xml:space="preserve">Attendu que le comptable </w:t>
      </w:r>
      <w:r w:rsidRPr="00CC2CD1">
        <w:t xml:space="preserve">a produit </w:t>
      </w:r>
      <w:r>
        <w:t xml:space="preserve">à la chambre régionale </w:t>
      </w:r>
      <w:r w:rsidRPr="00CC2CD1">
        <w:t>une convention de régularisation</w:t>
      </w:r>
      <w:r>
        <w:t xml:space="preserve"> et des arrêtés </w:t>
      </w:r>
      <w:r w:rsidRPr="00CC2CD1">
        <w:t>relatifs à l'attribution du</w:t>
      </w:r>
      <w:r>
        <w:t xml:space="preserve"> </w:t>
      </w:r>
      <w:r w:rsidRPr="00CC2CD1">
        <w:t>régime indemnitaire</w:t>
      </w:r>
      <w:r>
        <w:t xml:space="preserve"> et de la bonification indiciaire</w:t>
      </w:r>
      <w:r w:rsidRPr="00CC2CD1">
        <w:t xml:space="preserve"> de M.</w:t>
      </w:r>
      <w:r>
        <w:t xml:space="preserve"> Y, </w:t>
      </w:r>
      <w:r w:rsidRPr="00CC2CD1">
        <w:t>en date du</w:t>
      </w:r>
      <w:r>
        <w:t xml:space="preserve"> </w:t>
      </w:r>
      <w:r w:rsidRPr="00CC2CD1">
        <w:t>21 novembre</w:t>
      </w:r>
      <w:r>
        <w:t xml:space="preserve"> </w:t>
      </w:r>
      <w:r w:rsidRPr="00CC2CD1">
        <w:t>2006</w:t>
      </w:r>
      <w:r>
        <w:t> ;</w:t>
      </w:r>
    </w:p>
    <w:p w:rsidR="00467F41" w:rsidRDefault="00467F41" w:rsidP="00CD38FA">
      <w:pPr>
        <w:pStyle w:val="PS"/>
        <w:spacing w:after="360"/>
      </w:pPr>
      <w:r>
        <w:t xml:space="preserve">Attendu que M. X a, entre juillet et décembre 2004, </w:t>
      </w:r>
      <w:r w:rsidRPr="00CC2CD1">
        <w:t>payé</w:t>
      </w:r>
      <w:r>
        <w:t> </w:t>
      </w:r>
      <w:r w:rsidRPr="00CC2CD1">
        <w:t>mensuellement à M.</w:t>
      </w:r>
      <w:r>
        <w:t> </w:t>
      </w:r>
      <w:r w:rsidRPr="00AF44BC">
        <w:rPr>
          <w:caps/>
        </w:rPr>
        <w:t>Z</w:t>
      </w:r>
      <w:r>
        <w:t xml:space="preserve">, </w:t>
      </w:r>
      <w:r w:rsidRPr="00CC2CD1">
        <w:t>directeur général</w:t>
      </w:r>
      <w:r>
        <w:t xml:space="preserve"> </w:t>
      </w:r>
      <w:r w:rsidRPr="00CC2CD1">
        <w:t xml:space="preserve">des services </w:t>
      </w:r>
      <w:r>
        <w:t>de la communauté d’agglomération,</w:t>
      </w:r>
      <w:r w:rsidRPr="00CC2CD1">
        <w:t xml:space="preserve"> des indemnités</w:t>
      </w:r>
      <w:r>
        <w:t xml:space="preserve"> </w:t>
      </w:r>
      <w:r w:rsidRPr="00CC2CD1">
        <w:t>forfaitaires pour travaux supplémentaires (IFTS), pour un montant de 1</w:t>
      </w:r>
      <w:r>
        <w:t> </w:t>
      </w:r>
      <w:r w:rsidRPr="00CC2CD1">
        <w:t>060,62</w:t>
      </w:r>
      <w:r>
        <w:t> </w:t>
      </w:r>
      <w:r w:rsidRPr="00CC2CD1">
        <w:t>€</w:t>
      </w:r>
      <w:r>
        <w:t> ; que la</w:t>
      </w:r>
      <w:r w:rsidRPr="00CC2CD1">
        <w:t xml:space="preserve"> délibération de la CAPS en date du 2</w:t>
      </w:r>
      <w:r>
        <w:t> </w:t>
      </w:r>
      <w:r w:rsidRPr="00CC2CD1">
        <w:t>avril</w:t>
      </w:r>
      <w:r>
        <w:t> </w:t>
      </w:r>
      <w:r w:rsidRPr="00CC2CD1">
        <w:t>2002 modifiant le régime indemnitaire pour le personnel de la</w:t>
      </w:r>
      <w:r>
        <w:t xml:space="preserve"> </w:t>
      </w:r>
      <w:r w:rsidRPr="00CC2CD1">
        <w:t>filière administrative, fix</w:t>
      </w:r>
      <w:r>
        <w:t>ait</w:t>
      </w:r>
      <w:r w:rsidRPr="00CC2CD1">
        <w:t xml:space="preserve"> l</w:t>
      </w:r>
      <w:r>
        <w:t>e montant</w:t>
      </w:r>
      <w:r w:rsidRPr="00CC2CD1">
        <w:t xml:space="preserve"> </w:t>
      </w:r>
      <w:r>
        <w:t xml:space="preserve">annuel </w:t>
      </w:r>
      <w:r w:rsidRPr="00CC2CD1">
        <w:t>de la catégorie correspondant à</w:t>
      </w:r>
      <w:r>
        <w:t xml:space="preserve"> </w:t>
      </w:r>
      <w:r w:rsidRPr="00CC2CD1">
        <w:t>la fonction de directeur général des services à 1</w:t>
      </w:r>
      <w:r>
        <w:t> </w:t>
      </w:r>
      <w:r w:rsidRPr="00CC2CD1">
        <w:t>372</w:t>
      </w:r>
      <w:r>
        <w:t> </w:t>
      </w:r>
      <w:r w:rsidRPr="00CC2CD1">
        <w:t>€</w:t>
      </w:r>
      <w:r>
        <w:t xml:space="preserve"> ; qu’un </w:t>
      </w:r>
      <w:r w:rsidRPr="00CC2CD1">
        <w:t>arrêté du président de la CAPS</w:t>
      </w:r>
      <w:r>
        <w:t xml:space="preserve"> en date</w:t>
      </w:r>
      <w:r w:rsidRPr="00CC2CD1">
        <w:t xml:space="preserve"> du 13</w:t>
      </w:r>
      <w:r>
        <w:t> </w:t>
      </w:r>
      <w:r w:rsidRPr="00CC2CD1">
        <w:t>juillet</w:t>
      </w:r>
      <w:r>
        <w:t> </w:t>
      </w:r>
      <w:r w:rsidRPr="00CC2CD1">
        <w:t>2004</w:t>
      </w:r>
      <w:r>
        <w:t xml:space="preserve">, </w:t>
      </w:r>
      <w:r w:rsidRPr="00CC2CD1">
        <w:t>portant attribution du régime</w:t>
      </w:r>
      <w:r>
        <w:t xml:space="preserve"> </w:t>
      </w:r>
      <w:r w:rsidRPr="00CC2CD1">
        <w:t xml:space="preserve">indemnitaire à </w:t>
      </w:r>
      <w:r>
        <w:t>M. Z, précisait que s’appliquait à ce montant</w:t>
      </w:r>
      <w:r w:rsidRPr="00CC2CD1">
        <w:t xml:space="preserve"> </w:t>
      </w:r>
      <w:r>
        <w:t>un</w:t>
      </w:r>
      <w:r w:rsidRPr="00CC2CD1">
        <w:t xml:space="preserve"> coefficient individuel de 3</w:t>
      </w:r>
      <w:r>
        <w:t> ;</w:t>
      </w:r>
    </w:p>
    <w:p w:rsidR="00467F41" w:rsidRDefault="00467F41" w:rsidP="00FF50E2">
      <w:pPr>
        <w:pStyle w:val="PS"/>
        <w:spacing w:after="360"/>
      </w:pPr>
      <w:r>
        <w:t>Attendu qu’il en résulte</w:t>
      </w:r>
      <w:r w:rsidRPr="00CC2CD1">
        <w:t xml:space="preserve"> que le montant mensuel maximum</w:t>
      </w:r>
      <w:r>
        <w:t xml:space="preserve"> </w:t>
      </w:r>
      <w:r w:rsidRPr="00CC2CD1">
        <w:t>versé à M.</w:t>
      </w:r>
      <w:r>
        <w:t> Z</w:t>
      </w:r>
      <w:r w:rsidRPr="00CC2CD1">
        <w:t xml:space="preserve"> au titre</w:t>
      </w:r>
      <w:r>
        <w:t xml:space="preserve"> des IFTS </w:t>
      </w:r>
      <w:r w:rsidRPr="00CC2CD1">
        <w:t>ne</w:t>
      </w:r>
      <w:r>
        <w:t xml:space="preserve"> </w:t>
      </w:r>
      <w:r w:rsidRPr="00CC2CD1">
        <w:t>p</w:t>
      </w:r>
      <w:r>
        <w:t>ouvait</w:t>
      </w:r>
      <w:r w:rsidRPr="00CC2CD1">
        <w:t xml:space="preserve"> être supérieur à 343</w:t>
      </w:r>
      <w:r>
        <w:t> </w:t>
      </w:r>
      <w:r w:rsidRPr="00CC2CD1">
        <w:t>€</w:t>
      </w:r>
      <w:r>
        <w:t xml:space="preserve"> ; que ce </w:t>
      </w:r>
      <w:r w:rsidRPr="00CC2CD1">
        <w:t>dernier a dès lors bénéficié</w:t>
      </w:r>
      <w:r>
        <w:t>, entre juillet et décembre 2004, de paiements indus</w:t>
      </w:r>
      <w:r w:rsidRPr="00CC2CD1">
        <w:t xml:space="preserve"> de </w:t>
      </w:r>
      <w:r w:rsidRPr="00384AB3">
        <w:t>4 305,72</w:t>
      </w:r>
      <w:r>
        <w:t> </w:t>
      </w:r>
      <w:r w:rsidRPr="00384AB3">
        <w:t>€</w:t>
      </w:r>
      <w:r>
        <w:t xml:space="preserve"> ; </w:t>
      </w:r>
    </w:p>
    <w:p w:rsidR="00467F41" w:rsidRDefault="00467F41" w:rsidP="000926AD">
      <w:pPr>
        <w:pStyle w:val="PS"/>
        <w:spacing w:after="360"/>
      </w:pPr>
      <w:r>
        <w:t>Attendu que M. X explique que les comptes de la CAPS relevaient auparavant de la trésorerie de Bièvres ; qu’après leur</w:t>
      </w:r>
      <w:r w:rsidRPr="00894EF0">
        <w:t xml:space="preserve"> transfert à Palaiseau </w:t>
      </w:r>
      <w:r>
        <w:t>il ne disposait de presque a</w:t>
      </w:r>
      <w:r w:rsidRPr="00894EF0">
        <w:t>ucune pièc</w:t>
      </w:r>
      <w:r>
        <w:t>e</w:t>
      </w:r>
      <w:r w:rsidRPr="00894EF0">
        <w:t xml:space="preserve"> justifiant le paiement des rémunérations à l'ensemble du personnel de la </w:t>
      </w:r>
      <w:r>
        <w:t>CAPS ; que pour « </w:t>
      </w:r>
      <w:r w:rsidRPr="003C7BC7">
        <w:rPr>
          <w:i/>
          <w:iCs/>
        </w:rPr>
        <w:t>assurer la continuité des services rendus par le</w:t>
      </w:r>
      <w:r>
        <w:rPr>
          <w:i/>
          <w:iCs/>
        </w:rPr>
        <w:t> </w:t>
      </w:r>
      <w:r w:rsidRPr="003C7BC7">
        <w:rPr>
          <w:i/>
          <w:iCs/>
        </w:rPr>
        <w:t>Trésor Public à cette collectivité et après avoir obtenu l'assurance verbale de la transmission des documents justificatifs</w:t>
      </w:r>
      <w:r>
        <w:t> »</w:t>
      </w:r>
      <w:r w:rsidRPr="00894EF0">
        <w:t xml:space="preserve">, </w:t>
      </w:r>
      <w:r>
        <w:t>il avait</w:t>
      </w:r>
      <w:r w:rsidRPr="00894EF0">
        <w:t xml:space="preserve"> pris la responsabilité de poursuivre le règlement des rémunérations des agents de la </w:t>
      </w:r>
      <w:r>
        <w:t xml:space="preserve">communauté d’agglomération ; que ses services ont éprouvé de grandes difficultés à rassembler les pièces demandées ; qu’il a dû demander à l’ordonnateur des documents de régularisation et que celui-ci a, en 2006, procédé à la réquisition du comptable qui refusait </w:t>
      </w:r>
      <w:r w:rsidRPr="00894EF0">
        <w:t xml:space="preserve">de mettre en paiement </w:t>
      </w:r>
      <w:r>
        <w:t>la prime annuelle des</w:t>
      </w:r>
      <w:r w:rsidRPr="00894EF0">
        <w:t xml:space="preserve"> agents</w:t>
      </w:r>
      <w:r>
        <w:t xml:space="preserve"> en l’absence de justification ;</w:t>
      </w:r>
    </w:p>
    <w:p w:rsidR="00467F41" w:rsidRDefault="00467F41" w:rsidP="00FF50E2">
      <w:pPr>
        <w:pStyle w:val="PS"/>
        <w:spacing w:after="360"/>
      </w:pPr>
      <w:r>
        <w:t xml:space="preserve">Considérant  que </w:t>
      </w:r>
      <w:r w:rsidRPr="00CC2CD1">
        <w:t>l'établissement d'arrêtés portant régularisation rétroactive des</w:t>
      </w:r>
      <w:r>
        <w:t xml:space="preserve"> </w:t>
      </w:r>
      <w:r w:rsidRPr="00CC2CD1">
        <w:t xml:space="preserve">versements en cause ne </w:t>
      </w:r>
      <w:r>
        <w:t>peut</w:t>
      </w:r>
      <w:r w:rsidRPr="00CC2CD1">
        <w:t xml:space="preserve"> dégager </w:t>
      </w:r>
      <w:r>
        <w:t xml:space="preserve">le comptable de </w:t>
      </w:r>
      <w:r w:rsidRPr="00CC2CD1">
        <w:t>sa responsabilité, la régularité des dépenses s'appréciant à la date du paiement</w:t>
      </w:r>
      <w:r>
        <w:t>, qu’en l’absence des just</w:t>
      </w:r>
      <w:r w:rsidRPr="00CC2CD1">
        <w:t>ificat</w:t>
      </w:r>
      <w:r>
        <w:t>ions permettant le contrôle de l</w:t>
      </w:r>
      <w:r w:rsidRPr="00CC2CD1">
        <w:t>a</w:t>
      </w:r>
      <w:r>
        <w:t xml:space="preserve"> </w:t>
      </w:r>
      <w:r w:rsidRPr="00CC2CD1">
        <w:t>liquidation de</w:t>
      </w:r>
      <w:r>
        <w:t xml:space="preserve">s dépenses en cause, il aurait dû suspendre </w:t>
      </w:r>
      <w:r w:rsidRPr="00CC2CD1">
        <w:t>le</w:t>
      </w:r>
      <w:r>
        <w:t> </w:t>
      </w:r>
      <w:r w:rsidRPr="00CC2CD1">
        <w:t>paiement</w:t>
      </w:r>
      <w:r>
        <w:t> ;</w:t>
      </w:r>
    </w:p>
    <w:p w:rsidR="00467F41" w:rsidRDefault="00467F41" w:rsidP="00FF50E2">
      <w:pPr>
        <w:pStyle w:val="PS"/>
        <w:spacing w:after="360"/>
      </w:pPr>
      <w:r>
        <w:t xml:space="preserve">Par ces motifs, </w:t>
      </w:r>
    </w:p>
    <w:p w:rsidR="00467F41" w:rsidRDefault="00467F41" w:rsidP="00FF50E2">
      <w:pPr>
        <w:pStyle w:val="PS"/>
        <w:ind w:firstLine="0"/>
        <w:jc w:val="center"/>
      </w:pPr>
      <w:r>
        <w:t>ORDONNE :</w:t>
      </w:r>
    </w:p>
    <w:p w:rsidR="00467F41" w:rsidRDefault="00467F41" w:rsidP="00FF50E2">
      <w:pPr>
        <w:pStyle w:val="PS"/>
        <w:spacing w:after="360"/>
      </w:pPr>
      <w:r>
        <w:t>La requête de M. X est rejetée.</w:t>
      </w:r>
    </w:p>
    <w:p w:rsidR="00467F41" w:rsidRDefault="00467F41" w:rsidP="00FF50E2">
      <w:pPr>
        <w:pStyle w:val="PS"/>
        <w:spacing w:after="360"/>
        <w:rPr>
          <w:spacing w:val="2"/>
        </w:rPr>
      </w:pPr>
      <w:r>
        <w:t xml:space="preserve">Le jugement </w:t>
      </w:r>
      <w:r w:rsidRPr="00EC5F15">
        <w:t>n° 2011-0028 J</w:t>
      </w:r>
      <w:r>
        <w:t xml:space="preserve"> du</w:t>
      </w:r>
      <w:r w:rsidRPr="00EC5F15">
        <w:t xml:space="preserve"> </w:t>
      </w:r>
      <w:r w:rsidRPr="00A03548">
        <w:t>26</w:t>
      </w:r>
      <w:r>
        <w:t> </w:t>
      </w:r>
      <w:r w:rsidRPr="00A03548">
        <w:t>avril</w:t>
      </w:r>
      <w:r>
        <w:t> </w:t>
      </w:r>
      <w:r w:rsidRPr="00A03548">
        <w:t>2011</w:t>
      </w:r>
      <w:r>
        <w:rPr>
          <w:color w:val="000000"/>
        </w:rPr>
        <w:t xml:space="preserve">, </w:t>
      </w:r>
      <w:r w:rsidRPr="00FF50E2">
        <w:t xml:space="preserve">par lequel la chambre régionale des comptes </w:t>
      </w:r>
      <w:r>
        <w:t xml:space="preserve">d’Ile-de-France </w:t>
      </w:r>
      <w:r w:rsidRPr="00FF50E2">
        <w:t>a constitué M.</w:t>
      </w:r>
      <w:r>
        <w:t> </w:t>
      </w:r>
      <w:r w:rsidRPr="00FF50E2">
        <w:t>X débiteur de la communauté d’agglomération du Plateau de Saclay pour la somme de 1</w:t>
      </w:r>
      <w:r w:rsidRPr="00B917F1">
        <w:t>2</w:t>
      </w:r>
      <w:r>
        <w:t> </w:t>
      </w:r>
      <w:r w:rsidRPr="00B917F1">
        <w:t>133,92</w:t>
      </w:r>
      <w:r>
        <w:t> </w:t>
      </w:r>
      <w:r w:rsidRPr="00B917F1">
        <w:t>€,</w:t>
      </w:r>
      <w:r w:rsidRPr="00A03548">
        <w:t xml:space="preserve"> augmentée des intérêts de droit calculés à compter du 23 août 2010,</w:t>
      </w:r>
      <w:r>
        <w:t xml:space="preserve"> </w:t>
      </w:r>
      <w:r w:rsidRPr="00FF50E2">
        <w:t>est confirmé</w:t>
      </w:r>
      <w:r>
        <w:rPr>
          <w:color w:val="000000"/>
        </w:rPr>
        <w:t>.</w:t>
      </w:r>
      <w:r>
        <w:rPr>
          <w:spacing w:val="2"/>
        </w:rPr>
        <w:t xml:space="preserve"> </w:t>
      </w:r>
    </w:p>
    <w:p w:rsidR="00467F41" w:rsidRDefault="00467F41" w:rsidP="00FF50E2">
      <w:pPr>
        <w:pStyle w:val="PS"/>
        <w:spacing w:after="360"/>
        <w:ind w:firstLine="0"/>
        <w:jc w:val="center"/>
        <w:rPr>
          <w:spacing w:val="2"/>
        </w:rPr>
      </w:pPr>
      <w:r>
        <w:rPr>
          <w:spacing w:val="2"/>
        </w:rPr>
        <w:t>----------</w:t>
      </w:r>
    </w:p>
    <w:p w:rsidR="00467F41" w:rsidRDefault="00467F41" w:rsidP="00594876">
      <w:pPr>
        <w:pStyle w:val="PS"/>
      </w:pPr>
      <w:r w:rsidRPr="00660A6D">
        <w:t>Fait et jugé en la Cour des comptes, quatrième cham</w:t>
      </w:r>
      <w:r>
        <w:t>bre, première section. Présents : </w:t>
      </w:r>
      <w:r w:rsidRPr="00660A6D">
        <w:t>MM</w:t>
      </w:r>
      <w:r>
        <w:t>. Bayle</w:t>
      </w:r>
      <w:r w:rsidRPr="00660A6D">
        <w:t xml:space="preserve">, président, </w:t>
      </w:r>
      <w:r>
        <w:t>Cazanave,</w:t>
      </w:r>
      <w:r w:rsidRPr="00660A6D">
        <w:t xml:space="preserve"> président de section, </w:t>
      </w:r>
      <w:bookmarkStart w:id="0" w:name="_GoBack"/>
      <w:bookmarkEnd w:id="0"/>
      <w:r>
        <w:t xml:space="preserve">MM. Lafaure, Geoffroy, Senhaji, </w:t>
      </w:r>
      <w:r w:rsidRPr="00660A6D">
        <w:t>conseille</w:t>
      </w:r>
      <w:r>
        <w:t>rs maîtres</w:t>
      </w:r>
      <w:r w:rsidRPr="00660A6D">
        <w:t>.</w:t>
      </w:r>
    </w:p>
    <w:p w:rsidR="00467F41" w:rsidRPr="00980ED5" w:rsidRDefault="00467F41" w:rsidP="00594876">
      <w:pPr>
        <w:pStyle w:val="PS"/>
      </w:pPr>
      <w:r w:rsidRPr="00980ED5">
        <w:t xml:space="preserve">Signé : </w:t>
      </w:r>
      <w:r>
        <w:t>Bayle</w:t>
      </w:r>
      <w:r w:rsidRPr="00980ED5">
        <w:t xml:space="preserve">, président, et </w:t>
      </w:r>
      <w:r>
        <w:t>Férez</w:t>
      </w:r>
      <w:r w:rsidRPr="00980ED5">
        <w:t>, greffier.</w:t>
      </w:r>
    </w:p>
    <w:p w:rsidR="00467F41" w:rsidRDefault="00467F41" w:rsidP="00594876">
      <w:pPr>
        <w:pStyle w:val="PS"/>
      </w:pPr>
      <w:r>
        <w:t>Collationné, certifié conforme à la minute étant au greffe de la Cour des comptes.</w:t>
      </w:r>
    </w:p>
    <w:p w:rsidR="00467F41" w:rsidRDefault="00467F41" w:rsidP="00594876">
      <w:pPr>
        <w:pStyle w:val="PS"/>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467F41" w:rsidRDefault="00467F41" w:rsidP="00594876">
      <w:pPr>
        <w:pStyle w:val="PS"/>
      </w:pPr>
      <w:r>
        <w:t>Délivré par moi, secrétaire général.</w:t>
      </w:r>
    </w:p>
    <w:p w:rsidR="00467F41" w:rsidRPr="00410D60" w:rsidRDefault="00467F41" w:rsidP="00246205">
      <w:pPr>
        <w:pStyle w:val="BodyText"/>
        <w:spacing w:after="0"/>
        <w:ind w:left="540" w:firstLine="6264"/>
        <w:jc w:val="center"/>
        <w:rPr>
          <w:rFonts w:ascii="Times New Roman Gras" w:hAnsi="Times New Roman Gras" w:cs="Times New Roman Gras"/>
          <w:b/>
          <w:bCs/>
          <w:sz w:val="24"/>
          <w:szCs w:val="24"/>
        </w:rPr>
      </w:pPr>
      <w:r w:rsidRPr="00410D60">
        <w:rPr>
          <w:rFonts w:ascii="Times New Roman Gras" w:hAnsi="Times New Roman Gras" w:cs="Times New Roman Gras"/>
          <w:b/>
          <w:bCs/>
          <w:sz w:val="24"/>
          <w:szCs w:val="24"/>
        </w:rPr>
        <w:t>Pour le Secrétaire général</w:t>
      </w:r>
    </w:p>
    <w:p w:rsidR="00467F41" w:rsidRPr="00410D60" w:rsidRDefault="00467F41" w:rsidP="00246205">
      <w:pPr>
        <w:pStyle w:val="BodyText"/>
        <w:spacing w:after="0"/>
        <w:ind w:left="540" w:firstLine="6264"/>
        <w:jc w:val="center"/>
        <w:rPr>
          <w:rFonts w:ascii="Times New Roman Gras" w:hAnsi="Times New Roman Gras" w:cs="Times New Roman Gras"/>
          <w:b/>
          <w:bCs/>
          <w:sz w:val="24"/>
          <w:szCs w:val="24"/>
        </w:rPr>
      </w:pPr>
      <w:r w:rsidRPr="00410D60">
        <w:rPr>
          <w:rFonts w:ascii="Times New Roman Gras" w:hAnsi="Times New Roman Gras" w:cs="Times New Roman Gras"/>
          <w:b/>
          <w:bCs/>
          <w:sz w:val="24"/>
          <w:szCs w:val="24"/>
        </w:rPr>
        <w:t>et par délégation,</w:t>
      </w:r>
    </w:p>
    <w:p w:rsidR="00467F41" w:rsidRPr="00410D60" w:rsidRDefault="00467F41" w:rsidP="00246205">
      <w:pPr>
        <w:pStyle w:val="BodyText"/>
        <w:spacing w:after="1920"/>
        <w:ind w:left="539" w:firstLine="6264"/>
        <w:jc w:val="center"/>
        <w:rPr>
          <w:rFonts w:ascii="Times New Roman Gras" w:hAnsi="Times New Roman Gras" w:cs="Times New Roman Gras"/>
          <w:b/>
          <w:bCs/>
          <w:sz w:val="24"/>
          <w:szCs w:val="24"/>
        </w:rPr>
      </w:pPr>
      <w:r w:rsidRPr="00410D60">
        <w:rPr>
          <w:rFonts w:ascii="Times New Roman Gras" w:hAnsi="Times New Roman Gras" w:cs="Times New Roman Gras"/>
          <w:b/>
          <w:bCs/>
          <w:sz w:val="24"/>
          <w:szCs w:val="24"/>
        </w:rPr>
        <w:t>le Chef du Greffe contentieux</w:t>
      </w:r>
    </w:p>
    <w:p w:rsidR="00467F41" w:rsidRPr="00410D60" w:rsidRDefault="00467F41" w:rsidP="00D9446F">
      <w:pPr>
        <w:pStyle w:val="BodyText"/>
        <w:spacing w:after="360"/>
        <w:ind w:left="540" w:firstLine="6548"/>
        <w:jc w:val="center"/>
        <w:rPr>
          <w:rFonts w:ascii="Times New Roman Gras" w:hAnsi="Times New Roman Gras" w:cs="Times New Roman Gras"/>
          <w:b/>
          <w:bCs/>
          <w:vanish/>
          <w:sz w:val="24"/>
          <w:szCs w:val="24"/>
        </w:rPr>
      </w:pPr>
      <w:r w:rsidRPr="00410D60">
        <w:rPr>
          <w:rFonts w:ascii="Times New Roman Gras" w:hAnsi="Times New Roman Gras" w:cs="Times New Roman Gras"/>
          <w:b/>
          <w:bCs/>
          <w:sz w:val="24"/>
          <w:szCs w:val="24"/>
        </w:rPr>
        <w:t>Daniel FEREZ</w:t>
      </w:r>
    </w:p>
    <w:sectPr w:rsidR="00467F41" w:rsidRPr="00410D60" w:rsidSect="001A61DF">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F41" w:rsidRDefault="00467F41">
      <w:r>
        <w:separator/>
      </w:r>
    </w:p>
  </w:endnote>
  <w:endnote w:type="continuationSeparator" w:id="0">
    <w:p w:rsidR="00467F41" w:rsidRDefault="00467F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New Roman Gras">
    <w:panose1 w:val="02020803070505020304"/>
    <w:charset w:val="00"/>
    <w:family w:val="roman"/>
    <w:notTrueType/>
    <w:pitch w:val="default"/>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F41" w:rsidRDefault="00467F41">
      <w:r>
        <w:separator/>
      </w:r>
    </w:p>
  </w:footnote>
  <w:footnote w:type="continuationSeparator" w:id="0">
    <w:p w:rsidR="00467F41" w:rsidRDefault="00467F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F41" w:rsidRDefault="00467F41">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4</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34131"/>
    <w:rsid w:val="00040920"/>
    <w:rsid w:val="00084666"/>
    <w:rsid w:val="000926AD"/>
    <w:rsid w:val="000B490C"/>
    <w:rsid w:val="001A0EFF"/>
    <w:rsid w:val="001A61DF"/>
    <w:rsid w:val="001B1BF7"/>
    <w:rsid w:val="00232524"/>
    <w:rsid w:val="00240D17"/>
    <w:rsid w:val="00246205"/>
    <w:rsid w:val="002F3C72"/>
    <w:rsid w:val="00311F39"/>
    <w:rsid w:val="00384AB3"/>
    <w:rsid w:val="00387019"/>
    <w:rsid w:val="00387954"/>
    <w:rsid w:val="003C7BC7"/>
    <w:rsid w:val="00410D60"/>
    <w:rsid w:val="0043409C"/>
    <w:rsid w:val="00467F41"/>
    <w:rsid w:val="004768EA"/>
    <w:rsid w:val="00594876"/>
    <w:rsid w:val="006460AE"/>
    <w:rsid w:val="006464A6"/>
    <w:rsid w:val="00660A6D"/>
    <w:rsid w:val="00690D05"/>
    <w:rsid w:val="006B1304"/>
    <w:rsid w:val="0070437B"/>
    <w:rsid w:val="007427BC"/>
    <w:rsid w:val="0075537A"/>
    <w:rsid w:val="007C4CC1"/>
    <w:rsid w:val="007C5A15"/>
    <w:rsid w:val="008441F2"/>
    <w:rsid w:val="00864775"/>
    <w:rsid w:val="00894EF0"/>
    <w:rsid w:val="008A41B1"/>
    <w:rsid w:val="009713F0"/>
    <w:rsid w:val="00975A2E"/>
    <w:rsid w:val="00980ED5"/>
    <w:rsid w:val="009C192F"/>
    <w:rsid w:val="009C7557"/>
    <w:rsid w:val="00A03548"/>
    <w:rsid w:val="00AF44BC"/>
    <w:rsid w:val="00B917F1"/>
    <w:rsid w:val="00CB6157"/>
    <w:rsid w:val="00CC2CD1"/>
    <w:rsid w:val="00CD38FA"/>
    <w:rsid w:val="00CF5DC1"/>
    <w:rsid w:val="00D064EA"/>
    <w:rsid w:val="00D9446F"/>
    <w:rsid w:val="00DE2486"/>
    <w:rsid w:val="00DF4306"/>
    <w:rsid w:val="00E769C9"/>
    <w:rsid w:val="00E823A2"/>
    <w:rsid w:val="00E96F55"/>
    <w:rsid w:val="00EC5F15"/>
    <w:rsid w:val="00F94E8E"/>
    <w:rsid w:val="00FD6E3D"/>
    <w:rsid w:val="00FF50E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486"/>
    <w:rPr>
      <w:sz w:val="20"/>
      <w:szCs w:val="20"/>
    </w:rPr>
  </w:style>
  <w:style w:type="paragraph" w:styleId="Heading1">
    <w:name w:val="heading 1"/>
    <w:basedOn w:val="Normal"/>
    <w:next w:val="Normal"/>
    <w:link w:val="Heading1Char"/>
    <w:uiPriority w:val="99"/>
    <w:qFormat/>
    <w:rsid w:val="00DE2486"/>
    <w:pPr>
      <w:spacing w:before="240"/>
      <w:outlineLvl w:val="0"/>
    </w:pPr>
    <w:rPr>
      <w:rFonts w:ascii="Cambria" w:hAnsi="Cambria" w:cs="Cambria"/>
      <w:b/>
      <w:bCs/>
      <w:kern w:val="32"/>
      <w:sz w:val="32"/>
      <w:szCs w:val="32"/>
    </w:rPr>
  </w:style>
  <w:style w:type="paragraph" w:styleId="Heading2">
    <w:name w:val="heading 2"/>
    <w:basedOn w:val="Normal"/>
    <w:next w:val="Normal"/>
    <w:link w:val="Heading2Char"/>
    <w:uiPriority w:val="99"/>
    <w:qFormat/>
    <w:rsid w:val="00DE2486"/>
    <w:pPr>
      <w:spacing w:before="120"/>
      <w:outlineLvl w:val="1"/>
    </w:pPr>
    <w:rPr>
      <w:rFonts w:ascii="Cambria" w:hAnsi="Cambria" w:cs="Cambria"/>
      <w:b/>
      <w:bCs/>
      <w:i/>
      <w:iCs/>
      <w:sz w:val="28"/>
      <w:szCs w:val="28"/>
    </w:rPr>
  </w:style>
  <w:style w:type="paragraph" w:styleId="Heading3">
    <w:name w:val="heading 3"/>
    <w:basedOn w:val="Normal"/>
    <w:next w:val="NormalIndent"/>
    <w:link w:val="Heading3Char"/>
    <w:uiPriority w:val="99"/>
    <w:qFormat/>
    <w:rsid w:val="00DE2486"/>
    <w:pPr>
      <w:ind w:left="354"/>
      <w:outlineLvl w:val="2"/>
    </w:pPr>
    <w:rPr>
      <w:rFonts w:ascii="Cambria" w:hAnsi="Cambria" w:cs="Cambria"/>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87019"/>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387019"/>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387019"/>
    <w:rPr>
      <w:rFonts w:ascii="Cambria" w:hAnsi="Cambria" w:cs="Cambria"/>
      <w:b/>
      <w:bCs/>
      <w:sz w:val="26"/>
      <w:szCs w:val="26"/>
    </w:rPr>
  </w:style>
  <w:style w:type="paragraph" w:styleId="NormalIndent">
    <w:name w:val="Normal Indent"/>
    <w:basedOn w:val="Normal"/>
    <w:uiPriority w:val="99"/>
    <w:rsid w:val="00DE2486"/>
    <w:pPr>
      <w:ind w:left="708"/>
    </w:pPr>
  </w:style>
  <w:style w:type="paragraph" w:styleId="Header">
    <w:name w:val="header"/>
    <w:basedOn w:val="Normal"/>
    <w:link w:val="HeaderChar"/>
    <w:uiPriority w:val="99"/>
    <w:rsid w:val="00DE2486"/>
    <w:pPr>
      <w:tabs>
        <w:tab w:val="center" w:pos="4819"/>
        <w:tab w:val="right" w:pos="9071"/>
      </w:tabs>
    </w:pPr>
  </w:style>
  <w:style w:type="character" w:customStyle="1" w:styleId="HeaderChar">
    <w:name w:val="Header Char"/>
    <w:basedOn w:val="DefaultParagraphFont"/>
    <w:link w:val="Header"/>
    <w:uiPriority w:val="99"/>
    <w:semiHidden/>
    <w:locked/>
    <w:rsid w:val="00387019"/>
    <w:rPr>
      <w:sz w:val="20"/>
      <w:szCs w:val="20"/>
    </w:rPr>
  </w:style>
  <w:style w:type="paragraph" w:customStyle="1" w:styleId="ET">
    <w:name w:val="ET"/>
    <w:basedOn w:val="Normal"/>
    <w:uiPriority w:val="99"/>
    <w:rsid w:val="00DE2486"/>
    <w:rPr>
      <w:b/>
      <w:bCs/>
      <w:caps/>
      <w:sz w:val="24"/>
      <w:szCs w:val="24"/>
    </w:rPr>
  </w:style>
  <w:style w:type="paragraph" w:customStyle="1" w:styleId="OR">
    <w:name w:val="OR"/>
    <w:basedOn w:val="ET"/>
    <w:uiPriority w:val="99"/>
    <w:rsid w:val="00DE2486"/>
    <w:pPr>
      <w:ind w:left="5670"/>
    </w:pPr>
    <w:rPr>
      <w:b w:val="0"/>
      <w:bCs w:val="0"/>
      <w:caps w:val="0"/>
    </w:rPr>
  </w:style>
  <w:style w:type="paragraph" w:customStyle="1" w:styleId="TI">
    <w:name w:val="TI"/>
    <w:basedOn w:val="OR"/>
    <w:uiPriority w:val="99"/>
    <w:rsid w:val="00DE2486"/>
    <w:pPr>
      <w:ind w:left="1701"/>
      <w:jc w:val="center"/>
    </w:pPr>
    <w:rPr>
      <w:caps/>
      <w:u w:val="single"/>
    </w:rPr>
  </w:style>
  <w:style w:type="paragraph" w:customStyle="1" w:styleId="P0">
    <w:name w:val="P0"/>
    <w:basedOn w:val="ET"/>
    <w:link w:val="P0Car"/>
    <w:uiPriority w:val="99"/>
    <w:rsid w:val="00DE2486"/>
    <w:pPr>
      <w:ind w:left="1701"/>
      <w:jc w:val="both"/>
    </w:pPr>
    <w:rPr>
      <w:b w:val="0"/>
      <w:bCs w:val="0"/>
      <w:caps w:val="0"/>
    </w:rPr>
  </w:style>
  <w:style w:type="paragraph" w:customStyle="1" w:styleId="EL">
    <w:name w:val="EL"/>
    <w:basedOn w:val="P0"/>
    <w:uiPriority w:val="99"/>
    <w:rsid w:val="00DE2486"/>
    <w:pPr>
      <w:spacing w:after="240"/>
      <w:ind w:firstLine="1418"/>
    </w:pPr>
  </w:style>
  <w:style w:type="paragraph" w:customStyle="1" w:styleId="IN">
    <w:name w:val="IN"/>
    <w:basedOn w:val="P0"/>
    <w:uiPriority w:val="99"/>
    <w:rsid w:val="00DE2486"/>
    <w:pPr>
      <w:ind w:left="0"/>
      <w:jc w:val="left"/>
    </w:pPr>
    <w:rPr>
      <w:i/>
      <w:iCs/>
      <w:sz w:val="16"/>
      <w:szCs w:val="16"/>
    </w:rPr>
  </w:style>
  <w:style w:type="paragraph" w:customStyle="1" w:styleId="RE">
    <w:name w:val="RE"/>
    <w:basedOn w:val="P0"/>
    <w:uiPriority w:val="99"/>
    <w:rsid w:val="00DE2486"/>
    <w:pPr>
      <w:ind w:left="0"/>
    </w:pPr>
  </w:style>
  <w:style w:type="paragraph" w:customStyle="1" w:styleId="PE">
    <w:name w:val="PE"/>
    <w:basedOn w:val="IN"/>
    <w:uiPriority w:val="99"/>
    <w:rsid w:val="00DE2486"/>
    <w:pPr>
      <w:keepNext/>
      <w:ind w:left="1701"/>
      <w:jc w:val="both"/>
    </w:pPr>
    <w:rPr>
      <w:i w:val="0"/>
      <w:iCs w:val="0"/>
      <w:sz w:val="24"/>
      <w:szCs w:val="24"/>
    </w:rPr>
  </w:style>
  <w:style w:type="paragraph" w:customStyle="1" w:styleId="PC">
    <w:name w:val="PC"/>
    <w:basedOn w:val="IN"/>
    <w:uiPriority w:val="99"/>
    <w:rsid w:val="00DE2486"/>
    <w:pPr>
      <w:spacing w:after="480"/>
      <w:ind w:left="2268" w:firstLine="1134"/>
      <w:jc w:val="both"/>
    </w:pPr>
    <w:rPr>
      <w:i w:val="0"/>
      <w:iCs w:val="0"/>
      <w:sz w:val="24"/>
      <w:szCs w:val="24"/>
    </w:rPr>
  </w:style>
  <w:style w:type="paragraph" w:customStyle="1" w:styleId="PS">
    <w:name w:val="PS"/>
    <w:basedOn w:val="IN"/>
    <w:link w:val="PSCar"/>
    <w:uiPriority w:val="99"/>
    <w:rsid w:val="00DE2486"/>
    <w:pPr>
      <w:spacing w:after="480"/>
      <w:ind w:left="1701" w:firstLine="1134"/>
      <w:jc w:val="both"/>
    </w:pPr>
    <w:rPr>
      <w:i w:val="0"/>
      <w:iCs w:val="0"/>
      <w:sz w:val="24"/>
      <w:szCs w:val="24"/>
    </w:rPr>
  </w:style>
  <w:style w:type="paragraph" w:customStyle="1" w:styleId="AR">
    <w:name w:val="AR"/>
    <w:basedOn w:val="IN"/>
    <w:uiPriority w:val="99"/>
    <w:rsid w:val="00DE2486"/>
    <w:pPr>
      <w:spacing w:before="720" w:after="720"/>
      <w:ind w:left="5103"/>
    </w:pPr>
    <w:rPr>
      <w:i w:val="0"/>
      <w:iCs w:val="0"/>
      <w:caps/>
      <w:sz w:val="24"/>
      <w:szCs w:val="24"/>
      <w:u w:val="single"/>
    </w:rPr>
  </w:style>
  <w:style w:type="paragraph" w:styleId="BodyText">
    <w:name w:val="Body Text"/>
    <w:basedOn w:val="Normal"/>
    <w:link w:val="BodyTextChar"/>
    <w:uiPriority w:val="99"/>
    <w:rsid w:val="00240D17"/>
    <w:pPr>
      <w:widowControl w:val="0"/>
      <w:overflowPunct w:val="0"/>
      <w:adjustRightInd w:val="0"/>
      <w:spacing w:after="120"/>
    </w:pPr>
  </w:style>
  <w:style w:type="character" w:customStyle="1" w:styleId="BodyTextChar">
    <w:name w:val="Body Text Char"/>
    <w:basedOn w:val="DefaultParagraphFont"/>
    <w:link w:val="BodyText"/>
    <w:uiPriority w:val="99"/>
    <w:semiHidden/>
    <w:locked/>
    <w:rsid w:val="00387019"/>
    <w:rPr>
      <w:sz w:val="20"/>
      <w:szCs w:val="20"/>
    </w:rPr>
  </w:style>
  <w:style w:type="character" w:customStyle="1" w:styleId="PSCar">
    <w:name w:val="PS Car"/>
    <w:link w:val="PS"/>
    <w:uiPriority w:val="99"/>
    <w:locked/>
    <w:rsid w:val="00240D17"/>
    <w:rPr>
      <w:sz w:val="24"/>
      <w:szCs w:val="24"/>
      <w:lang w:val="fr-FR" w:eastAsia="fr-FR"/>
    </w:rPr>
  </w:style>
  <w:style w:type="paragraph" w:customStyle="1" w:styleId="Style">
    <w:name w:val="Style"/>
    <w:basedOn w:val="Normal"/>
    <w:uiPriority w:val="99"/>
    <w:rsid w:val="00240D17"/>
    <w:pPr>
      <w:spacing w:after="160" w:line="240" w:lineRule="exact"/>
    </w:pPr>
    <w:rPr>
      <w:rFonts w:ascii="Tahoma" w:hAnsi="Tahoma" w:cs="Tahoma"/>
      <w:lang w:val="en-US" w:eastAsia="en-US"/>
    </w:rPr>
  </w:style>
  <w:style w:type="paragraph" w:styleId="BalloonText">
    <w:name w:val="Balloon Text"/>
    <w:basedOn w:val="Normal"/>
    <w:link w:val="BalloonTextChar"/>
    <w:uiPriority w:val="99"/>
    <w:semiHidden/>
    <w:rsid w:val="00387954"/>
    <w:rPr>
      <w:sz w:val="2"/>
      <w:szCs w:val="2"/>
    </w:rPr>
  </w:style>
  <w:style w:type="character" w:customStyle="1" w:styleId="BalloonTextChar">
    <w:name w:val="Balloon Text Char"/>
    <w:basedOn w:val="DefaultParagraphFont"/>
    <w:link w:val="BalloonText"/>
    <w:uiPriority w:val="99"/>
    <w:semiHidden/>
    <w:locked/>
    <w:rsid w:val="00387019"/>
    <w:rPr>
      <w:sz w:val="2"/>
      <w:szCs w:val="2"/>
    </w:rPr>
  </w:style>
  <w:style w:type="paragraph" w:customStyle="1" w:styleId="CarCar1CarCarCar">
    <w:name w:val="Car Car1 Car Car Car"/>
    <w:basedOn w:val="Normal"/>
    <w:uiPriority w:val="99"/>
    <w:rsid w:val="00594876"/>
    <w:pPr>
      <w:spacing w:after="160" w:line="240" w:lineRule="exact"/>
    </w:pPr>
    <w:rPr>
      <w:rFonts w:ascii="Tahoma" w:hAnsi="Tahoma" w:cs="Tahoma"/>
      <w:lang w:val="en-US" w:eastAsia="en-US"/>
    </w:rPr>
  </w:style>
  <w:style w:type="character" w:customStyle="1" w:styleId="P0Car">
    <w:name w:val="P0 Car"/>
    <w:link w:val="P0"/>
    <w:uiPriority w:val="99"/>
    <w:locked/>
    <w:rsid w:val="00594876"/>
    <w:rPr>
      <w:sz w:val="24"/>
      <w:szCs w:val="24"/>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TotalTime>
  <Pages>4</Pages>
  <Words>1023</Words>
  <Characters>5632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Arret - Cour des comptes - Communauté d'agglomération du plateau de Saclay - Appel d'un jugement de la chambre régionale des comptes d'Ile-de-France.</dc:title>
  <dc:subject>Arret - Cour des comptes - Communauté d'agglomération du plateau de Saclay - Appel d'un jugement de la chambre régionale des comptes d'Ile-de-France. 10/05/2012</dc:subject>
  <dc:creator>Cour des comptes - 10/05/2012</dc:creator>
  <cp:keywords>Arret - Cour des comptes - Communauté d'agglomération du plateau de Saclay - Appel d'un jugement de la chambre régionale des comptes d'Ile-de-France. 10/05/2012 - 63648</cp:keywords>
  <dc:description/>
  <cp:lastModifiedBy>mtlecroisey</cp:lastModifiedBy>
  <cp:revision>5</cp:revision>
  <cp:lastPrinted>2012-04-17T09:44:00Z</cp:lastPrinted>
  <dcterms:created xsi:type="dcterms:W3CDTF">2012-07-12T14:20:00Z</dcterms:created>
  <dcterms:modified xsi:type="dcterms:W3CDTF">2012-07-24T16:06:00Z</dcterms:modified>
</cp:coreProperties>
</file>