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3E1" w:rsidRPr="00631315" w:rsidRDefault="001863E1" w:rsidP="009948B1">
      <w:pPr>
        <w:jc w:val="both"/>
        <w:rPr>
          <w:b/>
          <w:bCs/>
          <w:caps/>
          <w:sz w:val="24"/>
          <w:szCs w:val="24"/>
        </w:rPr>
      </w:pPr>
      <w:r>
        <w:rPr>
          <w:b/>
          <w:bCs/>
          <w:caps/>
          <w:sz w:val="24"/>
          <w:szCs w:val="24"/>
        </w:rPr>
        <w:t xml:space="preserve">  </w:t>
      </w:r>
      <w:r w:rsidRPr="00631315">
        <w:rPr>
          <w:b/>
          <w:bCs/>
          <w:caps/>
          <w:sz w:val="24"/>
          <w:szCs w:val="24"/>
        </w:rPr>
        <w:t>COUR DES COMPTES</w:t>
      </w:r>
    </w:p>
    <w:p w:rsidR="001863E1" w:rsidRPr="00631315" w:rsidRDefault="001863E1" w:rsidP="009948B1">
      <w:pPr>
        <w:jc w:val="both"/>
        <w:rPr>
          <w:b/>
          <w:bCs/>
          <w:caps/>
          <w:sz w:val="24"/>
          <w:szCs w:val="24"/>
        </w:rPr>
      </w:pPr>
      <w:r w:rsidRPr="00631315">
        <w:rPr>
          <w:b/>
          <w:bCs/>
          <w:caps/>
          <w:sz w:val="24"/>
          <w:szCs w:val="24"/>
        </w:rPr>
        <w:t xml:space="preserve">               --------</w:t>
      </w:r>
    </w:p>
    <w:p w:rsidR="001863E1" w:rsidRPr="00631315" w:rsidRDefault="001863E1" w:rsidP="009948B1">
      <w:pPr>
        <w:jc w:val="both"/>
        <w:rPr>
          <w:b/>
          <w:bCs/>
          <w:caps/>
          <w:sz w:val="24"/>
          <w:szCs w:val="24"/>
        </w:rPr>
      </w:pPr>
      <w:r w:rsidRPr="00631315">
        <w:rPr>
          <w:b/>
          <w:bCs/>
          <w:caps/>
          <w:sz w:val="24"/>
          <w:szCs w:val="24"/>
        </w:rPr>
        <w:t>QUATRIEME CHAMBRE</w:t>
      </w:r>
    </w:p>
    <w:p w:rsidR="001863E1" w:rsidRPr="00631315" w:rsidRDefault="001863E1" w:rsidP="009948B1">
      <w:pPr>
        <w:jc w:val="both"/>
        <w:rPr>
          <w:b/>
          <w:bCs/>
          <w:caps/>
          <w:sz w:val="24"/>
          <w:szCs w:val="24"/>
        </w:rPr>
      </w:pPr>
      <w:r w:rsidRPr="00631315">
        <w:rPr>
          <w:b/>
          <w:bCs/>
          <w:caps/>
          <w:sz w:val="24"/>
          <w:szCs w:val="24"/>
        </w:rPr>
        <w:t xml:space="preserve">               --------</w:t>
      </w:r>
    </w:p>
    <w:p w:rsidR="001863E1" w:rsidRPr="00631315" w:rsidRDefault="001863E1" w:rsidP="009948B1">
      <w:pPr>
        <w:jc w:val="both"/>
        <w:rPr>
          <w:b/>
          <w:bCs/>
          <w:caps/>
          <w:sz w:val="24"/>
          <w:szCs w:val="24"/>
        </w:rPr>
      </w:pPr>
      <w:r>
        <w:rPr>
          <w:b/>
          <w:bCs/>
          <w:caps/>
          <w:sz w:val="24"/>
          <w:szCs w:val="24"/>
        </w:rPr>
        <w:t xml:space="preserve">  </w:t>
      </w:r>
      <w:r w:rsidRPr="00631315">
        <w:rPr>
          <w:b/>
          <w:bCs/>
          <w:caps/>
          <w:sz w:val="24"/>
          <w:szCs w:val="24"/>
        </w:rPr>
        <w:t>PREMIERE SECTION</w:t>
      </w:r>
    </w:p>
    <w:p w:rsidR="001863E1" w:rsidRPr="00B73833" w:rsidRDefault="001863E1" w:rsidP="00B73833">
      <w:pPr>
        <w:spacing w:after="120"/>
        <w:jc w:val="both"/>
        <w:rPr>
          <w:b/>
          <w:bCs/>
          <w:sz w:val="24"/>
          <w:szCs w:val="24"/>
        </w:rPr>
      </w:pPr>
      <w:r>
        <w:rPr>
          <w:sz w:val="24"/>
          <w:szCs w:val="24"/>
        </w:rPr>
        <w:tab/>
        <w:t xml:space="preserve">   </w:t>
      </w:r>
      <w:r w:rsidRPr="00B73833">
        <w:rPr>
          <w:b/>
          <w:bCs/>
          <w:sz w:val="24"/>
          <w:szCs w:val="24"/>
        </w:rPr>
        <w:t>--</w:t>
      </w:r>
      <w:r>
        <w:rPr>
          <w:b/>
          <w:bCs/>
          <w:sz w:val="24"/>
          <w:szCs w:val="24"/>
        </w:rPr>
        <w:t>-</w:t>
      </w:r>
      <w:r w:rsidRPr="00B73833">
        <w:rPr>
          <w:b/>
          <w:bCs/>
          <w:sz w:val="24"/>
          <w:szCs w:val="24"/>
        </w:rPr>
        <w:t>-----</w:t>
      </w:r>
    </w:p>
    <w:p w:rsidR="001863E1" w:rsidRPr="00B73833" w:rsidRDefault="001863E1" w:rsidP="009948B1">
      <w:pPr>
        <w:pStyle w:val="Heading1"/>
        <w:jc w:val="both"/>
        <w:rPr>
          <w:b w:val="0"/>
          <w:bCs w:val="0"/>
          <w:i/>
          <w:iCs/>
          <w:sz w:val="22"/>
          <w:szCs w:val="22"/>
        </w:rPr>
      </w:pPr>
      <w:r>
        <w:rPr>
          <w:i/>
          <w:iCs/>
        </w:rPr>
        <w:t xml:space="preserve">           </w:t>
      </w:r>
      <w:r w:rsidRPr="00B73833">
        <w:rPr>
          <w:i/>
          <w:iCs/>
          <w:sz w:val="22"/>
          <w:szCs w:val="22"/>
        </w:rPr>
        <w:t>Arrêt n° 63728</w:t>
      </w:r>
    </w:p>
    <w:p w:rsidR="001863E1" w:rsidRPr="00631315" w:rsidRDefault="001863E1" w:rsidP="009948B1">
      <w:pPr>
        <w:jc w:val="both"/>
      </w:pPr>
    </w:p>
    <w:p w:rsidR="001863E1" w:rsidRPr="00B73833" w:rsidRDefault="001863E1" w:rsidP="009948B1">
      <w:pPr>
        <w:ind w:left="4395"/>
        <w:jc w:val="both"/>
        <w:rPr>
          <w:caps/>
          <w:sz w:val="24"/>
          <w:szCs w:val="24"/>
        </w:rPr>
      </w:pPr>
      <w:r w:rsidRPr="00B73833">
        <w:rPr>
          <w:caps/>
          <w:sz w:val="24"/>
          <w:szCs w:val="24"/>
        </w:rPr>
        <w:t>Commune de ploumilliau</w:t>
      </w:r>
    </w:p>
    <w:p w:rsidR="001863E1" w:rsidRPr="00B73833" w:rsidRDefault="001863E1" w:rsidP="009948B1">
      <w:pPr>
        <w:ind w:left="4395"/>
        <w:jc w:val="both"/>
        <w:rPr>
          <w:caps/>
          <w:sz w:val="24"/>
          <w:szCs w:val="24"/>
        </w:rPr>
      </w:pPr>
      <w:r w:rsidRPr="00B73833">
        <w:rPr>
          <w:caps/>
          <w:sz w:val="24"/>
          <w:szCs w:val="24"/>
        </w:rPr>
        <w:t xml:space="preserve">(CôteS-d’ARMOR) </w:t>
      </w:r>
    </w:p>
    <w:p w:rsidR="001863E1" w:rsidRPr="00631315" w:rsidRDefault="001863E1" w:rsidP="009948B1">
      <w:pPr>
        <w:ind w:left="4395"/>
        <w:jc w:val="both"/>
        <w:rPr>
          <w:caps/>
          <w:sz w:val="24"/>
          <w:szCs w:val="24"/>
        </w:rPr>
      </w:pPr>
    </w:p>
    <w:p w:rsidR="001863E1" w:rsidRDefault="001863E1" w:rsidP="001B34F3">
      <w:pPr>
        <w:pStyle w:val="Heading2"/>
        <w:ind w:left="4395"/>
        <w:jc w:val="both"/>
      </w:pPr>
      <w:r w:rsidRPr="00631315">
        <w:t>Appel d’un jugement de la chambre régionale</w:t>
      </w:r>
    </w:p>
    <w:p w:rsidR="001863E1" w:rsidRDefault="001863E1" w:rsidP="001B34F3">
      <w:pPr>
        <w:pStyle w:val="Heading2"/>
        <w:ind w:left="4395"/>
        <w:jc w:val="both"/>
      </w:pPr>
      <w:r w:rsidRPr="00631315">
        <w:t xml:space="preserve">des comptes </w:t>
      </w:r>
      <w:r>
        <w:t>de Bretagne</w:t>
      </w:r>
    </w:p>
    <w:p w:rsidR="001863E1" w:rsidRPr="00631315" w:rsidRDefault="001863E1" w:rsidP="001B34F3">
      <w:pPr>
        <w:pStyle w:val="Heading2"/>
        <w:ind w:left="4395"/>
        <w:jc w:val="both"/>
      </w:pPr>
      <w:r w:rsidRPr="00631315">
        <w:t>rendu</w:t>
      </w:r>
      <w:r>
        <w:t xml:space="preserve"> </w:t>
      </w:r>
      <w:r w:rsidRPr="00631315">
        <w:t xml:space="preserve">le </w:t>
      </w:r>
      <w:r>
        <w:t>16 novembre 2010</w:t>
      </w:r>
    </w:p>
    <w:p w:rsidR="001863E1" w:rsidRPr="00631315" w:rsidRDefault="001863E1" w:rsidP="009948B1">
      <w:pPr>
        <w:ind w:left="4395"/>
        <w:jc w:val="both"/>
        <w:rPr>
          <w:sz w:val="24"/>
          <w:szCs w:val="24"/>
        </w:rPr>
      </w:pPr>
    </w:p>
    <w:p w:rsidR="001863E1" w:rsidRPr="00631315" w:rsidRDefault="001863E1" w:rsidP="009948B1">
      <w:pPr>
        <w:pStyle w:val="Heading4"/>
        <w:ind w:left="4395"/>
      </w:pPr>
      <w:r w:rsidRPr="00631315">
        <w:t>Rapport n</w:t>
      </w:r>
      <w:r>
        <w:t>° 2012-023-0</w:t>
      </w:r>
    </w:p>
    <w:p w:rsidR="001863E1" w:rsidRPr="00631315" w:rsidRDefault="001863E1" w:rsidP="009948B1">
      <w:pPr>
        <w:ind w:left="4395"/>
        <w:jc w:val="both"/>
        <w:rPr>
          <w:sz w:val="24"/>
          <w:szCs w:val="24"/>
        </w:rPr>
      </w:pPr>
    </w:p>
    <w:p w:rsidR="001863E1" w:rsidRPr="00631315" w:rsidRDefault="001863E1" w:rsidP="009948B1">
      <w:pPr>
        <w:ind w:left="4395"/>
        <w:jc w:val="both"/>
        <w:rPr>
          <w:sz w:val="24"/>
          <w:szCs w:val="24"/>
        </w:rPr>
      </w:pPr>
      <w:r w:rsidRPr="00631315">
        <w:rPr>
          <w:sz w:val="24"/>
          <w:szCs w:val="24"/>
        </w:rPr>
        <w:t xml:space="preserve">Audience publique et délibéré du </w:t>
      </w:r>
      <w:r>
        <w:rPr>
          <w:sz w:val="24"/>
          <w:szCs w:val="24"/>
        </w:rPr>
        <w:t>12 avril 2012</w:t>
      </w:r>
    </w:p>
    <w:p w:rsidR="001863E1" w:rsidRPr="00631315" w:rsidRDefault="001863E1" w:rsidP="009948B1">
      <w:pPr>
        <w:ind w:left="4395"/>
        <w:jc w:val="both"/>
        <w:rPr>
          <w:sz w:val="24"/>
          <w:szCs w:val="24"/>
        </w:rPr>
      </w:pPr>
    </w:p>
    <w:p w:rsidR="001863E1" w:rsidRDefault="001863E1" w:rsidP="00501E27">
      <w:pPr>
        <w:spacing w:after="480"/>
        <w:ind w:left="4394"/>
        <w:jc w:val="both"/>
        <w:rPr>
          <w:sz w:val="24"/>
          <w:szCs w:val="24"/>
        </w:rPr>
      </w:pPr>
      <w:r w:rsidRPr="00631315">
        <w:rPr>
          <w:sz w:val="24"/>
          <w:szCs w:val="24"/>
        </w:rPr>
        <w:t xml:space="preserve">Lecture publique du </w:t>
      </w:r>
      <w:r>
        <w:rPr>
          <w:sz w:val="24"/>
          <w:szCs w:val="24"/>
        </w:rPr>
        <w:t>10 mai 2012</w:t>
      </w:r>
    </w:p>
    <w:p w:rsidR="001863E1" w:rsidRPr="00690D05" w:rsidRDefault="001863E1" w:rsidP="00BB5F32">
      <w:pPr>
        <w:pStyle w:val="P0"/>
        <w:spacing w:after="240"/>
        <w:ind w:left="540" w:right="-284" w:firstLine="594"/>
        <w:jc w:val="center"/>
      </w:pPr>
      <w:r w:rsidRPr="00690D05">
        <w:t>REPUBLIQUE FRANÇAISE</w:t>
      </w:r>
    </w:p>
    <w:p w:rsidR="001863E1" w:rsidRPr="00690D05" w:rsidRDefault="001863E1" w:rsidP="000F47FF">
      <w:pPr>
        <w:pStyle w:val="P0"/>
        <w:spacing w:after="480"/>
        <w:ind w:left="539" w:right="-284" w:firstLine="595"/>
        <w:jc w:val="center"/>
      </w:pPr>
      <w:r w:rsidRPr="00690D05">
        <w:t>AU NOM DU PEUPLE FRANÇAIS</w:t>
      </w:r>
    </w:p>
    <w:p w:rsidR="001863E1" w:rsidRPr="00690D05" w:rsidRDefault="001863E1" w:rsidP="00501E27">
      <w:pPr>
        <w:pStyle w:val="P0"/>
        <w:spacing w:after="480"/>
        <w:ind w:left="539" w:right="-284" w:firstLine="595"/>
        <w:jc w:val="center"/>
      </w:pPr>
      <w:r w:rsidRPr="00690D05">
        <w:t>LA COUR DES COMPTES a rendu l’arrêt suivant :</w:t>
      </w:r>
    </w:p>
    <w:p w:rsidR="001863E1" w:rsidRPr="00B73833" w:rsidRDefault="001863E1" w:rsidP="00B73833">
      <w:pPr>
        <w:pStyle w:val="PS"/>
        <w:ind w:left="0"/>
        <w:rPr>
          <w:rFonts w:ascii="Times New Roman" w:hAnsi="Times New Roman" w:cs="Times New Roman"/>
          <w:lang w:val="pt-BR"/>
        </w:rPr>
      </w:pPr>
      <w:r w:rsidRPr="00B73833">
        <w:rPr>
          <w:rFonts w:ascii="Times New Roman" w:hAnsi="Times New Roman" w:cs="Times New Roman"/>
          <w:lang w:val="pt-BR"/>
        </w:rPr>
        <w:t>LA COUR,</w:t>
      </w:r>
    </w:p>
    <w:p w:rsidR="001863E1" w:rsidRPr="00631315" w:rsidRDefault="001863E1" w:rsidP="00CC6F21">
      <w:pPr>
        <w:pStyle w:val="PS"/>
        <w:ind w:left="0"/>
        <w:rPr>
          <w:rFonts w:ascii="Times New Roman" w:hAnsi="Times New Roman" w:cs="Times New Roman"/>
        </w:rPr>
      </w:pPr>
      <w:r w:rsidRPr="00631315">
        <w:rPr>
          <w:rFonts w:ascii="Times New Roman" w:hAnsi="Times New Roman" w:cs="Times New Roman"/>
        </w:rPr>
        <w:t xml:space="preserve">Vu la requête, enregistrée le </w:t>
      </w:r>
      <w:r>
        <w:rPr>
          <w:rFonts w:ascii="Times New Roman" w:hAnsi="Times New Roman" w:cs="Times New Roman"/>
        </w:rPr>
        <w:t>8 février 2011</w:t>
      </w:r>
      <w:r w:rsidRPr="00631315">
        <w:rPr>
          <w:rFonts w:ascii="Times New Roman" w:hAnsi="Times New Roman" w:cs="Times New Roman"/>
        </w:rPr>
        <w:t xml:space="preserve"> au greffe de la chambre </w:t>
      </w:r>
      <w:r>
        <w:rPr>
          <w:rFonts w:ascii="Times New Roman" w:hAnsi="Times New Roman" w:cs="Times New Roman"/>
        </w:rPr>
        <w:t>de Bretagne</w:t>
      </w:r>
      <w:r w:rsidRPr="00631315">
        <w:rPr>
          <w:rFonts w:ascii="Times New Roman" w:hAnsi="Times New Roman" w:cs="Times New Roman"/>
        </w:rPr>
        <w:t>, par laquelle M.</w:t>
      </w:r>
      <w:r>
        <w:rPr>
          <w:rFonts w:ascii="Times New Roman" w:hAnsi="Times New Roman" w:cs="Times New Roman"/>
        </w:rPr>
        <w:t> </w:t>
      </w:r>
      <w:r w:rsidRPr="0005418D">
        <w:rPr>
          <w:rFonts w:ascii="Times New Roman" w:hAnsi="Times New Roman" w:cs="Times New Roman"/>
          <w:caps/>
        </w:rPr>
        <w:t>X</w:t>
      </w:r>
      <w:r>
        <w:t xml:space="preserve">, comptable de la </w:t>
      </w:r>
      <w:r w:rsidRPr="00B73833">
        <w:rPr>
          <w:caps/>
        </w:rPr>
        <w:t>commune de</w:t>
      </w:r>
      <w:r>
        <w:t xml:space="preserve"> </w:t>
      </w:r>
      <w:r w:rsidRPr="0005418D">
        <w:rPr>
          <w:caps/>
        </w:rPr>
        <w:t>Ploumilliau</w:t>
      </w:r>
      <w:r w:rsidRPr="00631315">
        <w:rPr>
          <w:rFonts w:ascii="Times New Roman" w:hAnsi="Times New Roman" w:cs="Times New Roman"/>
        </w:rPr>
        <w:t xml:space="preserve"> </w:t>
      </w:r>
      <w:r>
        <w:rPr>
          <w:rFonts w:ascii="Times New Roman" w:hAnsi="Times New Roman" w:cs="Times New Roman"/>
        </w:rPr>
        <w:t>du 1</w:t>
      </w:r>
      <w:r w:rsidRPr="00C72B39">
        <w:rPr>
          <w:rFonts w:ascii="Times New Roman" w:hAnsi="Times New Roman" w:cs="Times New Roman"/>
          <w:vertAlign w:val="superscript"/>
        </w:rPr>
        <w:t>er</w:t>
      </w:r>
      <w:r>
        <w:rPr>
          <w:rFonts w:ascii="Times New Roman" w:hAnsi="Times New Roman" w:cs="Times New Roman"/>
          <w:vertAlign w:val="superscript"/>
        </w:rPr>
        <w:t> </w:t>
      </w:r>
      <w:r>
        <w:rPr>
          <w:rFonts w:ascii="Times New Roman" w:hAnsi="Times New Roman" w:cs="Times New Roman"/>
        </w:rPr>
        <w:t xml:space="preserve">septembre 2001 au 2 septembre 2007, </w:t>
      </w:r>
      <w:r w:rsidRPr="00631315">
        <w:rPr>
          <w:rFonts w:ascii="Times New Roman" w:hAnsi="Times New Roman" w:cs="Times New Roman"/>
        </w:rPr>
        <w:t xml:space="preserve">a élevé appel du jugement </w:t>
      </w:r>
      <w:r>
        <w:rPr>
          <w:rFonts w:ascii="Times New Roman" w:hAnsi="Times New Roman" w:cs="Times New Roman"/>
        </w:rPr>
        <w:t xml:space="preserve">n° 2010-120 </w:t>
      </w:r>
      <w:r w:rsidRPr="00631315">
        <w:rPr>
          <w:rFonts w:ascii="Times New Roman" w:hAnsi="Times New Roman" w:cs="Times New Roman"/>
        </w:rPr>
        <w:t>du</w:t>
      </w:r>
      <w:r>
        <w:rPr>
          <w:rFonts w:ascii="Times New Roman" w:hAnsi="Times New Roman" w:cs="Times New Roman"/>
        </w:rPr>
        <w:t xml:space="preserve"> 16 novembre 2010, </w:t>
      </w:r>
      <w:r w:rsidRPr="00631315">
        <w:rPr>
          <w:rFonts w:ascii="Times New Roman" w:hAnsi="Times New Roman" w:cs="Times New Roman"/>
        </w:rPr>
        <w:t>par lequel ladite chambre l’a constitué débiteur de</w:t>
      </w:r>
      <w:r>
        <w:rPr>
          <w:rFonts w:ascii="Times New Roman" w:hAnsi="Times New Roman" w:cs="Times New Roman"/>
        </w:rPr>
        <w:t xml:space="preserve"> la commune</w:t>
      </w:r>
      <w:r w:rsidRPr="00631315">
        <w:rPr>
          <w:rFonts w:ascii="Times New Roman" w:hAnsi="Times New Roman" w:cs="Times New Roman"/>
        </w:rPr>
        <w:t xml:space="preserve"> </w:t>
      </w:r>
      <w:r>
        <w:rPr>
          <w:rFonts w:ascii="Times New Roman" w:hAnsi="Times New Roman" w:cs="Times New Roman"/>
        </w:rPr>
        <w:t>pour</w:t>
      </w:r>
      <w:r>
        <w:t xml:space="preserve"> 93 014,67 € augmentés</w:t>
      </w:r>
      <w:r w:rsidRPr="00CC27D0">
        <w:t xml:space="preserve"> des intérêts </w:t>
      </w:r>
      <w:r>
        <w:t xml:space="preserve">de droit </w:t>
      </w:r>
      <w:r w:rsidRPr="00CC27D0">
        <w:t xml:space="preserve">à compter du </w:t>
      </w:r>
      <w:r>
        <w:t>15 février 2010 ;</w:t>
      </w:r>
    </w:p>
    <w:p w:rsidR="001863E1" w:rsidRPr="00631315" w:rsidRDefault="001863E1" w:rsidP="00CC6F21">
      <w:pPr>
        <w:spacing w:after="480"/>
        <w:ind w:firstLine="1134"/>
        <w:jc w:val="both"/>
        <w:rPr>
          <w:sz w:val="24"/>
          <w:szCs w:val="24"/>
        </w:rPr>
      </w:pPr>
      <w:r w:rsidRPr="00631315">
        <w:rPr>
          <w:sz w:val="24"/>
          <w:szCs w:val="24"/>
        </w:rPr>
        <w:t xml:space="preserve">Vu le réquisitoire </w:t>
      </w:r>
      <w:r>
        <w:rPr>
          <w:sz w:val="24"/>
          <w:szCs w:val="24"/>
        </w:rPr>
        <w:t xml:space="preserve">n° 2011-29 </w:t>
      </w:r>
      <w:r w:rsidRPr="00631315">
        <w:rPr>
          <w:sz w:val="24"/>
          <w:szCs w:val="24"/>
        </w:rPr>
        <w:t xml:space="preserve">du Procureur général, du </w:t>
      </w:r>
      <w:r>
        <w:rPr>
          <w:sz w:val="24"/>
          <w:szCs w:val="24"/>
        </w:rPr>
        <w:t>22 mars 2011</w:t>
      </w:r>
      <w:r w:rsidRPr="00631315">
        <w:rPr>
          <w:sz w:val="24"/>
          <w:szCs w:val="24"/>
        </w:rPr>
        <w:t>, transmettant la requête précitée ;</w:t>
      </w:r>
    </w:p>
    <w:p w:rsidR="001863E1" w:rsidRPr="00631315" w:rsidRDefault="001863E1" w:rsidP="00C92E6F">
      <w:pPr>
        <w:pStyle w:val="PS"/>
        <w:ind w:left="0"/>
        <w:rPr>
          <w:rFonts w:ascii="Times New Roman" w:hAnsi="Times New Roman" w:cs="Times New Roman"/>
        </w:rPr>
      </w:pPr>
      <w:r w:rsidRPr="00631315">
        <w:rPr>
          <w:rFonts w:ascii="Times New Roman" w:hAnsi="Times New Roman" w:cs="Times New Roman"/>
        </w:rPr>
        <w:t>Vu les pièces de la procédure suivie en première instanc</w:t>
      </w:r>
      <w:r>
        <w:rPr>
          <w:rFonts w:ascii="Times New Roman" w:hAnsi="Times New Roman" w:cs="Times New Roman"/>
        </w:rPr>
        <w:t>e, notamment le réquisitoire du procureur financier n° 2010-90 du 9 février 2010, la notification de la clôture du contrôle après le dépôt du rapport d’instruction du 11 juin 2010 ;</w:t>
      </w:r>
    </w:p>
    <w:p w:rsidR="001863E1" w:rsidRDefault="001863E1" w:rsidP="00CE2EE0">
      <w:pPr>
        <w:pStyle w:val="PS"/>
        <w:spacing w:after="360"/>
        <w:ind w:left="0"/>
        <w:rPr>
          <w:rFonts w:ascii="Times New Roman" w:hAnsi="Times New Roman" w:cs="Times New Roman"/>
        </w:rPr>
      </w:pPr>
      <w:r w:rsidRPr="00631315">
        <w:rPr>
          <w:rFonts w:ascii="Times New Roman" w:hAnsi="Times New Roman" w:cs="Times New Roman"/>
        </w:rPr>
        <w:t>Vu l’article 60 de la loi de finances n°</w:t>
      </w:r>
      <w:r>
        <w:rPr>
          <w:rFonts w:ascii="Times New Roman" w:hAnsi="Times New Roman" w:cs="Times New Roman"/>
        </w:rPr>
        <w:t> </w:t>
      </w:r>
      <w:r w:rsidRPr="00631315">
        <w:rPr>
          <w:rFonts w:ascii="Times New Roman" w:hAnsi="Times New Roman" w:cs="Times New Roman"/>
        </w:rPr>
        <w:t>63-156 du 23 février 1963 modifiée ;</w:t>
      </w:r>
    </w:p>
    <w:p w:rsidR="001863E1" w:rsidRPr="00631315" w:rsidRDefault="001863E1" w:rsidP="009948B1">
      <w:pPr>
        <w:pStyle w:val="PS"/>
        <w:ind w:left="0"/>
        <w:rPr>
          <w:rFonts w:ascii="Times New Roman" w:hAnsi="Times New Roman" w:cs="Times New Roman"/>
        </w:rPr>
      </w:pPr>
      <w:r w:rsidRPr="00631315">
        <w:rPr>
          <w:rFonts w:ascii="Times New Roman" w:hAnsi="Times New Roman" w:cs="Times New Roman"/>
        </w:rPr>
        <w:t>Vu le décret n°</w:t>
      </w:r>
      <w:r>
        <w:rPr>
          <w:rFonts w:ascii="Times New Roman" w:hAnsi="Times New Roman" w:cs="Times New Roman"/>
        </w:rPr>
        <w:t> </w:t>
      </w:r>
      <w:r w:rsidRPr="00631315">
        <w:rPr>
          <w:rFonts w:ascii="Times New Roman" w:hAnsi="Times New Roman" w:cs="Times New Roman"/>
        </w:rPr>
        <w:t>62-1587 du 29 décembre 1962 modifié portant règlement général sur la comptabilité publique ;</w:t>
      </w:r>
    </w:p>
    <w:p w:rsidR="001863E1" w:rsidRDefault="001863E1" w:rsidP="009948B1">
      <w:pPr>
        <w:pStyle w:val="PS"/>
        <w:ind w:left="0"/>
        <w:rPr>
          <w:rFonts w:ascii="Times New Roman" w:hAnsi="Times New Roman" w:cs="Times New Roman"/>
        </w:rPr>
      </w:pPr>
      <w:r w:rsidRPr="00631315">
        <w:rPr>
          <w:rFonts w:ascii="Times New Roman" w:hAnsi="Times New Roman" w:cs="Times New Roman"/>
        </w:rPr>
        <w:t>Vu le code des juridictions financières ;</w:t>
      </w:r>
    </w:p>
    <w:p w:rsidR="001863E1" w:rsidRPr="00631315" w:rsidRDefault="001863E1" w:rsidP="00B73833">
      <w:pPr>
        <w:pStyle w:val="PS"/>
        <w:ind w:left="0"/>
        <w:rPr>
          <w:rFonts w:ascii="Times New Roman" w:hAnsi="Times New Roman" w:cs="Times New Roman"/>
        </w:rPr>
      </w:pPr>
      <w:r>
        <w:rPr>
          <w:rFonts w:ascii="Times New Roman" w:hAnsi="Times New Roman" w:cs="Times New Roman"/>
        </w:rPr>
        <w:t>Vu le mémoire en défense du conseil de la commune de Ploumilliau transmis à la Cour le 29 juin 2011 ;</w:t>
      </w:r>
    </w:p>
    <w:p w:rsidR="001863E1" w:rsidRPr="00631315" w:rsidRDefault="001863E1" w:rsidP="00B73833">
      <w:pPr>
        <w:pStyle w:val="PS"/>
        <w:ind w:left="0"/>
        <w:rPr>
          <w:rFonts w:ascii="Times New Roman" w:hAnsi="Times New Roman" w:cs="Times New Roman"/>
        </w:rPr>
      </w:pPr>
      <w:r w:rsidRPr="00631315">
        <w:rPr>
          <w:rFonts w:ascii="Times New Roman" w:hAnsi="Times New Roman" w:cs="Times New Roman"/>
        </w:rPr>
        <w:t xml:space="preserve">Vu le rapport de M. </w:t>
      </w:r>
      <w:r w:rsidRPr="00B73833">
        <w:rPr>
          <w:rFonts w:ascii="Times New Roman" w:hAnsi="Times New Roman" w:cs="Times New Roman"/>
        </w:rPr>
        <w:t>Mi</w:t>
      </w:r>
      <w:r>
        <w:rPr>
          <w:rFonts w:ascii="Times New Roman" w:hAnsi="Times New Roman" w:cs="Times New Roman"/>
        </w:rPr>
        <w:t>chelet</w:t>
      </w:r>
      <w:r w:rsidRPr="00631315">
        <w:rPr>
          <w:rFonts w:ascii="Times New Roman" w:hAnsi="Times New Roman" w:cs="Times New Roman"/>
        </w:rPr>
        <w:t>, conseiller référendaire ;</w:t>
      </w:r>
    </w:p>
    <w:p w:rsidR="001863E1" w:rsidRPr="00631315" w:rsidRDefault="001863E1" w:rsidP="00B73833">
      <w:pPr>
        <w:pStyle w:val="PS"/>
        <w:ind w:left="0"/>
        <w:rPr>
          <w:rFonts w:ascii="Times New Roman" w:hAnsi="Times New Roman" w:cs="Times New Roman"/>
        </w:rPr>
      </w:pPr>
      <w:r w:rsidRPr="00631315">
        <w:rPr>
          <w:rFonts w:ascii="Times New Roman" w:hAnsi="Times New Roman" w:cs="Times New Roman"/>
        </w:rPr>
        <w:t>Vu les conclusions n°</w:t>
      </w:r>
      <w:r>
        <w:rPr>
          <w:rFonts w:ascii="Times New Roman" w:hAnsi="Times New Roman" w:cs="Times New Roman"/>
        </w:rPr>
        <w:t> 112</w:t>
      </w:r>
      <w:r w:rsidRPr="00631315">
        <w:rPr>
          <w:rFonts w:ascii="Times New Roman" w:hAnsi="Times New Roman" w:cs="Times New Roman"/>
        </w:rPr>
        <w:t xml:space="preserve"> du Procureur général </w:t>
      </w:r>
      <w:r>
        <w:rPr>
          <w:rFonts w:ascii="Times New Roman" w:hAnsi="Times New Roman" w:cs="Times New Roman"/>
        </w:rPr>
        <w:t xml:space="preserve">du 16 février 2012 </w:t>
      </w:r>
      <w:r w:rsidRPr="00631315">
        <w:rPr>
          <w:rFonts w:ascii="Times New Roman" w:hAnsi="Times New Roman" w:cs="Times New Roman"/>
        </w:rPr>
        <w:t>;</w:t>
      </w:r>
    </w:p>
    <w:p w:rsidR="001863E1" w:rsidRPr="00631315" w:rsidRDefault="001863E1" w:rsidP="003C0EDF">
      <w:pPr>
        <w:pStyle w:val="PS"/>
        <w:ind w:left="0"/>
        <w:rPr>
          <w:rFonts w:ascii="Times New Roman" w:hAnsi="Times New Roman" w:cs="Times New Roman"/>
        </w:rPr>
      </w:pPr>
      <w:r w:rsidRPr="00631315">
        <w:rPr>
          <w:rFonts w:ascii="Times New Roman" w:hAnsi="Times New Roman" w:cs="Times New Roman"/>
        </w:rPr>
        <w:t>Entendu, lors de l’audience publique de ce jour, M.</w:t>
      </w:r>
      <w:r>
        <w:rPr>
          <w:rFonts w:ascii="Times New Roman" w:hAnsi="Times New Roman" w:cs="Times New Roman"/>
        </w:rPr>
        <w:t> </w:t>
      </w:r>
      <w:r w:rsidRPr="00B73833">
        <w:rPr>
          <w:rFonts w:ascii="Times New Roman" w:hAnsi="Times New Roman" w:cs="Times New Roman"/>
        </w:rPr>
        <w:t>Michelet</w:t>
      </w:r>
      <w:r w:rsidRPr="00631315">
        <w:rPr>
          <w:rFonts w:ascii="Times New Roman" w:hAnsi="Times New Roman" w:cs="Times New Roman"/>
        </w:rPr>
        <w:t>, en son rapport, M.</w:t>
      </w:r>
      <w:r>
        <w:rPr>
          <w:rFonts w:ascii="Times New Roman" w:hAnsi="Times New Roman" w:cs="Times New Roman"/>
        </w:rPr>
        <w:t> Perrin</w:t>
      </w:r>
      <w:r w:rsidRPr="00631315">
        <w:rPr>
          <w:rFonts w:ascii="Times New Roman" w:hAnsi="Times New Roman" w:cs="Times New Roman"/>
        </w:rPr>
        <w:t xml:space="preserve">, avocat général, en </w:t>
      </w:r>
      <w:r>
        <w:rPr>
          <w:rFonts w:ascii="Times New Roman" w:hAnsi="Times New Roman" w:cs="Times New Roman"/>
        </w:rPr>
        <w:t>l</w:t>
      </w:r>
      <w:r w:rsidRPr="00631315">
        <w:rPr>
          <w:rFonts w:ascii="Times New Roman" w:hAnsi="Times New Roman" w:cs="Times New Roman"/>
        </w:rPr>
        <w:t>es conclusions</w:t>
      </w:r>
      <w:r>
        <w:rPr>
          <w:rFonts w:ascii="Times New Roman" w:hAnsi="Times New Roman" w:cs="Times New Roman"/>
        </w:rPr>
        <w:t xml:space="preserve"> du Parquet</w:t>
      </w:r>
      <w:r w:rsidRPr="00631315">
        <w:rPr>
          <w:rFonts w:ascii="Times New Roman" w:hAnsi="Times New Roman" w:cs="Times New Roman"/>
        </w:rPr>
        <w:t>, l’appelant, informé de l’audience</w:t>
      </w:r>
      <w:r>
        <w:rPr>
          <w:rFonts w:ascii="Times New Roman" w:hAnsi="Times New Roman" w:cs="Times New Roman"/>
        </w:rPr>
        <w:t>,</w:t>
      </w:r>
      <w:r w:rsidRPr="00631315">
        <w:rPr>
          <w:rFonts w:ascii="Times New Roman" w:hAnsi="Times New Roman" w:cs="Times New Roman"/>
          <w:i/>
          <w:iCs/>
        </w:rPr>
        <w:t xml:space="preserve"> </w:t>
      </w:r>
      <w:r w:rsidRPr="0005418D">
        <w:rPr>
          <w:rFonts w:ascii="Times New Roman" w:hAnsi="Times New Roman" w:cs="Times New Roman"/>
        </w:rPr>
        <w:t xml:space="preserve">n’étant pas </w:t>
      </w:r>
      <w:r>
        <w:rPr>
          <w:rFonts w:ascii="Times New Roman" w:hAnsi="Times New Roman" w:cs="Times New Roman"/>
        </w:rPr>
        <w:t xml:space="preserve">ni </w:t>
      </w:r>
      <w:r w:rsidRPr="0005418D">
        <w:rPr>
          <w:rFonts w:ascii="Times New Roman" w:hAnsi="Times New Roman" w:cs="Times New Roman"/>
        </w:rPr>
        <w:t>présent</w:t>
      </w:r>
      <w:r>
        <w:rPr>
          <w:rFonts w:ascii="Times New Roman" w:hAnsi="Times New Roman" w:cs="Times New Roman"/>
        </w:rPr>
        <w:t xml:space="preserve"> ni représenté</w:t>
      </w:r>
      <w:r w:rsidRPr="00631315">
        <w:rPr>
          <w:rFonts w:ascii="Times New Roman" w:hAnsi="Times New Roman" w:cs="Times New Roman"/>
          <w:i/>
          <w:iCs/>
        </w:rPr>
        <w:t xml:space="preserve"> </w:t>
      </w:r>
      <w:r w:rsidRPr="00631315">
        <w:rPr>
          <w:rFonts w:ascii="Times New Roman" w:hAnsi="Times New Roman" w:cs="Times New Roman"/>
        </w:rPr>
        <w:t>;</w:t>
      </w:r>
    </w:p>
    <w:p w:rsidR="001863E1" w:rsidRPr="00631315" w:rsidRDefault="001863E1" w:rsidP="007F6B4A">
      <w:pPr>
        <w:pStyle w:val="PS"/>
        <w:ind w:left="0"/>
        <w:rPr>
          <w:rFonts w:ascii="Times New Roman" w:hAnsi="Times New Roman" w:cs="Times New Roman"/>
        </w:rPr>
      </w:pPr>
      <w:r>
        <w:rPr>
          <w:rFonts w:ascii="Times New Roman" w:hAnsi="Times New Roman" w:cs="Times New Roman"/>
        </w:rPr>
        <w:t>E</w:t>
      </w:r>
      <w:r w:rsidRPr="00631315">
        <w:rPr>
          <w:rFonts w:ascii="Times New Roman" w:hAnsi="Times New Roman" w:cs="Times New Roman"/>
        </w:rPr>
        <w:t>ntendu, en délibéré, M</w:t>
      </w:r>
      <w:r>
        <w:rPr>
          <w:rFonts w:ascii="Times New Roman" w:hAnsi="Times New Roman" w:cs="Times New Roman"/>
        </w:rPr>
        <w:t>me Démier</w:t>
      </w:r>
      <w:r w:rsidRPr="00631315">
        <w:rPr>
          <w:rFonts w:ascii="Times New Roman" w:hAnsi="Times New Roman" w:cs="Times New Roman"/>
        </w:rPr>
        <w:t xml:space="preserve">, </w:t>
      </w:r>
      <w:r>
        <w:rPr>
          <w:rFonts w:ascii="Times New Roman" w:hAnsi="Times New Roman" w:cs="Times New Roman"/>
        </w:rPr>
        <w:t>conseillère maître</w:t>
      </w:r>
      <w:r w:rsidRPr="00631315">
        <w:rPr>
          <w:rFonts w:ascii="Times New Roman" w:hAnsi="Times New Roman" w:cs="Times New Roman"/>
        </w:rPr>
        <w:t>, en ses observations ;</w:t>
      </w:r>
    </w:p>
    <w:p w:rsidR="001863E1" w:rsidRPr="00631315" w:rsidRDefault="001863E1" w:rsidP="009F5AB9">
      <w:pPr>
        <w:pStyle w:val="ps0"/>
        <w:spacing w:before="0" w:beforeAutospacing="0" w:after="480" w:afterAutospacing="0"/>
        <w:jc w:val="both"/>
      </w:pPr>
      <w:r w:rsidRPr="00631315">
        <w:rPr>
          <w:u w:val="single"/>
        </w:rPr>
        <w:t>Sur la recevabilité</w:t>
      </w:r>
      <w:r w:rsidRPr="00631315">
        <w:t xml:space="preserve"> :</w:t>
      </w:r>
    </w:p>
    <w:p w:rsidR="001863E1" w:rsidRPr="00631315" w:rsidRDefault="001863E1" w:rsidP="003C0EDF">
      <w:pPr>
        <w:pStyle w:val="ps0"/>
        <w:spacing w:before="0" w:beforeAutospacing="0" w:after="480" w:afterAutospacing="0"/>
        <w:ind w:firstLine="1134"/>
        <w:jc w:val="both"/>
      </w:pPr>
      <w:r w:rsidRPr="00631315">
        <w:t>Attendu que M.</w:t>
      </w:r>
      <w:r>
        <w:t> </w:t>
      </w:r>
      <w:r w:rsidRPr="007F6B4A">
        <w:t>X</w:t>
      </w:r>
      <w:r w:rsidRPr="00631315">
        <w:t xml:space="preserve">, comptable constitué en débet par le jugement susvisé, a qualité et intérêt à en relever appel ; </w:t>
      </w:r>
    </w:p>
    <w:p w:rsidR="001863E1" w:rsidRDefault="001863E1" w:rsidP="003C0EDF">
      <w:pPr>
        <w:pStyle w:val="alina-western"/>
        <w:spacing w:before="0" w:after="480"/>
        <w:ind w:firstLine="1134"/>
        <w:rPr>
          <w:color w:val="auto"/>
        </w:rPr>
      </w:pPr>
      <w:r w:rsidRPr="00FE5E70">
        <w:rPr>
          <w:color w:val="auto"/>
        </w:rPr>
        <w:t xml:space="preserve">Attendu que la requête ne comprend pas une copie du jugement attaqué mais que </w:t>
      </w:r>
      <w:r>
        <w:rPr>
          <w:color w:val="auto"/>
        </w:rPr>
        <w:t xml:space="preserve">le code des juridictions financières </w:t>
      </w:r>
      <w:r w:rsidRPr="00FE5E70">
        <w:rPr>
          <w:color w:val="auto"/>
        </w:rPr>
        <w:t xml:space="preserve">n’en fait pas un motif de nullité ; </w:t>
      </w:r>
      <w:r>
        <w:rPr>
          <w:color w:val="auto"/>
        </w:rPr>
        <w:t xml:space="preserve">que cette </w:t>
      </w:r>
      <w:r w:rsidRPr="00FE5E70">
        <w:rPr>
          <w:color w:val="auto"/>
        </w:rPr>
        <w:t>règle de forme n’entraîne la nullité lorsqu’elle fait grief à celui qui l’invoque ;</w:t>
      </w:r>
    </w:p>
    <w:p w:rsidR="001863E1" w:rsidRPr="00FE5E70" w:rsidRDefault="001863E1" w:rsidP="007F6B4A">
      <w:pPr>
        <w:pStyle w:val="alina-western"/>
        <w:spacing w:before="0" w:after="480"/>
        <w:ind w:firstLine="1134"/>
        <w:rPr>
          <w:color w:val="auto"/>
        </w:rPr>
      </w:pPr>
      <w:r>
        <w:rPr>
          <w:color w:val="auto"/>
        </w:rPr>
        <w:t xml:space="preserve">Attendu que l’appelant, à tort, a introduit une seule requête pour interjeter appel de deux jugements portant sur sa gestion ; que le présent arrêt ne concerne que les moyens invoqués à l’encontre du jugement n° 2010-120, relatif à la commune de </w:t>
      </w:r>
      <w:r w:rsidRPr="007F6B4A">
        <w:rPr>
          <w:color w:val="auto"/>
        </w:rPr>
        <w:t>Ploumilliau</w:t>
      </w:r>
      <w:r>
        <w:rPr>
          <w:color w:val="auto"/>
        </w:rPr>
        <w:t>.</w:t>
      </w:r>
    </w:p>
    <w:p w:rsidR="001863E1" w:rsidRDefault="001863E1" w:rsidP="009F5AB9">
      <w:pPr>
        <w:pStyle w:val="PS"/>
        <w:ind w:left="0" w:firstLine="0"/>
        <w:rPr>
          <w:u w:val="single"/>
        </w:rPr>
      </w:pPr>
      <w:r w:rsidRPr="00631315">
        <w:rPr>
          <w:u w:val="single"/>
        </w:rPr>
        <w:t>Sur le fond</w:t>
      </w:r>
      <w:r w:rsidRPr="003C0EDF">
        <w:t> :</w:t>
      </w:r>
    </w:p>
    <w:p w:rsidR="001863E1" w:rsidRDefault="001863E1" w:rsidP="003C0EDF">
      <w:pPr>
        <w:spacing w:after="480"/>
        <w:ind w:firstLine="1134"/>
        <w:jc w:val="both"/>
        <w:rPr>
          <w:sz w:val="24"/>
          <w:szCs w:val="24"/>
        </w:rPr>
      </w:pPr>
      <w:bookmarkStart w:id="0" w:name="term0"/>
      <w:bookmarkEnd w:id="0"/>
      <w:r w:rsidRPr="00B90EB6">
        <w:rPr>
          <w:sz w:val="24"/>
          <w:szCs w:val="24"/>
        </w:rPr>
        <w:t>Attendu que la chambre régionale a constitué M.</w:t>
      </w:r>
      <w:r>
        <w:rPr>
          <w:sz w:val="24"/>
          <w:szCs w:val="24"/>
        </w:rPr>
        <w:t> </w:t>
      </w:r>
      <w:r w:rsidRPr="007F6B4A">
        <w:rPr>
          <w:sz w:val="24"/>
          <w:szCs w:val="24"/>
        </w:rPr>
        <w:t>X</w:t>
      </w:r>
      <w:r w:rsidRPr="00B90EB6">
        <w:rPr>
          <w:caps/>
          <w:sz w:val="24"/>
          <w:szCs w:val="24"/>
        </w:rPr>
        <w:t xml:space="preserve"> </w:t>
      </w:r>
      <w:r w:rsidRPr="00B90EB6">
        <w:rPr>
          <w:sz w:val="24"/>
          <w:szCs w:val="24"/>
        </w:rPr>
        <w:t>débiteur de la</w:t>
      </w:r>
      <w:r>
        <w:rPr>
          <w:sz w:val="24"/>
          <w:szCs w:val="24"/>
        </w:rPr>
        <w:t xml:space="preserve"> </w:t>
      </w:r>
      <w:r w:rsidRPr="00B90EB6">
        <w:rPr>
          <w:sz w:val="24"/>
          <w:szCs w:val="24"/>
        </w:rPr>
        <w:t>commune</w:t>
      </w:r>
      <w:r w:rsidRPr="00B90EB6">
        <w:rPr>
          <w:caps/>
          <w:sz w:val="24"/>
          <w:szCs w:val="24"/>
        </w:rPr>
        <w:t xml:space="preserve"> </w:t>
      </w:r>
      <w:r w:rsidRPr="00B90EB6">
        <w:rPr>
          <w:sz w:val="24"/>
          <w:szCs w:val="24"/>
        </w:rPr>
        <w:t>à hauteur de 93 014,67</w:t>
      </w:r>
      <w:r>
        <w:rPr>
          <w:sz w:val="24"/>
          <w:szCs w:val="24"/>
        </w:rPr>
        <w:t> </w:t>
      </w:r>
      <w:r w:rsidRPr="00B90EB6">
        <w:rPr>
          <w:sz w:val="24"/>
          <w:szCs w:val="24"/>
        </w:rPr>
        <w:t>€</w:t>
      </w:r>
      <w:r>
        <w:rPr>
          <w:sz w:val="24"/>
          <w:szCs w:val="24"/>
        </w:rPr>
        <w:t>, pour défaut de diligences auprès de l’ordonnateur afin d’établir des déclarations en vue des remboursements de TVA ;</w:t>
      </w:r>
    </w:p>
    <w:p w:rsidR="001863E1" w:rsidRDefault="001863E1" w:rsidP="003C0EDF">
      <w:pPr>
        <w:spacing w:after="480"/>
        <w:ind w:firstLine="1134"/>
        <w:jc w:val="both"/>
        <w:rPr>
          <w:sz w:val="24"/>
          <w:szCs w:val="24"/>
        </w:rPr>
      </w:pPr>
      <w:r>
        <w:rPr>
          <w:sz w:val="24"/>
          <w:szCs w:val="24"/>
        </w:rPr>
        <w:br w:type="page"/>
        <w:t>Considérant les moyens ci-après de l’appelant :</w:t>
      </w:r>
    </w:p>
    <w:p w:rsidR="001863E1" w:rsidRPr="005F792D" w:rsidRDefault="001863E1" w:rsidP="003C1DAB">
      <w:pPr>
        <w:spacing w:after="480"/>
        <w:ind w:firstLine="1134"/>
        <w:jc w:val="both"/>
        <w:rPr>
          <w:b/>
          <w:bCs/>
          <w:i/>
          <w:iCs/>
          <w:sz w:val="24"/>
          <w:szCs w:val="24"/>
        </w:rPr>
      </w:pPr>
      <w:r>
        <w:rPr>
          <w:b/>
          <w:bCs/>
          <w:i/>
          <w:iCs/>
          <w:sz w:val="24"/>
          <w:szCs w:val="24"/>
        </w:rPr>
        <w:t>L</w:t>
      </w:r>
      <w:r w:rsidRPr="005F792D">
        <w:rPr>
          <w:b/>
          <w:bCs/>
          <w:i/>
          <w:iCs/>
          <w:sz w:val="24"/>
          <w:szCs w:val="24"/>
        </w:rPr>
        <w:t>e comptable n’a</w:t>
      </w:r>
      <w:r>
        <w:rPr>
          <w:b/>
          <w:bCs/>
          <w:i/>
          <w:iCs/>
          <w:sz w:val="24"/>
          <w:szCs w:val="24"/>
        </w:rPr>
        <w:t>urait pu</w:t>
      </w:r>
      <w:r w:rsidRPr="005F792D">
        <w:rPr>
          <w:b/>
          <w:bCs/>
          <w:i/>
          <w:iCs/>
          <w:sz w:val="24"/>
          <w:szCs w:val="24"/>
        </w:rPr>
        <w:t xml:space="preserve"> rectifier les déclarations de TVA </w:t>
      </w:r>
      <w:r>
        <w:rPr>
          <w:b/>
          <w:bCs/>
          <w:i/>
          <w:iCs/>
          <w:sz w:val="24"/>
          <w:szCs w:val="24"/>
        </w:rPr>
        <w:t>de</w:t>
      </w:r>
      <w:r w:rsidRPr="005F792D">
        <w:rPr>
          <w:b/>
          <w:bCs/>
          <w:i/>
          <w:iCs/>
          <w:sz w:val="24"/>
          <w:szCs w:val="24"/>
        </w:rPr>
        <w:t xml:space="preserve"> l’ordonnateur</w:t>
      </w:r>
    </w:p>
    <w:p w:rsidR="001863E1" w:rsidRDefault="001863E1" w:rsidP="003C1DAB">
      <w:pPr>
        <w:spacing w:after="480"/>
        <w:ind w:firstLine="1134"/>
        <w:jc w:val="both"/>
        <w:rPr>
          <w:sz w:val="24"/>
          <w:szCs w:val="24"/>
        </w:rPr>
      </w:pPr>
      <w:r w:rsidRPr="009948B1">
        <w:rPr>
          <w:sz w:val="24"/>
          <w:szCs w:val="24"/>
        </w:rPr>
        <w:t>Attendu que la responsabilité du comptable ayant connaissance d’une créance peut être engagée</w:t>
      </w:r>
      <w:r>
        <w:rPr>
          <w:sz w:val="24"/>
          <w:szCs w:val="24"/>
        </w:rPr>
        <w:t>,</w:t>
      </w:r>
      <w:r w:rsidRPr="009948B1">
        <w:rPr>
          <w:sz w:val="24"/>
          <w:szCs w:val="24"/>
        </w:rPr>
        <w:t xml:space="preserve"> s’il ne rapporte pas la preuve de ses diligences auprès de l’ordonnateur pour </w:t>
      </w:r>
      <w:r>
        <w:rPr>
          <w:sz w:val="24"/>
          <w:szCs w:val="24"/>
        </w:rPr>
        <w:t>mettre</w:t>
      </w:r>
      <w:r w:rsidRPr="009948B1">
        <w:rPr>
          <w:sz w:val="24"/>
          <w:szCs w:val="24"/>
        </w:rPr>
        <w:t xml:space="preserve"> en recouvrement ladite créance ; </w:t>
      </w:r>
      <w:r>
        <w:rPr>
          <w:sz w:val="24"/>
          <w:szCs w:val="24"/>
        </w:rPr>
        <w:t>que le comptable ne peut invoquer la compétence exclusive de l’ordonnateur ; qu’ainsi ce moyen est inopérant.</w:t>
      </w:r>
    </w:p>
    <w:p w:rsidR="001863E1" w:rsidRPr="007D7DA1" w:rsidRDefault="001863E1" w:rsidP="003C1DAB">
      <w:pPr>
        <w:spacing w:after="480"/>
        <w:ind w:firstLine="1134"/>
        <w:jc w:val="both"/>
        <w:rPr>
          <w:b/>
          <w:bCs/>
          <w:i/>
          <w:iCs/>
          <w:sz w:val="24"/>
          <w:szCs w:val="24"/>
        </w:rPr>
      </w:pPr>
      <w:r>
        <w:rPr>
          <w:b/>
          <w:bCs/>
          <w:i/>
          <w:iCs/>
          <w:sz w:val="24"/>
          <w:szCs w:val="24"/>
        </w:rPr>
        <w:t>L</w:t>
      </w:r>
      <w:r w:rsidRPr="007D7DA1">
        <w:rPr>
          <w:b/>
          <w:bCs/>
          <w:i/>
          <w:iCs/>
          <w:sz w:val="24"/>
          <w:szCs w:val="24"/>
        </w:rPr>
        <w:t>’article R</w:t>
      </w:r>
      <w:r>
        <w:rPr>
          <w:b/>
          <w:bCs/>
          <w:i/>
          <w:iCs/>
          <w:sz w:val="24"/>
          <w:szCs w:val="24"/>
        </w:rPr>
        <w:t>. </w:t>
      </w:r>
      <w:r w:rsidRPr="007D7DA1">
        <w:rPr>
          <w:b/>
          <w:bCs/>
          <w:i/>
          <w:iCs/>
          <w:sz w:val="24"/>
          <w:szCs w:val="24"/>
        </w:rPr>
        <w:t>211-1 du livre des procédures fiscales permettait d’ouvrir une procédure de dégrèvement ou de restitution d’office jusqu’au 31 décembre de la quatrième année suivant celle au cours de laquelle le délai de réclamation a pris fin</w:t>
      </w:r>
      <w:r>
        <w:rPr>
          <w:b/>
          <w:bCs/>
          <w:i/>
          <w:iCs/>
          <w:sz w:val="24"/>
          <w:szCs w:val="24"/>
        </w:rPr>
        <w:t>.</w:t>
      </w:r>
    </w:p>
    <w:p w:rsidR="001863E1" w:rsidRDefault="001863E1" w:rsidP="003C1DAB">
      <w:pPr>
        <w:pStyle w:val="BodyText"/>
        <w:spacing w:after="360"/>
        <w:ind w:firstLine="1134"/>
      </w:pPr>
      <w:r>
        <w:t>Considérant que les dégrèvements ou les restitutions prévus au livre des procédures fiscales constituent un pouvoir discrétionnaire de l’administration ; qu’au surplus la responsabilité du comptable ne peut être affectée par les manquements supposés de l’ordonnateur, seul habilité à solliciter un dégrèvement ou une restitution de l’administration fiscale ; que ce moyen est d’ailleurs sans objet, la prescription ou l’irrécouvrabilité de la créance ne pouvant reposer sur le délai consenti à l’administration pour en relever le contribuable.</w:t>
      </w:r>
    </w:p>
    <w:p w:rsidR="001863E1" w:rsidRPr="007D7DA1" w:rsidRDefault="001863E1" w:rsidP="00821D97">
      <w:pPr>
        <w:spacing w:after="480"/>
        <w:ind w:firstLine="1134"/>
        <w:jc w:val="both"/>
        <w:rPr>
          <w:b/>
          <w:bCs/>
          <w:i/>
          <w:iCs/>
          <w:sz w:val="24"/>
          <w:szCs w:val="24"/>
        </w:rPr>
      </w:pPr>
      <w:r>
        <w:rPr>
          <w:b/>
          <w:bCs/>
          <w:i/>
          <w:iCs/>
          <w:sz w:val="24"/>
          <w:szCs w:val="24"/>
        </w:rPr>
        <w:t>I</w:t>
      </w:r>
      <w:r w:rsidRPr="007D7DA1">
        <w:rPr>
          <w:b/>
          <w:bCs/>
          <w:i/>
          <w:iCs/>
          <w:sz w:val="24"/>
          <w:szCs w:val="24"/>
        </w:rPr>
        <w:t>l n’est pas possible de déterminer le fait générateur du solde de TVA</w:t>
      </w:r>
      <w:r>
        <w:rPr>
          <w:b/>
          <w:bCs/>
          <w:i/>
          <w:iCs/>
          <w:sz w:val="24"/>
          <w:szCs w:val="24"/>
        </w:rPr>
        <w:t>,</w:t>
      </w:r>
      <w:r w:rsidRPr="007D7DA1">
        <w:rPr>
          <w:b/>
          <w:bCs/>
          <w:i/>
          <w:iCs/>
          <w:sz w:val="24"/>
          <w:szCs w:val="24"/>
        </w:rPr>
        <w:t xml:space="preserve"> et de s’assurer </w:t>
      </w:r>
      <w:r>
        <w:rPr>
          <w:b/>
          <w:bCs/>
          <w:i/>
          <w:iCs/>
          <w:sz w:val="24"/>
          <w:szCs w:val="24"/>
        </w:rPr>
        <w:t xml:space="preserve">que </w:t>
      </w:r>
      <w:r w:rsidRPr="007D7DA1">
        <w:rPr>
          <w:b/>
          <w:bCs/>
          <w:i/>
          <w:iCs/>
          <w:sz w:val="24"/>
          <w:szCs w:val="24"/>
        </w:rPr>
        <w:t>cette créance est devenue</w:t>
      </w:r>
      <w:r>
        <w:rPr>
          <w:b/>
          <w:bCs/>
          <w:i/>
          <w:iCs/>
          <w:sz w:val="24"/>
          <w:szCs w:val="24"/>
        </w:rPr>
        <w:t xml:space="preserve"> ou non</w:t>
      </w:r>
      <w:r w:rsidRPr="007D7DA1">
        <w:rPr>
          <w:b/>
          <w:bCs/>
          <w:i/>
          <w:iCs/>
          <w:sz w:val="24"/>
          <w:szCs w:val="24"/>
        </w:rPr>
        <w:t xml:space="preserve"> irrécouvrable à la sortie de fonction </w:t>
      </w:r>
      <w:r>
        <w:rPr>
          <w:b/>
          <w:bCs/>
          <w:i/>
          <w:iCs/>
          <w:sz w:val="24"/>
          <w:szCs w:val="24"/>
        </w:rPr>
        <w:t>de l’</w:t>
      </w:r>
      <w:r w:rsidRPr="007D7DA1">
        <w:rPr>
          <w:b/>
          <w:bCs/>
          <w:i/>
          <w:iCs/>
          <w:sz w:val="24"/>
          <w:szCs w:val="24"/>
        </w:rPr>
        <w:t>appelan</w:t>
      </w:r>
      <w:r>
        <w:rPr>
          <w:b/>
          <w:bCs/>
          <w:i/>
          <w:iCs/>
          <w:sz w:val="24"/>
          <w:szCs w:val="24"/>
        </w:rPr>
        <w:t>t.</w:t>
      </w:r>
      <w:bookmarkStart w:id="1" w:name="_GoBack"/>
      <w:bookmarkEnd w:id="1"/>
    </w:p>
    <w:p w:rsidR="001863E1" w:rsidRPr="009948B1" w:rsidRDefault="001863E1" w:rsidP="007F6B4A">
      <w:pPr>
        <w:pStyle w:val="apostille"/>
        <w:spacing w:before="0" w:after="480"/>
        <w:ind w:firstLine="1134"/>
        <w:jc w:val="both"/>
        <w:rPr>
          <w:b w:val="0"/>
          <w:bCs w:val="0"/>
          <w:i w:val="0"/>
          <w:iCs w:val="0"/>
          <w:smallCaps w:val="0"/>
        </w:rPr>
      </w:pPr>
      <w:r w:rsidRPr="009948B1">
        <w:rPr>
          <w:b w:val="0"/>
          <w:bCs w:val="0"/>
          <w:i w:val="0"/>
          <w:iCs w:val="0"/>
          <w:smallCaps w:val="0"/>
        </w:rPr>
        <w:t xml:space="preserve">Attendu que, selon l'article 271-I-3 du code général des impôts, </w:t>
      </w:r>
      <w:r w:rsidRPr="009948B1">
        <w:rPr>
          <w:b w:val="0"/>
          <w:bCs w:val="0"/>
          <w:smallCaps w:val="0"/>
        </w:rPr>
        <w:t>« la déduction de la taxe ayant grevé les biens et services est opérée par imputation sur la taxe due par le redevable au titre du mois pendant lequel le droit à déduction a pris naissance »</w:t>
      </w:r>
      <w:r w:rsidRPr="009948B1">
        <w:rPr>
          <w:b w:val="0"/>
          <w:bCs w:val="0"/>
          <w:i w:val="0"/>
          <w:iCs w:val="0"/>
          <w:smallCaps w:val="0"/>
        </w:rPr>
        <w:t xml:space="preserve"> ; que de surcroît l'article</w:t>
      </w:r>
      <w:r>
        <w:rPr>
          <w:b w:val="0"/>
          <w:bCs w:val="0"/>
          <w:i w:val="0"/>
          <w:iCs w:val="0"/>
          <w:smallCaps w:val="0"/>
        </w:rPr>
        <w:t> </w:t>
      </w:r>
      <w:r w:rsidRPr="009948B1">
        <w:rPr>
          <w:b w:val="0"/>
          <w:bCs w:val="0"/>
          <w:i w:val="0"/>
          <w:iCs w:val="0"/>
          <w:smallCaps w:val="0"/>
        </w:rPr>
        <w:t>224-1 de l'annexe II du code général des impôts en vigueur jusqu'au 1</w:t>
      </w:r>
      <w:r w:rsidRPr="009948B1">
        <w:rPr>
          <w:b w:val="0"/>
          <w:bCs w:val="0"/>
          <w:i w:val="0"/>
          <w:iCs w:val="0"/>
          <w:smallCaps w:val="0"/>
          <w:vertAlign w:val="superscript"/>
        </w:rPr>
        <w:t>er</w:t>
      </w:r>
      <w:r>
        <w:rPr>
          <w:b w:val="0"/>
          <w:bCs w:val="0"/>
          <w:i w:val="0"/>
          <w:iCs w:val="0"/>
          <w:smallCaps w:val="0"/>
          <w:vertAlign w:val="superscript"/>
        </w:rPr>
        <w:t> </w:t>
      </w:r>
      <w:r w:rsidRPr="009948B1">
        <w:rPr>
          <w:b w:val="0"/>
          <w:bCs w:val="0"/>
          <w:i w:val="0"/>
          <w:iCs w:val="0"/>
          <w:smallCaps w:val="0"/>
        </w:rPr>
        <w:t>janvier</w:t>
      </w:r>
      <w:r>
        <w:rPr>
          <w:b w:val="0"/>
          <w:bCs w:val="0"/>
          <w:i w:val="0"/>
          <w:iCs w:val="0"/>
          <w:smallCaps w:val="0"/>
        </w:rPr>
        <w:t> </w:t>
      </w:r>
      <w:r w:rsidRPr="009948B1">
        <w:rPr>
          <w:b w:val="0"/>
          <w:bCs w:val="0"/>
          <w:i w:val="0"/>
          <w:iCs w:val="0"/>
          <w:smallCaps w:val="0"/>
        </w:rPr>
        <w:t xml:space="preserve">2008 précise que </w:t>
      </w:r>
      <w:r w:rsidRPr="009948B1">
        <w:rPr>
          <w:b w:val="0"/>
          <w:bCs w:val="0"/>
          <w:smallCaps w:val="0"/>
        </w:rPr>
        <w:t>«</w:t>
      </w:r>
      <w:r>
        <w:rPr>
          <w:b w:val="0"/>
          <w:bCs w:val="0"/>
          <w:smallCaps w:val="0"/>
        </w:rPr>
        <w:t xml:space="preserve"> l’i</w:t>
      </w:r>
      <w:r w:rsidRPr="009948B1">
        <w:rPr>
          <w:b w:val="0"/>
          <w:bCs w:val="0"/>
          <w:smallCaps w:val="0"/>
        </w:rPr>
        <w:t>mputation des droits à déduction en matière de TVA, si elle a</w:t>
      </w:r>
      <w:r>
        <w:rPr>
          <w:b w:val="0"/>
          <w:bCs w:val="0"/>
          <w:smallCaps w:val="0"/>
        </w:rPr>
        <w:t> </w:t>
      </w:r>
      <w:r w:rsidRPr="009948B1">
        <w:rPr>
          <w:b w:val="0"/>
          <w:bCs w:val="0"/>
          <w:smallCaps w:val="0"/>
        </w:rPr>
        <w:t>été omise au moment où ceux-ci ont pris naissance, peut être portée sur une des déclarations déposées jusqu'au 31</w:t>
      </w:r>
      <w:r>
        <w:rPr>
          <w:b w:val="0"/>
          <w:bCs w:val="0"/>
          <w:smallCaps w:val="0"/>
        </w:rPr>
        <w:t> </w:t>
      </w:r>
      <w:r w:rsidRPr="009948B1">
        <w:rPr>
          <w:b w:val="0"/>
          <w:bCs w:val="0"/>
          <w:smallCaps w:val="0"/>
        </w:rPr>
        <w:t>décembre de la deuxième année qui suit celle de l'omission</w:t>
      </w:r>
      <w:r w:rsidRPr="009948B1">
        <w:rPr>
          <w:b w:val="0"/>
          <w:bCs w:val="0"/>
          <w:i w:val="0"/>
          <w:iCs w:val="0"/>
          <w:smallCaps w:val="0"/>
        </w:rPr>
        <w:t> »</w:t>
      </w:r>
      <w:r>
        <w:rPr>
          <w:b w:val="0"/>
          <w:bCs w:val="0"/>
          <w:i w:val="0"/>
          <w:iCs w:val="0"/>
          <w:smallCaps w:val="0"/>
        </w:rPr>
        <w:t xml:space="preserve"> </w:t>
      </w:r>
      <w:r w:rsidRPr="009948B1">
        <w:rPr>
          <w:b w:val="0"/>
          <w:bCs w:val="0"/>
          <w:i w:val="0"/>
          <w:iCs w:val="0"/>
          <w:smallCaps w:val="0"/>
        </w:rPr>
        <w:t>; que les demandes de remboursement de crédits de TVA sont alors prescrites, passé ce délai ;</w:t>
      </w:r>
    </w:p>
    <w:p w:rsidR="001863E1" w:rsidRPr="009948B1" w:rsidRDefault="001863E1" w:rsidP="004A3C19">
      <w:pPr>
        <w:pStyle w:val="apostille"/>
        <w:spacing w:before="0" w:after="480"/>
        <w:ind w:firstLine="1134"/>
        <w:jc w:val="both"/>
        <w:rPr>
          <w:b w:val="0"/>
          <w:bCs w:val="0"/>
          <w:i w:val="0"/>
          <w:iCs w:val="0"/>
          <w:smallCaps w:val="0"/>
        </w:rPr>
      </w:pPr>
      <w:r>
        <w:rPr>
          <w:b w:val="0"/>
          <w:bCs w:val="0"/>
          <w:i w:val="0"/>
          <w:iCs w:val="0"/>
          <w:smallCaps w:val="0"/>
        </w:rPr>
        <w:t xml:space="preserve">Considérant </w:t>
      </w:r>
      <w:r w:rsidRPr="009948B1">
        <w:rPr>
          <w:b w:val="0"/>
          <w:bCs w:val="0"/>
          <w:i w:val="0"/>
          <w:iCs w:val="0"/>
          <w:smallCaps w:val="0"/>
        </w:rPr>
        <w:t>qu'en l'espèce, l'origine de l'anomalie constatée au compte</w:t>
      </w:r>
      <w:r>
        <w:rPr>
          <w:b w:val="0"/>
          <w:bCs w:val="0"/>
          <w:i w:val="0"/>
          <w:iCs w:val="0"/>
          <w:smallCaps w:val="0"/>
        </w:rPr>
        <w:t> </w:t>
      </w:r>
      <w:r w:rsidRPr="009948B1">
        <w:rPr>
          <w:b w:val="0"/>
          <w:bCs w:val="0"/>
          <w:i w:val="0"/>
          <w:iCs w:val="0"/>
          <w:smallCaps w:val="0"/>
        </w:rPr>
        <w:t xml:space="preserve">4458 </w:t>
      </w:r>
      <w:r w:rsidRPr="00C11A14">
        <w:rPr>
          <w:b w:val="0"/>
          <w:bCs w:val="0"/>
          <w:smallCaps w:val="0"/>
        </w:rPr>
        <w:t>« taxes</w:t>
      </w:r>
      <w:r>
        <w:rPr>
          <w:b w:val="0"/>
          <w:bCs w:val="0"/>
          <w:smallCaps w:val="0"/>
        </w:rPr>
        <w:t> </w:t>
      </w:r>
      <w:r w:rsidRPr="00C11A14">
        <w:rPr>
          <w:b w:val="0"/>
          <w:bCs w:val="0"/>
          <w:smallCaps w:val="0"/>
        </w:rPr>
        <w:t>sur le chiffre d’affaires à régulariser ou en attente »</w:t>
      </w:r>
      <w:r>
        <w:rPr>
          <w:b w:val="0"/>
          <w:bCs w:val="0"/>
          <w:i w:val="0"/>
          <w:iCs w:val="0"/>
          <w:smallCaps w:val="0"/>
        </w:rPr>
        <w:t xml:space="preserve"> </w:t>
      </w:r>
      <w:r w:rsidRPr="009948B1">
        <w:rPr>
          <w:b w:val="0"/>
          <w:bCs w:val="0"/>
          <w:i w:val="0"/>
          <w:iCs w:val="0"/>
          <w:smallCaps w:val="0"/>
        </w:rPr>
        <w:t>remont</w:t>
      </w:r>
      <w:r>
        <w:rPr>
          <w:b w:val="0"/>
          <w:bCs w:val="0"/>
          <w:i w:val="0"/>
          <w:iCs w:val="0"/>
          <w:smallCaps w:val="0"/>
        </w:rPr>
        <w:t>e à</w:t>
      </w:r>
      <w:r w:rsidRPr="009948B1">
        <w:rPr>
          <w:b w:val="0"/>
          <w:bCs w:val="0"/>
          <w:i w:val="0"/>
          <w:iCs w:val="0"/>
          <w:smallCaps w:val="0"/>
        </w:rPr>
        <w:t xml:space="preserve"> 2003 pour la créance concernant le budget principal de la commune et à 2004 pour celle du budget annexe « activités industrielles et commerciales »</w:t>
      </w:r>
      <w:r>
        <w:rPr>
          <w:b w:val="0"/>
          <w:bCs w:val="0"/>
          <w:i w:val="0"/>
          <w:iCs w:val="0"/>
          <w:smallCaps w:val="0"/>
        </w:rPr>
        <w:t> ; qu’ainsi</w:t>
      </w:r>
      <w:r w:rsidRPr="009948B1">
        <w:rPr>
          <w:b w:val="0"/>
          <w:bCs w:val="0"/>
          <w:i w:val="0"/>
          <w:iCs w:val="0"/>
          <w:smallCaps w:val="0"/>
        </w:rPr>
        <w:t xml:space="preserve"> les droits omis ont pris naissance au cours de ces exercices</w:t>
      </w:r>
      <w:r>
        <w:rPr>
          <w:b w:val="0"/>
          <w:bCs w:val="0"/>
          <w:i w:val="0"/>
          <w:iCs w:val="0"/>
          <w:smallCaps w:val="0"/>
        </w:rPr>
        <w:t xml:space="preserve"> </w:t>
      </w:r>
      <w:r w:rsidRPr="009948B1">
        <w:rPr>
          <w:b w:val="0"/>
          <w:bCs w:val="0"/>
          <w:i w:val="0"/>
          <w:iCs w:val="0"/>
          <w:smallCaps w:val="0"/>
        </w:rPr>
        <w:t>; qu'il s'ensuit qu'ils ne pouvaient, après le 31</w:t>
      </w:r>
      <w:r>
        <w:rPr>
          <w:b w:val="0"/>
          <w:bCs w:val="0"/>
          <w:i w:val="0"/>
          <w:iCs w:val="0"/>
          <w:smallCaps w:val="0"/>
        </w:rPr>
        <w:t> </w:t>
      </w:r>
      <w:r w:rsidRPr="009948B1">
        <w:rPr>
          <w:b w:val="0"/>
          <w:bCs w:val="0"/>
          <w:i w:val="0"/>
          <w:iCs w:val="0"/>
          <w:smallCaps w:val="0"/>
        </w:rPr>
        <w:t>décembre</w:t>
      </w:r>
      <w:r>
        <w:rPr>
          <w:b w:val="0"/>
          <w:bCs w:val="0"/>
          <w:i w:val="0"/>
          <w:iCs w:val="0"/>
          <w:smallCaps w:val="0"/>
        </w:rPr>
        <w:t> </w:t>
      </w:r>
      <w:r w:rsidRPr="009948B1">
        <w:rPr>
          <w:b w:val="0"/>
          <w:bCs w:val="0"/>
          <w:i w:val="0"/>
          <w:iCs w:val="0"/>
          <w:smallCaps w:val="0"/>
        </w:rPr>
        <w:t>2005 pour la première créance et le 31</w:t>
      </w:r>
      <w:r>
        <w:rPr>
          <w:b w:val="0"/>
          <w:bCs w:val="0"/>
          <w:i w:val="0"/>
          <w:iCs w:val="0"/>
          <w:smallCaps w:val="0"/>
        </w:rPr>
        <w:t> </w:t>
      </w:r>
      <w:r w:rsidRPr="009948B1">
        <w:rPr>
          <w:b w:val="0"/>
          <w:bCs w:val="0"/>
          <w:i w:val="0"/>
          <w:iCs w:val="0"/>
          <w:smallCaps w:val="0"/>
        </w:rPr>
        <w:t>décembre</w:t>
      </w:r>
      <w:r>
        <w:rPr>
          <w:b w:val="0"/>
          <w:bCs w:val="0"/>
          <w:i w:val="0"/>
          <w:iCs w:val="0"/>
          <w:smallCaps w:val="0"/>
        </w:rPr>
        <w:t> </w:t>
      </w:r>
      <w:r w:rsidRPr="009948B1">
        <w:rPr>
          <w:b w:val="0"/>
          <w:bCs w:val="0"/>
          <w:i w:val="0"/>
          <w:iCs w:val="0"/>
          <w:smallCaps w:val="0"/>
        </w:rPr>
        <w:t>2006 pour la seconde, faire l'objet d'un remboursement ou d'une imputation</w:t>
      </w:r>
      <w:r>
        <w:rPr>
          <w:b w:val="0"/>
          <w:bCs w:val="0"/>
          <w:i w:val="0"/>
          <w:iCs w:val="0"/>
          <w:smallCaps w:val="0"/>
        </w:rPr>
        <w:t xml:space="preserve"> </w:t>
      </w:r>
      <w:r w:rsidRPr="009948B1">
        <w:rPr>
          <w:b w:val="0"/>
          <w:bCs w:val="0"/>
          <w:i w:val="0"/>
          <w:iCs w:val="0"/>
          <w:smallCaps w:val="0"/>
        </w:rPr>
        <w:t xml:space="preserve">; que les créances de la </w:t>
      </w:r>
      <w:r>
        <w:rPr>
          <w:b w:val="0"/>
          <w:bCs w:val="0"/>
          <w:i w:val="0"/>
          <w:iCs w:val="0"/>
          <w:smallCaps w:val="0"/>
        </w:rPr>
        <w:t xml:space="preserve">commune </w:t>
      </w:r>
      <w:r w:rsidRPr="009948B1">
        <w:rPr>
          <w:b w:val="0"/>
          <w:bCs w:val="0"/>
          <w:i w:val="0"/>
          <w:iCs w:val="0"/>
          <w:smallCaps w:val="0"/>
        </w:rPr>
        <w:t xml:space="preserve">sont prescrites </w:t>
      </w:r>
      <w:r>
        <w:rPr>
          <w:b w:val="0"/>
          <w:bCs w:val="0"/>
          <w:i w:val="0"/>
          <w:iCs w:val="0"/>
          <w:smallCaps w:val="0"/>
        </w:rPr>
        <w:t xml:space="preserve">et leur </w:t>
      </w:r>
      <w:r w:rsidRPr="009948B1">
        <w:rPr>
          <w:b w:val="0"/>
          <w:bCs w:val="0"/>
          <w:i w:val="0"/>
          <w:iCs w:val="0"/>
          <w:smallCaps w:val="0"/>
        </w:rPr>
        <w:t>recouvrement définitivement compromis depuis ces dates</w:t>
      </w:r>
      <w:r>
        <w:rPr>
          <w:b w:val="0"/>
          <w:bCs w:val="0"/>
          <w:i w:val="0"/>
          <w:iCs w:val="0"/>
          <w:smallCaps w:val="0"/>
        </w:rPr>
        <w:t xml:space="preserve"> </w:t>
      </w:r>
      <w:r w:rsidRPr="009948B1">
        <w:rPr>
          <w:b w:val="0"/>
          <w:bCs w:val="0"/>
          <w:i w:val="0"/>
          <w:iCs w:val="0"/>
          <w:smallCaps w:val="0"/>
        </w:rPr>
        <w:t xml:space="preserve">; </w:t>
      </w:r>
    </w:p>
    <w:p w:rsidR="001863E1" w:rsidRPr="009948B1" w:rsidRDefault="001863E1" w:rsidP="00304537">
      <w:pPr>
        <w:pStyle w:val="apostille"/>
        <w:spacing w:before="0" w:after="480"/>
        <w:ind w:firstLine="1134"/>
        <w:jc w:val="both"/>
        <w:rPr>
          <w:b w:val="0"/>
          <w:bCs w:val="0"/>
          <w:i w:val="0"/>
          <w:iCs w:val="0"/>
          <w:smallCaps w:val="0"/>
        </w:rPr>
      </w:pPr>
      <w:r>
        <w:rPr>
          <w:b w:val="0"/>
          <w:bCs w:val="0"/>
          <w:i w:val="0"/>
          <w:iCs w:val="0"/>
          <w:smallCaps w:val="0"/>
        </w:rPr>
        <w:t xml:space="preserve">Considérant </w:t>
      </w:r>
      <w:r w:rsidRPr="009948B1">
        <w:rPr>
          <w:b w:val="0"/>
          <w:bCs w:val="0"/>
          <w:i w:val="0"/>
          <w:iCs w:val="0"/>
          <w:smallCaps w:val="0"/>
        </w:rPr>
        <w:t>que</w:t>
      </w:r>
      <w:r>
        <w:rPr>
          <w:b w:val="0"/>
          <w:bCs w:val="0"/>
          <w:i w:val="0"/>
          <w:iCs w:val="0"/>
          <w:smallCaps w:val="0"/>
        </w:rPr>
        <w:t xml:space="preserve"> le</w:t>
      </w:r>
      <w:r w:rsidRPr="009948B1">
        <w:rPr>
          <w:b w:val="0"/>
          <w:bCs w:val="0"/>
          <w:i w:val="0"/>
          <w:iCs w:val="0"/>
          <w:smallCaps w:val="0"/>
        </w:rPr>
        <w:t xml:space="preserve"> comptable</w:t>
      </w:r>
      <w:r>
        <w:rPr>
          <w:b w:val="0"/>
          <w:bCs w:val="0"/>
          <w:i w:val="0"/>
          <w:iCs w:val="0"/>
          <w:smallCaps w:val="0"/>
        </w:rPr>
        <w:t xml:space="preserve"> succédant à M. </w:t>
      </w:r>
      <w:r w:rsidRPr="007F6B4A">
        <w:rPr>
          <w:b w:val="0"/>
          <w:bCs w:val="0"/>
          <w:i w:val="0"/>
          <w:iCs w:val="0"/>
          <w:smallCaps w:val="0"/>
        </w:rPr>
        <w:t>X</w:t>
      </w:r>
      <w:r w:rsidRPr="009948B1">
        <w:rPr>
          <w:b w:val="0"/>
          <w:bCs w:val="0"/>
          <w:i w:val="0"/>
          <w:iCs w:val="0"/>
          <w:smallCaps w:val="0"/>
        </w:rPr>
        <w:t xml:space="preserve"> le</w:t>
      </w:r>
      <w:r>
        <w:rPr>
          <w:b w:val="0"/>
          <w:bCs w:val="0"/>
          <w:i w:val="0"/>
          <w:iCs w:val="0"/>
          <w:smallCaps w:val="0"/>
        </w:rPr>
        <w:t xml:space="preserve"> </w:t>
      </w:r>
      <w:r w:rsidRPr="009948B1">
        <w:rPr>
          <w:b w:val="0"/>
          <w:bCs w:val="0"/>
          <w:i w:val="0"/>
          <w:iCs w:val="0"/>
          <w:smallCaps w:val="0"/>
        </w:rPr>
        <w:t>3 septembre 2007, a</w:t>
      </w:r>
      <w:r>
        <w:rPr>
          <w:b w:val="0"/>
          <w:bCs w:val="0"/>
          <w:i w:val="0"/>
          <w:iCs w:val="0"/>
          <w:smallCaps w:val="0"/>
        </w:rPr>
        <w:t> </w:t>
      </w:r>
      <w:r w:rsidRPr="009948B1">
        <w:rPr>
          <w:b w:val="0"/>
          <w:bCs w:val="0"/>
          <w:i w:val="0"/>
          <w:iCs w:val="0"/>
          <w:smallCaps w:val="0"/>
        </w:rPr>
        <w:t xml:space="preserve">émis des réserves sur ces comptes de TVA ; </w:t>
      </w:r>
      <w:r>
        <w:rPr>
          <w:b w:val="0"/>
          <w:bCs w:val="0"/>
          <w:i w:val="0"/>
          <w:iCs w:val="0"/>
          <w:smallCaps w:val="0"/>
        </w:rPr>
        <w:t xml:space="preserve">que </w:t>
      </w:r>
      <w:r w:rsidRPr="009948B1">
        <w:rPr>
          <w:b w:val="0"/>
          <w:bCs w:val="0"/>
          <w:i w:val="0"/>
          <w:iCs w:val="0"/>
          <w:smallCaps w:val="0"/>
        </w:rPr>
        <w:t>le</w:t>
      </w:r>
      <w:r>
        <w:rPr>
          <w:b w:val="0"/>
          <w:bCs w:val="0"/>
          <w:i w:val="0"/>
          <w:iCs w:val="0"/>
          <w:smallCaps w:val="0"/>
        </w:rPr>
        <w:t xml:space="preserve"> </w:t>
      </w:r>
      <w:r w:rsidRPr="009948B1">
        <w:rPr>
          <w:b w:val="0"/>
          <w:bCs w:val="0"/>
          <w:i w:val="0"/>
          <w:iCs w:val="0"/>
          <w:smallCaps w:val="0"/>
        </w:rPr>
        <w:t xml:space="preserve">recouvrement était compromis </w:t>
      </w:r>
      <w:r>
        <w:rPr>
          <w:b w:val="0"/>
          <w:bCs w:val="0"/>
          <w:i w:val="0"/>
          <w:iCs w:val="0"/>
          <w:smallCaps w:val="0"/>
        </w:rPr>
        <w:t>à cette date ; que</w:t>
      </w:r>
      <w:r w:rsidRPr="009948B1">
        <w:rPr>
          <w:b w:val="0"/>
          <w:bCs w:val="0"/>
          <w:i w:val="0"/>
          <w:iCs w:val="0"/>
          <w:smallCaps w:val="0"/>
        </w:rPr>
        <w:t xml:space="preserve"> sa responsabilité ne peut être recherchée ;</w:t>
      </w:r>
      <w:r>
        <w:rPr>
          <w:b w:val="0"/>
          <w:bCs w:val="0"/>
          <w:i w:val="0"/>
          <w:iCs w:val="0"/>
          <w:smallCaps w:val="0"/>
        </w:rPr>
        <w:t xml:space="preserve"> </w:t>
      </w:r>
    </w:p>
    <w:p w:rsidR="001863E1" w:rsidRPr="009948B1" w:rsidRDefault="001863E1" w:rsidP="00F22D73">
      <w:pPr>
        <w:pStyle w:val="apostille"/>
        <w:spacing w:before="0" w:after="480"/>
        <w:ind w:firstLine="1134"/>
        <w:jc w:val="both"/>
        <w:rPr>
          <w:b w:val="0"/>
          <w:bCs w:val="0"/>
          <w:i w:val="0"/>
          <w:iCs w:val="0"/>
          <w:smallCaps w:val="0"/>
        </w:rPr>
      </w:pPr>
      <w:r w:rsidRPr="009948B1">
        <w:rPr>
          <w:b w:val="0"/>
          <w:bCs w:val="0"/>
          <w:i w:val="0"/>
          <w:iCs w:val="0"/>
          <w:smallCaps w:val="0"/>
        </w:rPr>
        <w:t>Considérant</w:t>
      </w:r>
      <w:r>
        <w:rPr>
          <w:b w:val="0"/>
          <w:bCs w:val="0"/>
          <w:i w:val="0"/>
          <w:iCs w:val="0"/>
          <w:smallCaps w:val="0"/>
        </w:rPr>
        <w:t xml:space="preserve"> que c’est à bon droit </w:t>
      </w:r>
      <w:r w:rsidRPr="009948B1">
        <w:rPr>
          <w:b w:val="0"/>
          <w:bCs w:val="0"/>
          <w:i w:val="0"/>
          <w:iCs w:val="0"/>
          <w:smallCaps w:val="0"/>
        </w:rPr>
        <w:t>que la responsabilité personnelle et pécuniaire de M</w:t>
      </w:r>
      <w:r>
        <w:rPr>
          <w:b w:val="0"/>
          <w:bCs w:val="0"/>
          <w:i w:val="0"/>
          <w:iCs w:val="0"/>
          <w:smallCaps w:val="0"/>
        </w:rPr>
        <w:t>. </w:t>
      </w:r>
      <w:r w:rsidRPr="007F6B4A">
        <w:rPr>
          <w:b w:val="0"/>
          <w:bCs w:val="0"/>
          <w:i w:val="0"/>
          <w:iCs w:val="0"/>
          <w:smallCaps w:val="0"/>
        </w:rPr>
        <w:t>X</w:t>
      </w:r>
      <w:r w:rsidRPr="009948B1">
        <w:rPr>
          <w:b w:val="0"/>
          <w:bCs w:val="0"/>
          <w:i w:val="0"/>
          <w:iCs w:val="0"/>
          <w:smallCaps w:val="0"/>
        </w:rPr>
        <w:t xml:space="preserve">, </w:t>
      </w:r>
      <w:r>
        <w:rPr>
          <w:b w:val="0"/>
          <w:bCs w:val="0"/>
          <w:i w:val="0"/>
          <w:iCs w:val="0"/>
          <w:smallCaps w:val="0"/>
        </w:rPr>
        <w:t xml:space="preserve">a été </w:t>
      </w:r>
      <w:r w:rsidRPr="009948B1">
        <w:rPr>
          <w:b w:val="0"/>
          <w:bCs w:val="0"/>
          <w:i w:val="0"/>
          <w:iCs w:val="0"/>
          <w:smallCaps w:val="0"/>
        </w:rPr>
        <w:t>mise en jeu à hau</w:t>
      </w:r>
      <w:r>
        <w:rPr>
          <w:b w:val="0"/>
          <w:bCs w:val="0"/>
          <w:i w:val="0"/>
          <w:iCs w:val="0"/>
          <w:smallCaps w:val="0"/>
        </w:rPr>
        <w:t>teur de 93 014,67 </w:t>
      </w:r>
      <w:r w:rsidRPr="009948B1">
        <w:rPr>
          <w:b w:val="0"/>
          <w:bCs w:val="0"/>
          <w:i w:val="0"/>
          <w:iCs w:val="0"/>
          <w:smallCaps w:val="0"/>
        </w:rPr>
        <w:t>€, augmenté</w:t>
      </w:r>
      <w:r>
        <w:rPr>
          <w:b w:val="0"/>
          <w:bCs w:val="0"/>
          <w:i w:val="0"/>
          <w:iCs w:val="0"/>
          <w:smallCaps w:val="0"/>
        </w:rPr>
        <w:t>s</w:t>
      </w:r>
      <w:r w:rsidRPr="009948B1">
        <w:rPr>
          <w:b w:val="0"/>
          <w:bCs w:val="0"/>
          <w:i w:val="0"/>
          <w:iCs w:val="0"/>
          <w:smallCaps w:val="0"/>
        </w:rPr>
        <w:t xml:space="preserve"> des intérêts de droit du 15 février 2010</w:t>
      </w:r>
      <w:r>
        <w:rPr>
          <w:b w:val="0"/>
          <w:bCs w:val="0"/>
          <w:i w:val="0"/>
          <w:iCs w:val="0"/>
          <w:smallCaps w:val="0"/>
        </w:rPr>
        <w:t>.</w:t>
      </w:r>
    </w:p>
    <w:p w:rsidR="001863E1" w:rsidRDefault="001863E1" w:rsidP="007F6B4A">
      <w:pPr>
        <w:pStyle w:val="PS"/>
        <w:spacing w:after="360"/>
        <w:ind w:left="0"/>
        <w:rPr>
          <w:rFonts w:ascii="Times New Roman" w:hAnsi="Times New Roman" w:cs="Times New Roman"/>
        </w:rPr>
      </w:pPr>
      <w:r w:rsidRPr="00631315">
        <w:rPr>
          <w:rFonts w:ascii="Times New Roman" w:hAnsi="Times New Roman" w:cs="Times New Roman"/>
        </w:rPr>
        <w:t>Par ces motifs,</w:t>
      </w:r>
    </w:p>
    <w:p w:rsidR="001863E1" w:rsidRPr="00631315" w:rsidRDefault="001863E1" w:rsidP="007F6B4A">
      <w:pPr>
        <w:pStyle w:val="PS"/>
        <w:spacing w:after="360"/>
        <w:ind w:left="0" w:firstLine="0"/>
        <w:jc w:val="center"/>
        <w:rPr>
          <w:rFonts w:ascii="Times New Roman" w:hAnsi="Times New Roman" w:cs="Times New Roman"/>
        </w:rPr>
      </w:pPr>
      <w:r>
        <w:rPr>
          <w:rFonts w:ascii="Times New Roman" w:hAnsi="Times New Roman" w:cs="Times New Roman"/>
        </w:rPr>
        <w:t>O</w:t>
      </w:r>
      <w:r w:rsidRPr="00631315">
        <w:rPr>
          <w:rFonts w:ascii="Times New Roman" w:hAnsi="Times New Roman" w:cs="Times New Roman"/>
        </w:rPr>
        <w:t>RDONNE :</w:t>
      </w:r>
    </w:p>
    <w:p w:rsidR="001863E1" w:rsidRDefault="001863E1" w:rsidP="007F6B4A">
      <w:pPr>
        <w:pStyle w:val="PS"/>
        <w:spacing w:before="120" w:after="360"/>
        <w:ind w:left="0"/>
        <w:rPr>
          <w:rFonts w:ascii="Times New Roman" w:hAnsi="Times New Roman" w:cs="Times New Roman"/>
        </w:rPr>
      </w:pPr>
      <w:r>
        <w:rPr>
          <w:rFonts w:ascii="Times New Roman" w:hAnsi="Times New Roman" w:cs="Times New Roman"/>
        </w:rPr>
        <w:t>Le j</w:t>
      </w:r>
      <w:r w:rsidRPr="00631315">
        <w:rPr>
          <w:rFonts w:ascii="Times New Roman" w:hAnsi="Times New Roman" w:cs="Times New Roman"/>
        </w:rPr>
        <w:t xml:space="preserve">ugement </w:t>
      </w:r>
      <w:r>
        <w:rPr>
          <w:rFonts w:ascii="Times New Roman" w:hAnsi="Times New Roman" w:cs="Times New Roman"/>
        </w:rPr>
        <w:t>n</w:t>
      </w:r>
      <w:r w:rsidRPr="00631315">
        <w:rPr>
          <w:rFonts w:ascii="Times New Roman" w:hAnsi="Times New Roman" w:cs="Times New Roman"/>
        </w:rPr>
        <w:t>°</w:t>
      </w:r>
      <w:r>
        <w:rPr>
          <w:rFonts w:ascii="Times New Roman" w:hAnsi="Times New Roman" w:cs="Times New Roman"/>
        </w:rPr>
        <w:t> 2010-120 du 16 novembre 2010</w:t>
      </w:r>
      <w:r w:rsidRPr="00631315">
        <w:rPr>
          <w:rFonts w:ascii="Times New Roman" w:hAnsi="Times New Roman" w:cs="Times New Roman"/>
        </w:rPr>
        <w:t xml:space="preserve"> </w:t>
      </w:r>
      <w:r>
        <w:rPr>
          <w:rFonts w:ascii="Times New Roman" w:hAnsi="Times New Roman" w:cs="Times New Roman"/>
        </w:rPr>
        <w:t xml:space="preserve">commune de </w:t>
      </w:r>
      <w:r w:rsidRPr="007F6B4A">
        <w:rPr>
          <w:rFonts w:ascii="Times New Roman" w:hAnsi="Times New Roman" w:cs="Times New Roman"/>
        </w:rPr>
        <w:t>Ploumilliau</w:t>
      </w:r>
      <w:r w:rsidRPr="00631315">
        <w:rPr>
          <w:rFonts w:ascii="Times New Roman" w:hAnsi="Times New Roman" w:cs="Times New Roman"/>
        </w:rPr>
        <w:t xml:space="preserve"> </w:t>
      </w:r>
      <w:r>
        <w:rPr>
          <w:rFonts w:ascii="Times New Roman" w:hAnsi="Times New Roman" w:cs="Times New Roman"/>
        </w:rPr>
        <w:t xml:space="preserve">de </w:t>
      </w:r>
      <w:r w:rsidRPr="00631315">
        <w:rPr>
          <w:rFonts w:ascii="Times New Roman" w:hAnsi="Times New Roman" w:cs="Times New Roman"/>
        </w:rPr>
        <w:t>la c</w:t>
      </w:r>
      <w:r>
        <w:rPr>
          <w:rFonts w:ascii="Times New Roman" w:hAnsi="Times New Roman" w:cs="Times New Roman"/>
        </w:rPr>
        <w:t>hambre régionale des comptes de Bretagne est confirmé.</w:t>
      </w:r>
    </w:p>
    <w:p w:rsidR="001863E1" w:rsidRPr="00631315" w:rsidRDefault="001863E1" w:rsidP="007F6B4A">
      <w:pPr>
        <w:pStyle w:val="PS"/>
        <w:spacing w:before="120" w:after="360"/>
        <w:ind w:left="0"/>
        <w:jc w:val="center"/>
        <w:rPr>
          <w:rFonts w:ascii="Times New Roman" w:hAnsi="Times New Roman" w:cs="Times New Roman"/>
        </w:rPr>
      </w:pPr>
      <w:r>
        <w:rPr>
          <w:rFonts w:ascii="Times New Roman" w:hAnsi="Times New Roman" w:cs="Times New Roman"/>
        </w:rPr>
        <w:t>----------------</w:t>
      </w:r>
    </w:p>
    <w:p w:rsidR="001863E1" w:rsidRDefault="001863E1" w:rsidP="00BF6BDD">
      <w:pPr>
        <w:pStyle w:val="PS"/>
        <w:spacing w:after="600"/>
        <w:ind w:left="0"/>
        <w:rPr>
          <w:rFonts w:ascii="Times New Roman" w:hAnsi="Times New Roman" w:cs="Times New Roman"/>
        </w:rPr>
      </w:pPr>
      <w:r w:rsidRPr="00631315">
        <w:rPr>
          <w:rFonts w:ascii="Times New Roman" w:hAnsi="Times New Roman" w:cs="Times New Roman"/>
        </w:rPr>
        <w:t>Fait et jugé en la Cour des comptes, quatrième chambre, première section. Présents</w:t>
      </w:r>
      <w:r>
        <w:rPr>
          <w:rFonts w:ascii="Times New Roman" w:hAnsi="Times New Roman" w:cs="Times New Roman"/>
        </w:rPr>
        <w:t> : </w:t>
      </w:r>
      <w:r w:rsidRPr="00631315">
        <w:rPr>
          <w:rFonts w:ascii="Times New Roman" w:hAnsi="Times New Roman" w:cs="Times New Roman"/>
        </w:rPr>
        <w:t>MM</w:t>
      </w:r>
      <w:r>
        <w:rPr>
          <w:rFonts w:ascii="Times New Roman" w:hAnsi="Times New Roman" w:cs="Times New Roman"/>
        </w:rPr>
        <w:t>. </w:t>
      </w:r>
      <w:r w:rsidRPr="00D90EA6">
        <w:rPr>
          <w:rFonts w:ascii="Times New Roman" w:hAnsi="Times New Roman" w:cs="Times New Roman"/>
          <w:caps/>
        </w:rPr>
        <w:t>B</w:t>
      </w:r>
      <w:r w:rsidRPr="007F6B4A">
        <w:rPr>
          <w:rFonts w:ascii="Times New Roman" w:hAnsi="Times New Roman" w:cs="Times New Roman"/>
        </w:rPr>
        <w:t>ayle</w:t>
      </w:r>
      <w:r w:rsidRPr="00631315">
        <w:rPr>
          <w:rFonts w:ascii="Times New Roman" w:hAnsi="Times New Roman" w:cs="Times New Roman"/>
        </w:rPr>
        <w:t xml:space="preserve">, président, </w:t>
      </w:r>
      <w:r w:rsidRPr="00D90EA6">
        <w:rPr>
          <w:rFonts w:ascii="Times New Roman" w:hAnsi="Times New Roman" w:cs="Times New Roman"/>
          <w:caps/>
        </w:rPr>
        <w:t>C</w:t>
      </w:r>
      <w:r w:rsidRPr="007F6B4A">
        <w:rPr>
          <w:rFonts w:ascii="Times New Roman" w:hAnsi="Times New Roman" w:cs="Times New Roman"/>
        </w:rPr>
        <w:t>azanave</w:t>
      </w:r>
      <w:r w:rsidRPr="00631315">
        <w:rPr>
          <w:rFonts w:ascii="Times New Roman" w:hAnsi="Times New Roman" w:cs="Times New Roman"/>
        </w:rPr>
        <w:t xml:space="preserve">, président de section, </w:t>
      </w:r>
      <w:r>
        <w:rPr>
          <w:rFonts w:ascii="Times New Roman" w:hAnsi="Times New Roman" w:cs="Times New Roman"/>
        </w:rPr>
        <w:t>Lafaure, Vachia, Mme Gadriot-Renard et M. Senhaji,</w:t>
      </w:r>
      <w:r w:rsidRPr="00631315">
        <w:rPr>
          <w:rFonts w:ascii="Times New Roman" w:hAnsi="Times New Roman" w:cs="Times New Roman"/>
        </w:rPr>
        <w:t xml:space="preserve"> conseillers maîtres.</w:t>
      </w:r>
    </w:p>
    <w:p w:rsidR="001863E1" w:rsidRDefault="001863E1" w:rsidP="000F21CD">
      <w:pPr>
        <w:pStyle w:val="PS"/>
        <w:ind w:left="1134" w:firstLine="0"/>
      </w:pPr>
      <w:r w:rsidRPr="005508C2">
        <w:t>Signé</w:t>
      </w:r>
      <w:r>
        <w:t xml:space="preserve"> </w:t>
      </w:r>
      <w:r w:rsidRPr="005508C2">
        <w:t xml:space="preserve">: </w:t>
      </w:r>
      <w:r>
        <w:t>Bayle, président, et Le Baron</w:t>
      </w:r>
      <w:r w:rsidRPr="005508C2">
        <w:t>, greffier.</w:t>
      </w:r>
    </w:p>
    <w:p w:rsidR="001863E1" w:rsidRDefault="001863E1" w:rsidP="000F21CD">
      <w:pPr>
        <w:pStyle w:val="PS"/>
        <w:ind w:left="0"/>
      </w:pPr>
      <w:r w:rsidRPr="00B16F88">
        <w:t>C</w:t>
      </w:r>
      <w:r>
        <w:t>ollationné, certifié conforme à la minute étant au greffe de la Cour des comptes.</w:t>
      </w:r>
    </w:p>
    <w:p w:rsidR="001863E1" w:rsidRDefault="001863E1" w:rsidP="000F21CD">
      <w:pPr>
        <w:pStyle w:val="PS"/>
        <w:ind w:left="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1863E1" w:rsidRDefault="001863E1" w:rsidP="00153525">
      <w:pPr>
        <w:pStyle w:val="PS"/>
        <w:spacing w:after="0"/>
        <w:ind w:left="0"/>
      </w:pPr>
      <w:r>
        <w:t>Délivré par moi, secrétaire général.</w:t>
      </w:r>
    </w:p>
    <w:p w:rsidR="001863E1" w:rsidRPr="009D5281" w:rsidRDefault="001863E1" w:rsidP="006F2041">
      <w:pPr>
        <w:pStyle w:val="BodyText"/>
        <w:ind w:firstLine="5103"/>
        <w:jc w:val="center"/>
        <w:rPr>
          <w:b/>
          <w:bCs/>
        </w:rPr>
      </w:pPr>
      <w:r w:rsidRPr="009D5281">
        <w:rPr>
          <w:b/>
          <w:bCs/>
        </w:rPr>
        <w:t>Pour le Secrétaire général</w:t>
      </w:r>
    </w:p>
    <w:p w:rsidR="001863E1" w:rsidRPr="009D5281" w:rsidRDefault="001863E1" w:rsidP="006F2041">
      <w:pPr>
        <w:pStyle w:val="BodyText"/>
        <w:ind w:firstLine="5103"/>
        <w:jc w:val="center"/>
        <w:rPr>
          <w:b/>
          <w:bCs/>
        </w:rPr>
      </w:pPr>
      <w:r w:rsidRPr="009D5281">
        <w:rPr>
          <w:b/>
          <w:bCs/>
        </w:rPr>
        <w:t>et par délégation,</w:t>
      </w:r>
    </w:p>
    <w:p w:rsidR="001863E1" w:rsidRPr="009D5281" w:rsidRDefault="001863E1" w:rsidP="00153525">
      <w:pPr>
        <w:pStyle w:val="BodyText"/>
        <w:spacing w:after="1920"/>
        <w:ind w:firstLine="5103"/>
        <w:jc w:val="center"/>
        <w:rPr>
          <w:b/>
          <w:bCs/>
        </w:rPr>
      </w:pPr>
      <w:r>
        <w:rPr>
          <w:b/>
          <w:bCs/>
        </w:rPr>
        <w:t>le Chef du G</w:t>
      </w:r>
      <w:r w:rsidRPr="009D5281">
        <w:rPr>
          <w:b/>
          <w:bCs/>
        </w:rPr>
        <w:t>reffe contentieux</w:t>
      </w:r>
    </w:p>
    <w:p w:rsidR="001863E1" w:rsidRPr="00153525" w:rsidRDefault="001863E1" w:rsidP="00153525">
      <w:pPr>
        <w:pStyle w:val="BodyText"/>
        <w:ind w:left="567"/>
        <w:rPr>
          <w:b/>
          <w:bCs/>
        </w:rPr>
      </w:pPr>
      <w:r>
        <w:tab/>
      </w:r>
      <w:r>
        <w:tab/>
      </w:r>
      <w:r>
        <w:tab/>
      </w:r>
      <w:r>
        <w:tab/>
      </w:r>
      <w:r>
        <w:tab/>
      </w:r>
      <w:r>
        <w:tab/>
      </w:r>
      <w:r>
        <w:tab/>
      </w:r>
      <w:r>
        <w:tab/>
      </w:r>
      <w:r>
        <w:tab/>
        <w:t xml:space="preserve">  </w:t>
      </w:r>
      <w:r w:rsidRPr="00153525">
        <w:rPr>
          <w:b/>
          <w:bCs/>
        </w:rPr>
        <w:t>Daniel FEREZ</w:t>
      </w:r>
    </w:p>
    <w:sectPr w:rsidR="001863E1" w:rsidRPr="00153525" w:rsidSect="00297250">
      <w:headerReference w:type="default" r:id="rId6"/>
      <w:footerReference w:type="default" r:id="rId7"/>
      <w:pgSz w:w="11906" w:h="16838"/>
      <w:pgMar w:top="1417" w:right="1417" w:bottom="1417" w:left="141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3E1" w:rsidRDefault="001863E1">
      <w:r>
        <w:separator/>
      </w:r>
    </w:p>
  </w:endnote>
  <w:endnote w:type="continuationSeparator" w:id="0">
    <w:p w:rsidR="001863E1" w:rsidRDefault="001863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3E1" w:rsidRDefault="001863E1" w:rsidP="0029725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3E1" w:rsidRDefault="001863E1">
      <w:r>
        <w:separator/>
      </w:r>
    </w:p>
  </w:footnote>
  <w:footnote w:type="continuationSeparator" w:id="0">
    <w:p w:rsidR="001863E1" w:rsidRDefault="001863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3E1" w:rsidRDefault="001863E1" w:rsidP="001B34F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embedSystemFonts/>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05C09"/>
    <w:rsid w:val="00042DE1"/>
    <w:rsid w:val="0005418D"/>
    <w:rsid w:val="00062706"/>
    <w:rsid w:val="00074849"/>
    <w:rsid w:val="000966AD"/>
    <w:rsid w:val="00097CB1"/>
    <w:rsid w:val="000A180A"/>
    <w:rsid w:val="000B1525"/>
    <w:rsid w:val="000B36E6"/>
    <w:rsid w:val="000B7520"/>
    <w:rsid w:val="000C78C8"/>
    <w:rsid w:val="000F1EA9"/>
    <w:rsid w:val="000F21CD"/>
    <w:rsid w:val="000F47FF"/>
    <w:rsid w:val="000F5742"/>
    <w:rsid w:val="0010360D"/>
    <w:rsid w:val="00103B5D"/>
    <w:rsid w:val="00120038"/>
    <w:rsid w:val="0013719D"/>
    <w:rsid w:val="00137E59"/>
    <w:rsid w:val="00141EA3"/>
    <w:rsid w:val="00153525"/>
    <w:rsid w:val="00172BF4"/>
    <w:rsid w:val="00173F27"/>
    <w:rsid w:val="00180908"/>
    <w:rsid w:val="00180E4F"/>
    <w:rsid w:val="00182498"/>
    <w:rsid w:val="00183381"/>
    <w:rsid w:val="001863E1"/>
    <w:rsid w:val="00190224"/>
    <w:rsid w:val="001943B8"/>
    <w:rsid w:val="001A682D"/>
    <w:rsid w:val="001B34F3"/>
    <w:rsid w:val="001B7368"/>
    <w:rsid w:val="001C4E87"/>
    <w:rsid w:val="001D2A4A"/>
    <w:rsid w:val="001E2280"/>
    <w:rsid w:val="001E2CBB"/>
    <w:rsid w:val="001F482A"/>
    <w:rsid w:val="00203F0D"/>
    <w:rsid w:val="0020413B"/>
    <w:rsid w:val="00211381"/>
    <w:rsid w:val="00211F06"/>
    <w:rsid w:val="00212E9A"/>
    <w:rsid w:val="00223D38"/>
    <w:rsid w:val="00243E9C"/>
    <w:rsid w:val="0024601A"/>
    <w:rsid w:val="0025683E"/>
    <w:rsid w:val="00262E91"/>
    <w:rsid w:val="00285ACF"/>
    <w:rsid w:val="00294719"/>
    <w:rsid w:val="00297250"/>
    <w:rsid w:val="002A3420"/>
    <w:rsid w:val="002A5F51"/>
    <w:rsid w:val="002B01CB"/>
    <w:rsid w:val="002D476E"/>
    <w:rsid w:val="002E020E"/>
    <w:rsid w:val="002E6CEF"/>
    <w:rsid w:val="002F4064"/>
    <w:rsid w:val="002F76D8"/>
    <w:rsid w:val="00304537"/>
    <w:rsid w:val="00313B8C"/>
    <w:rsid w:val="00317CAF"/>
    <w:rsid w:val="003201CD"/>
    <w:rsid w:val="00325BB2"/>
    <w:rsid w:val="00325C98"/>
    <w:rsid w:val="00326EE5"/>
    <w:rsid w:val="00327FD1"/>
    <w:rsid w:val="00331626"/>
    <w:rsid w:val="00343438"/>
    <w:rsid w:val="00346D93"/>
    <w:rsid w:val="00353439"/>
    <w:rsid w:val="00381255"/>
    <w:rsid w:val="00383468"/>
    <w:rsid w:val="0038559C"/>
    <w:rsid w:val="00390407"/>
    <w:rsid w:val="0039572C"/>
    <w:rsid w:val="00397451"/>
    <w:rsid w:val="003A24CE"/>
    <w:rsid w:val="003A6169"/>
    <w:rsid w:val="003B4919"/>
    <w:rsid w:val="003C0EDF"/>
    <w:rsid w:val="003C1DAB"/>
    <w:rsid w:val="003C2B74"/>
    <w:rsid w:val="003C72B0"/>
    <w:rsid w:val="003D0376"/>
    <w:rsid w:val="003E3D4C"/>
    <w:rsid w:val="003F3436"/>
    <w:rsid w:val="00410A6D"/>
    <w:rsid w:val="0041218E"/>
    <w:rsid w:val="00413EE5"/>
    <w:rsid w:val="004149E8"/>
    <w:rsid w:val="00415B20"/>
    <w:rsid w:val="00417C88"/>
    <w:rsid w:val="00421AE2"/>
    <w:rsid w:val="004268EA"/>
    <w:rsid w:val="00456F64"/>
    <w:rsid w:val="00457496"/>
    <w:rsid w:val="004648E6"/>
    <w:rsid w:val="00475C59"/>
    <w:rsid w:val="00475D4C"/>
    <w:rsid w:val="004806C4"/>
    <w:rsid w:val="00481C50"/>
    <w:rsid w:val="0048440B"/>
    <w:rsid w:val="00496FA2"/>
    <w:rsid w:val="00497A94"/>
    <w:rsid w:val="004A3C19"/>
    <w:rsid w:val="004D206B"/>
    <w:rsid w:val="004D52EB"/>
    <w:rsid w:val="004D6186"/>
    <w:rsid w:val="004E32D2"/>
    <w:rsid w:val="004F66C0"/>
    <w:rsid w:val="00501E27"/>
    <w:rsid w:val="0051078B"/>
    <w:rsid w:val="00513823"/>
    <w:rsid w:val="0051697F"/>
    <w:rsid w:val="0052019A"/>
    <w:rsid w:val="00521414"/>
    <w:rsid w:val="0053099E"/>
    <w:rsid w:val="00533F20"/>
    <w:rsid w:val="00534A3B"/>
    <w:rsid w:val="0054418D"/>
    <w:rsid w:val="00545E6A"/>
    <w:rsid w:val="005508C2"/>
    <w:rsid w:val="00556101"/>
    <w:rsid w:val="005618A9"/>
    <w:rsid w:val="00565E05"/>
    <w:rsid w:val="00566BAE"/>
    <w:rsid w:val="005836F8"/>
    <w:rsid w:val="005846B1"/>
    <w:rsid w:val="00586186"/>
    <w:rsid w:val="00586D35"/>
    <w:rsid w:val="00597F3F"/>
    <w:rsid w:val="005C14F9"/>
    <w:rsid w:val="005D0FBC"/>
    <w:rsid w:val="005D1BD8"/>
    <w:rsid w:val="005D3707"/>
    <w:rsid w:val="005E5AE6"/>
    <w:rsid w:val="005E7EE8"/>
    <w:rsid w:val="005F41EA"/>
    <w:rsid w:val="005F641F"/>
    <w:rsid w:val="005F792D"/>
    <w:rsid w:val="006003CD"/>
    <w:rsid w:val="0060163F"/>
    <w:rsid w:val="00610701"/>
    <w:rsid w:val="0061419D"/>
    <w:rsid w:val="00616174"/>
    <w:rsid w:val="006272A3"/>
    <w:rsid w:val="0063019B"/>
    <w:rsid w:val="00631315"/>
    <w:rsid w:val="00632A96"/>
    <w:rsid w:val="00645620"/>
    <w:rsid w:val="006534E7"/>
    <w:rsid w:val="00660953"/>
    <w:rsid w:val="00660A6D"/>
    <w:rsid w:val="00670AC3"/>
    <w:rsid w:val="00671DB5"/>
    <w:rsid w:val="00682B4E"/>
    <w:rsid w:val="00686BA5"/>
    <w:rsid w:val="00686E2E"/>
    <w:rsid w:val="00690D05"/>
    <w:rsid w:val="006964B8"/>
    <w:rsid w:val="006A4388"/>
    <w:rsid w:val="006B005F"/>
    <w:rsid w:val="006C3E92"/>
    <w:rsid w:val="006C6EDF"/>
    <w:rsid w:val="006D476B"/>
    <w:rsid w:val="006E020C"/>
    <w:rsid w:val="006E1A1A"/>
    <w:rsid w:val="006F13C8"/>
    <w:rsid w:val="006F2041"/>
    <w:rsid w:val="006F5315"/>
    <w:rsid w:val="006F5EAA"/>
    <w:rsid w:val="00701DFF"/>
    <w:rsid w:val="00736D86"/>
    <w:rsid w:val="007438F0"/>
    <w:rsid w:val="007614B8"/>
    <w:rsid w:val="007631E4"/>
    <w:rsid w:val="007A56E4"/>
    <w:rsid w:val="007B2171"/>
    <w:rsid w:val="007B529F"/>
    <w:rsid w:val="007C579B"/>
    <w:rsid w:val="007C77E2"/>
    <w:rsid w:val="007D4AE2"/>
    <w:rsid w:val="007D7DA1"/>
    <w:rsid w:val="007E5B01"/>
    <w:rsid w:val="007E6753"/>
    <w:rsid w:val="007F0929"/>
    <w:rsid w:val="007F1E40"/>
    <w:rsid w:val="007F2422"/>
    <w:rsid w:val="007F3AC0"/>
    <w:rsid w:val="007F4074"/>
    <w:rsid w:val="007F6B4A"/>
    <w:rsid w:val="00821D97"/>
    <w:rsid w:val="008240D6"/>
    <w:rsid w:val="00824B43"/>
    <w:rsid w:val="00845E76"/>
    <w:rsid w:val="00847E1B"/>
    <w:rsid w:val="00852FB8"/>
    <w:rsid w:val="008617C3"/>
    <w:rsid w:val="00866D4B"/>
    <w:rsid w:val="00883D06"/>
    <w:rsid w:val="00891B02"/>
    <w:rsid w:val="008A5054"/>
    <w:rsid w:val="008B5911"/>
    <w:rsid w:val="008C5F81"/>
    <w:rsid w:val="008D3E35"/>
    <w:rsid w:val="008E0C8D"/>
    <w:rsid w:val="00906B6C"/>
    <w:rsid w:val="00917C38"/>
    <w:rsid w:val="00944B99"/>
    <w:rsid w:val="009450CF"/>
    <w:rsid w:val="00966744"/>
    <w:rsid w:val="00976D12"/>
    <w:rsid w:val="00977E23"/>
    <w:rsid w:val="0099190A"/>
    <w:rsid w:val="009948B1"/>
    <w:rsid w:val="009A040B"/>
    <w:rsid w:val="009A25F6"/>
    <w:rsid w:val="009B0F75"/>
    <w:rsid w:val="009D2C2A"/>
    <w:rsid w:val="009D3856"/>
    <w:rsid w:val="009D5281"/>
    <w:rsid w:val="009D5B4D"/>
    <w:rsid w:val="009D7426"/>
    <w:rsid w:val="009F2DB9"/>
    <w:rsid w:val="009F5AB9"/>
    <w:rsid w:val="009F7BBD"/>
    <w:rsid w:val="00A1234D"/>
    <w:rsid w:val="00A14B5D"/>
    <w:rsid w:val="00A17337"/>
    <w:rsid w:val="00A338DA"/>
    <w:rsid w:val="00A36AE2"/>
    <w:rsid w:val="00A406E5"/>
    <w:rsid w:val="00A42557"/>
    <w:rsid w:val="00A444E4"/>
    <w:rsid w:val="00A44C20"/>
    <w:rsid w:val="00A57406"/>
    <w:rsid w:val="00A60A50"/>
    <w:rsid w:val="00A752F4"/>
    <w:rsid w:val="00A95152"/>
    <w:rsid w:val="00AB0802"/>
    <w:rsid w:val="00AD146C"/>
    <w:rsid w:val="00AD2BC6"/>
    <w:rsid w:val="00AD31F8"/>
    <w:rsid w:val="00AF1D55"/>
    <w:rsid w:val="00AF2001"/>
    <w:rsid w:val="00AF3493"/>
    <w:rsid w:val="00AF7246"/>
    <w:rsid w:val="00B10A4C"/>
    <w:rsid w:val="00B16F88"/>
    <w:rsid w:val="00B30F64"/>
    <w:rsid w:val="00B62210"/>
    <w:rsid w:val="00B73833"/>
    <w:rsid w:val="00B768B9"/>
    <w:rsid w:val="00B77009"/>
    <w:rsid w:val="00B82C1D"/>
    <w:rsid w:val="00B85FD6"/>
    <w:rsid w:val="00B90D3A"/>
    <w:rsid w:val="00B90EB6"/>
    <w:rsid w:val="00B92A4C"/>
    <w:rsid w:val="00BA00AB"/>
    <w:rsid w:val="00BA223E"/>
    <w:rsid w:val="00BA5580"/>
    <w:rsid w:val="00BA6A11"/>
    <w:rsid w:val="00BB5F32"/>
    <w:rsid w:val="00BC2BF0"/>
    <w:rsid w:val="00BC5727"/>
    <w:rsid w:val="00BC5A15"/>
    <w:rsid w:val="00BD01E8"/>
    <w:rsid w:val="00BD6431"/>
    <w:rsid w:val="00BE4CC6"/>
    <w:rsid w:val="00BF0118"/>
    <w:rsid w:val="00BF6BDD"/>
    <w:rsid w:val="00C10827"/>
    <w:rsid w:val="00C10F22"/>
    <w:rsid w:val="00C11702"/>
    <w:rsid w:val="00C11A14"/>
    <w:rsid w:val="00C15C48"/>
    <w:rsid w:val="00C35A41"/>
    <w:rsid w:val="00C36F08"/>
    <w:rsid w:val="00C50767"/>
    <w:rsid w:val="00C72063"/>
    <w:rsid w:val="00C72B39"/>
    <w:rsid w:val="00C92E6F"/>
    <w:rsid w:val="00C94B90"/>
    <w:rsid w:val="00C9737B"/>
    <w:rsid w:val="00CC27D0"/>
    <w:rsid w:val="00CC6F21"/>
    <w:rsid w:val="00CD06DD"/>
    <w:rsid w:val="00CE2EE0"/>
    <w:rsid w:val="00CF418C"/>
    <w:rsid w:val="00CF4D0B"/>
    <w:rsid w:val="00D01634"/>
    <w:rsid w:val="00D01DD1"/>
    <w:rsid w:val="00D05BB4"/>
    <w:rsid w:val="00D072D8"/>
    <w:rsid w:val="00D07D63"/>
    <w:rsid w:val="00D22973"/>
    <w:rsid w:val="00D35102"/>
    <w:rsid w:val="00D41730"/>
    <w:rsid w:val="00D57ECF"/>
    <w:rsid w:val="00D806C5"/>
    <w:rsid w:val="00D90EA6"/>
    <w:rsid w:val="00D969BC"/>
    <w:rsid w:val="00DA0B72"/>
    <w:rsid w:val="00DA55F3"/>
    <w:rsid w:val="00DA7123"/>
    <w:rsid w:val="00DB25D3"/>
    <w:rsid w:val="00DB48F5"/>
    <w:rsid w:val="00DB549E"/>
    <w:rsid w:val="00DB5EED"/>
    <w:rsid w:val="00DC27F2"/>
    <w:rsid w:val="00DD10E0"/>
    <w:rsid w:val="00DD39C9"/>
    <w:rsid w:val="00DD7CA5"/>
    <w:rsid w:val="00DF26F3"/>
    <w:rsid w:val="00DF7926"/>
    <w:rsid w:val="00E21DD6"/>
    <w:rsid w:val="00E23CDD"/>
    <w:rsid w:val="00E54F06"/>
    <w:rsid w:val="00E70C39"/>
    <w:rsid w:val="00E73F93"/>
    <w:rsid w:val="00E82957"/>
    <w:rsid w:val="00E86457"/>
    <w:rsid w:val="00EA5761"/>
    <w:rsid w:val="00EB6713"/>
    <w:rsid w:val="00EB739E"/>
    <w:rsid w:val="00EB7C70"/>
    <w:rsid w:val="00ED36C8"/>
    <w:rsid w:val="00ED5089"/>
    <w:rsid w:val="00EE0D7E"/>
    <w:rsid w:val="00EE5980"/>
    <w:rsid w:val="00F22D73"/>
    <w:rsid w:val="00F33528"/>
    <w:rsid w:val="00F36307"/>
    <w:rsid w:val="00F3700F"/>
    <w:rsid w:val="00F37D2B"/>
    <w:rsid w:val="00F736D0"/>
    <w:rsid w:val="00F74ADE"/>
    <w:rsid w:val="00F76A41"/>
    <w:rsid w:val="00F818F3"/>
    <w:rsid w:val="00F81B55"/>
    <w:rsid w:val="00F8640B"/>
    <w:rsid w:val="00F949A9"/>
    <w:rsid w:val="00FA0011"/>
    <w:rsid w:val="00FA0A3F"/>
    <w:rsid w:val="00FA4B49"/>
    <w:rsid w:val="00FA729B"/>
    <w:rsid w:val="00FB6C0A"/>
    <w:rsid w:val="00FC475F"/>
    <w:rsid w:val="00FD4177"/>
    <w:rsid w:val="00FE3DDE"/>
    <w:rsid w:val="00FE5E70"/>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B72"/>
    <w:rPr>
      <w:sz w:val="20"/>
      <w:szCs w:val="20"/>
    </w:rPr>
  </w:style>
  <w:style w:type="paragraph" w:styleId="Heading1">
    <w:name w:val="heading 1"/>
    <w:basedOn w:val="Normal"/>
    <w:next w:val="Normal"/>
    <w:link w:val="Heading1Char"/>
    <w:uiPriority w:val="99"/>
    <w:qFormat/>
    <w:rsid w:val="00DA0B72"/>
    <w:pPr>
      <w:keepNext/>
      <w:jc w:val="right"/>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DA0B72"/>
    <w:pPr>
      <w:keepNext/>
      <w:jc w:val="center"/>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DA0B72"/>
    <w:pPr>
      <w:keepNext/>
      <w:jc w:val="center"/>
      <w:outlineLvl w:val="2"/>
    </w:pPr>
    <w:rPr>
      <w:rFonts w:ascii="Cambria" w:hAnsi="Cambria" w:cs="Cambria"/>
      <w:b/>
      <w:bCs/>
      <w:sz w:val="26"/>
      <w:szCs w:val="26"/>
    </w:rPr>
  </w:style>
  <w:style w:type="paragraph" w:styleId="Heading4">
    <w:name w:val="heading 4"/>
    <w:basedOn w:val="Normal"/>
    <w:next w:val="Normal"/>
    <w:link w:val="Heading4Char"/>
    <w:uiPriority w:val="99"/>
    <w:qFormat/>
    <w:rsid w:val="00DA0B72"/>
    <w:pPr>
      <w:keepNext/>
      <w:ind w:left="5670"/>
      <w:jc w:val="both"/>
      <w:outlineLvl w:val="3"/>
    </w:pPr>
    <w:rPr>
      <w:rFonts w:ascii="Calibri" w:hAnsi="Calibri" w:cs="Calibri"/>
      <w:b/>
      <w:bCs/>
      <w:sz w:val="28"/>
      <w:szCs w:val="28"/>
    </w:rPr>
  </w:style>
  <w:style w:type="paragraph" w:styleId="Heading5">
    <w:name w:val="heading 5"/>
    <w:basedOn w:val="Normal"/>
    <w:next w:val="Normal"/>
    <w:link w:val="Heading5Char"/>
    <w:uiPriority w:val="99"/>
    <w:qFormat/>
    <w:rsid w:val="00DA0B72"/>
    <w:pPr>
      <w:keepNext/>
      <w:outlineLvl w:val="4"/>
    </w:pPr>
    <w:rPr>
      <w:rFonts w:ascii="Calibri" w:hAnsi="Calibri" w:cs="Calibri"/>
      <w:b/>
      <w:bCs/>
      <w:i/>
      <w:i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338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8338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183381"/>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183381"/>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183381"/>
    <w:rPr>
      <w:rFonts w:ascii="Calibri" w:hAnsi="Calibri" w:cs="Calibri"/>
      <w:b/>
      <w:bCs/>
      <w:i/>
      <w:iCs/>
      <w:sz w:val="26"/>
      <w:szCs w:val="26"/>
    </w:rPr>
  </w:style>
  <w:style w:type="paragraph" w:styleId="FootnoteText">
    <w:name w:val="footnote text"/>
    <w:basedOn w:val="Normal"/>
    <w:link w:val="FootnoteTextChar"/>
    <w:uiPriority w:val="99"/>
    <w:semiHidden/>
    <w:rsid w:val="00DA0B72"/>
  </w:style>
  <w:style w:type="character" w:customStyle="1" w:styleId="FootnoteTextChar">
    <w:name w:val="Footnote Text Char"/>
    <w:basedOn w:val="DefaultParagraphFont"/>
    <w:link w:val="FootnoteText"/>
    <w:uiPriority w:val="99"/>
    <w:semiHidden/>
    <w:locked/>
    <w:rsid w:val="00183381"/>
    <w:rPr>
      <w:sz w:val="20"/>
      <w:szCs w:val="20"/>
    </w:rPr>
  </w:style>
  <w:style w:type="paragraph" w:customStyle="1" w:styleId="apostille">
    <w:name w:val="apostille"/>
    <w:basedOn w:val="Normal"/>
    <w:uiPriority w:val="99"/>
    <w:rsid w:val="00DA0B72"/>
    <w:pPr>
      <w:spacing w:before="120"/>
      <w:jc w:val="right"/>
    </w:pPr>
    <w:rPr>
      <w:b/>
      <w:bCs/>
      <w:i/>
      <w:iCs/>
      <w:smallCaps/>
      <w:sz w:val="24"/>
      <w:szCs w:val="24"/>
    </w:rPr>
  </w:style>
  <w:style w:type="paragraph" w:customStyle="1" w:styleId="obs">
    <w:name w:val="obs"/>
    <w:basedOn w:val="Normal"/>
    <w:uiPriority w:val="99"/>
    <w:rsid w:val="00DA0B72"/>
    <w:pPr>
      <w:spacing w:before="240" w:after="120"/>
      <w:jc w:val="both"/>
    </w:pPr>
    <w:rPr>
      <w:b/>
      <w:bCs/>
      <w:sz w:val="24"/>
      <w:szCs w:val="24"/>
    </w:rPr>
  </w:style>
  <w:style w:type="character" w:styleId="FootnoteReference">
    <w:name w:val="footnote reference"/>
    <w:basedOn w:val="DefaultParagraphFont"/>
    <w:uiPriority w:val="99"/>
    <w:semiHidden/>
    <w:rsid w:val="00DA0B72"/>
    <w:rPr>
      <w:vertAlign w:val="superscript"/>
    </w:rPr>
  </w:style>
  <w:style w:type="paragraph" w:styleId="BodyText">
    <w:name w:val="Body Text"/>
    <w:basedOn w:val="Normal"/>
    <w:link w:val="BodyTextChar"/>
    <w:uiPriority w:val="99"/>
    <w:rsid w:val="00DA0B72"/>
    <w:pPr>
      <w:jc w:val="both"/>
    </w:pPr>
  </w:style>
  <w:style w:type="character" w:customStyle="1" w:styleId="BodyTextChar">
    <w:name w:val="Body Text Char"/>
    <w:basedOn w:val="DefaultParagraphFont"/>
    <w:link w:val="BodyText"/>
    <w:uiPriority w:val="99"/>
    <w:semiHidden/>
    <w:locked/>
    <w:rsid w:val="00183381"/>
    <w:rPr>
      <w:sz w:val="20"/>
      <w:szCs w:val="20"/>
    </w:rPr>
  </w:style>
  <w:style w:type="paragraph" w:styleId="BodyText2">
    <w:name w:val="Body Text 2"/>
    <w:basedOn w:val="Normal"/>
    <w:link w:val="BodyText2Char"/>
    <w:uiPriority w:val="99"/>
    <w:rsid w:val="00DA0B72"/>
  </w:style>
  <w:style w:type="character" w:customStyle="1" w:styleId="BodyText2Char">
    <w:name w:val="Body Text 2 Char"/>
    <w:basedOn w:val="DefaultParagraphFont"/>
    <w:link w:val="BodyText2"/>
    <w:uiPriority w:val="99"/>
    <w:semiHidden/>
    <w:locked/>
    <w:rsid w:val="00183381"/>
    <w:rPr>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sz w:val="2"/>
      <w:szCs w:val="2"/>
    </w:rPr>
  </w:style>
  <w:style w:type="character" w:customStyle="1" w:styleId="BalloonTextChar">
    <w:name w:val="Balloon Text Char"/>
    <w:basedOn w:val="DefaultParagraphFont"/>
    <w:link w:val="BalloonText"/>
    <w:uiPriority w:val="99"/>
    <w:semiHidden/>
    <w:locked/>
    <w:rsid w:val="00183381"/>
    <w:rPr>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link w:val="PS"/>
    <w:uiPriority w:val="99"/>
    <w:locked/>
    <w:rsid w:val="00B82C1D"/>
    <w:rPr>
      <w:rFonts w:ascii="CG Times (WN)" w:hAnsi="CG Times (WN)" w:cs="CG Times (WN)"/>
      <w:sz w:val="24"/>
      <w:szCs w:val="24"/>
      <w:lang w:val="fr-FR" w:eastAsia="fr-FR"/>
    </w:rPr>
  </w:style>
  <w:style w:type="paragraph" w:styleId="NormalWeb">
    <w:name w:val="Normal (Web)"/>
    <w:basedOn w:val="Normal"/>
    <w:uiPriority w:val="99"/>
    <w:rsid w:val="002E6CEF"/>
    <w:pPr>
      <w:spacing w:before="100" w:beforeAutospacing="1" w:after="100" w:afterAutospacing="1"/>
    </w:pPr>
    <w:rPr>
      <w:sz w:val="24"/>
      <w:szCs w:val="24"/>
    </w:rPr>
  </w:style>
  <w:style w:type="paragraph" w:customStyle="1" w:styleId="ps0">
    <w:name w:val="ps"/>
    <w:basedOn w:val="Normal"/>
    <w:uiPriority w:val="99"/>
    <w:rsid w:val="00D01634"/>
    <w:pPr>
      <w:spacing w:before="100" w:beforeAutospacing="1" w:after="100" w:afterAutospacing="1"/>
    </w:pPr>
    <w:rPr>
      <w:sz w:val="24"/>
      <w:szCs w:val="24"/>
    </w:rPr>
  </w:style>
  <w:style w:type="character" w:styleId="Hyperlink">
    <w:name w:val="Hyperlink"/>
    <w:basedOn w:val="DefaultParagraphFont"/>
    <w:uiPriority w:val="99"/>
    <w:rsid w:val="00D01634"/>
    <w:rPr>
      <w:color w:val="0000FF"/>
      <w:u w:val="single"/>
    </w:rPr>
  </w:style>
  <w:style w:type="paragraph" w:customStyle="1" w:styleId="western">
    <w:name w:val="western"/>
    <w:basedOn w:val="Normal"/>
    <w:uiPriority w:val="99"/>
    <w:rsid w:val="007614B8"/>
    <w:pPr>
      <w:spacing w:before="100" w:beforeAutospacing="1" w:after="100" w:afterAutospacing="1"/>
    </w:pPr>
    <w:rPr>
      <w:color w:val="000000"/>
      <w:sz w:val="24"/>
      <w:szCs w:val="24"/>
    </w:rPr>
  </w:style>
  <w:style w:type="paragraph" w:styleId="Header">
    <w:name w:val="header"/>
    <w:basedOn w:val="Normal"/>
    <w:link w:val="HeaderChar"/>
    <w:uiPriority w:val="99"/>
    <w:rsid w:val="000A180A"/>
    <w:pPr>
      <w:tabs>
        <w:tab w:val="center" w:pos="4536"/>
        <w:tab w:val="right" w:pos="9072"/>
      </w:tabs>
      <w:spacing w:before="120"/>
      <w:jc w:val="both"/>
    </w:pPr>
  </w:style>
  <w:style w:type="character" w:customStyle="1" w:styleId="HeaderChar">
    <w:name w:val="Header Char"/>
    <w:basedOn w:val="DefaultParagraphFont"/>
    <w:link w:val="Header"/>
    <w:uiPriority w:val="99"/>
    <w:semiHidden/>
    <w:locked/>
    <w:rsid w:val="00183381"/>
    <w:rPr>
      <w:sz w:val="20"/>
      <w:szCs w:val="20"/>
    </w:rPr>
  </w:style>
  <w:style w:type="paragraph" w:customStyle="1" w:styleId="alina-western">
    <w:name w:val="alinéa-western"/>
    <w:basedOn w:val="Normal"/>
    <w:uiPriority w:val="99"/>
    <w:rsid w:val="009948B1"/>
    <w:pPr>
      <w:spacing w:before="119" w:after="119"/>
      <w:ind w:firstLine="284"/>
      <w:jc w:val="both"/>
    </w:pPr>
    <w:rPr>
      <w:color w:val="000000"/>
      <w:sz w:val="24"/>
      <w:szCs w:val="24"/>
    </w:rPr>
  </w:style>
  <w:style w:type="character" w:customStyle="1" w:styleId="surligne">
    <w:name w:val="surligne"/>
    <w:basedOn w:val="DefaultParagraphFont"/>
    <w:uiPriority w:val="99"/>
    <w:rsid w:val="007E5B01"/>
  </w:style>
  <w:style w:type="paragraph" w:styleId="Footer">
    <w:name w:val="footer"/>
    <w:basedOn w:val="Normal"/>
    <w:link w:val="FooterChar"/>
    <w:uiPriority w:val="99"/>
    <w:rsid w:val="00297250"/>
    <w:pPr>
      <w:tabs>
        <w:tab w:val="center" w:pos="4536"/>
        <w:tab w:val="right" w:pos="9072"/>
      </w:tabs>
    </w:pPr>
  </w:style>
  <w:style w:type="character" w:customStyle="1" w:styleId="FooterChar">
    <w:name w:val="Footer Char"/>
    <w:basedOn w:val="DefaultParagraphFont"/>
    <w:link w:val="Footer"/>
    <w:uiPriority w:val="99"/>
    <w:semiHidden/>
    <w:locked/>
    <w:rsid w:val="00183381"/>
    <w:rPr>
      <w:sz w:val="20"/>
      <w:szCs w:val="20"/>
    </w:rPr>
  </w:style>
  <w:style w:type="character" w:styleId="PageNumber">
    <w:name w:val="page number"/>
    <w:basedOn w:val="DefaultParagraphFont"/>
    <w:uiPriority w:val="99"/>
    <w:rsid w:val="00297250"/>
  </w:style>
  <w:style w:type="paragraph" w:customStyle="1" w:styleId="Style">
    <w:name w:val="Style"/>
    <w:basedOn w:val="Normal"/>
    <w:uiPriority w:val="99"/>
    <w:rsid w:val="006F2041"/>
    <w:pPr>
      <w:spacing w:after="160" w:line="240" w:lineRule="exact"/>
    </w:pPr>
    <w:rPr>
      <w:rFonts w:ascii="Tahoma" w:hAnsi="Tahoma" w:cs="Tahoma"/>
      <w:lang w:val="en-US" w:eastAsia="en-US"/>
    </w:rPr>
  </w:style>
  <w:style w:type="paragraph" w:customStyle="1" w:styleId="P0">
    <w:name w:val="P0"/>
    <w:basedOn w:val="Normal"/>
    <w:link w:val="P0Car"/>
    <w:uiPriority w:val="99"/>
    <w:rsid w:val="00BB5F32"/>
    <w:pPr>
      <w:ind w:left="1701"/>
      <w:jc w:val="both"/>
    </w:pPr>
    <w:rPr>
      <w:sz w:val="24"/>
      <w:szCs w:val="24"/>
    </w:rPr>
  </w:style>
  <w:style w:type="paragraph" w:customStyle="1" w:styleId="CarCar1CarCarCar">
    <w:name w:val="Car Car1 Car Car Car"/>
    <w:basedOn w:val="Normal"/>
    <w:uiPriority w:val="99"/>
    <w:rsid w:val="00BB5F32"/>
    <w:pPr>
      <w:spacing w:after="160" w:line="240" w:lineRule="exact"/>
    </w:pPr>
    <w:rPr>
      <w:rFonts w:ascii="Tahoma" w:hAnsi="Tahoma" w:cs="Tahoma"/>
      <w:lang w:val="en-US" w:eastAsia="en-US"/>
    </w:rPr>
  </w:style>
  <w:style w:type="character" w:customStyle="1" w:styleId="P0Car">
    <w:name w:val="P0 Car"/>
    <w:link w:val="P0"/>
    <w:uiPriority w:val="99"/>
    <w:locked/>
    <w:rsid w:val="00BB5F32"/>
    <w:rPr>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1996834969">
      <w:marLeft w:val="0"/>
      <w:marRight w:val="0"/>
      <w:marTop w:val="0"/>
      <w:marBottom w:val="0"/>
      <w:divBdr>
        <w:top w:val="none" w:sz="0" w:space="0" w:color="auto"/>
        <w:left w:val="none" w:sz="0" w:space="0" w:color="auto"/>
        <w:bottom w:val="none" w:sz="0" w:space="0" w:color="auto"/>
        <w:right w:val="none" w:sz="0" w:space="0" w:color="auto"/>
      </w:divBdr>
    </w:div>
    <w:div w:id="1996834970">
      <w:marLeft w:val="0"/>
      <w:marRight w:val="0"/>
      <w:marTop w:val="0"/>
      <w:marBottom w:val="0"/>
      <w:divBdr>
        <w:top w:val="none" w:sz="0" w:space="0" w:color="auto"/>
        <w:left w:val="none" w:sz="0" w:space="0" w:color="auto"/>
        <w:bottom w:val="none" w:sz="0" w:space="0" w:color="auto"/>
        <w:right w:val="none" w:sz="0" w:space="0" w:color="auto"/>
      </w:divBdr>
    </w:div>
    <w:div w:id="1996834972">
      <w:marLeft w:val="45"/>
      <w:marRight w:val="0"/>
      <w:marTop w:val="0"/>
      <w:marBottom w:val="0"/>
      <w:divBdr>
        <w:top w:val="none" w:sz="0" w:space="0" w:color="auto"/>
        <w:left w:val="none" w:sz="0" w:space="0" w:color="auto"/>
        <w:bottom w:val="none" w:sz="0" w:space="0" w:color="auto"/>
        <w:right w:val="none" w:sz="0" w:space="0" w:color="auto"/>
      </w:divBdr>
      <w:divsChild>
        <w:div w:id="1996834971">
          <w:marLeft w:val="0"/>
          <w:marRight w:val="0"/>
          <w:marTop w:val="0"/>
          <w:marBottom w:val="0"/>
          <w:divBdr>
            <w:top w:val="none" w:sz="0" w:space="0" w:color="auto"/>
            <w:left w:val="none" w:sz="0" w:space="0" w:color="auto"/>
            <w:bottom w:val="none" w:sz="0" w:space="0" w:color="auto"/>
            <w:right w:val="none" w:sz="0" w:space="0" w:color="auto"/>
          </w:divBdr>
        </w:div>
      </w:divsChild>
    </w:div>
    <w:div w:id="1996834973">
      <w:marLeft w:val="45"/>
      <w:marRight w:val="0"/>
      <w:marTop w:val="0"/>
      <w:marBottom w:val="0"/>
      <w:divBdr>
        <w:top w:val="none" w:sz="0" w:space="0" w:color="auto"/>
        <w:left w:val="none" w:sz="0" w:space="0" w:color="auto"/>
        <w:bottom w:val="none" w:sz="0" w:space="0" w:color="auto"/>
        <w:right w:val="none" w:sz="0" w:space="0" w:color="auto"/>
      </w:divBdr>
      <w:divsChild>
        <w:div w:id="1996834968">
          <w:marLeft w:val="0"/>
          <w:marRight w:val="0"/>
          <w:marTop w:val="0"/>
          <w:marBottom w:val="0"/>
          <w:divBdr>
            <w:top w:val="none" w:sz="0" w:space="0" w:color="auto"/>
            <w:left w:val="none" w:sz="0" w:space="0" w:color="auto"/>
            <w:bottom w:val="none" w:sz="0" w:space="0" w:color="auto"/>
            <w:right w:val="none" w:sz="0" w:space="0" w:color="auto"/>
          </w:divBdr>
        </w:div>
      </w:divsChild>
    </w:div>
    <w:div w:id="19968349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4</Pages>
  <Words>1082</Words>
  <Characters>5956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d'appel - Cour des comptes - Commune de Ploumilliau (Côtes d'Armor) - Appel d'un jugement de la chambre régionale des comptes de Bretagne</dc:title>
  <dc:subject>Arret d'appel - Cour des comptes - Commune de Ploumilliau (Côtes d'Armor) - Appel d'un jugement de la chambre régionale des comptes de Bretagne - 10/05/2012</dc:subject>
  <dc:creator>Cour des comptes - 10/05/2012</dc:creator>
  <cp:keywords>Arret d'appel - Cour des comptes - Commune de Ploumilliau (Côtes d'Armor) - Appel d'un jugement de la chambre régionale des comptes de Bretagne - 10/05/2012 - 63728</cp:keywords>
  <dc:description/>
  <cp:lastModifiedBy>mtlecroisey</cp:lastModifiedBy>
  <cp:revision>5</cp:revision>
  <cp:lastPrinted>2012-05-10T13:12:00Z</cp:lastPrinted>
  <dcterms:created xsi:type="dcterms:W3CDTF">2012-07-12T14:18:00Z</dcterms:created>
  <dcterms:modified xsi:type="dcterms:W3CDTF">2012-07-24T16:12:00Z</dcterms:modified>
</cp:coreProperties>
</file>