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68" w:type="dxa"/>
        <w:tblLayout w:type="fixed"/>
        <w:tblCellMar>
          <w:left w:w="70" w:type="dxa"/>
          <w:right w:w="70" w:type="dxa"/>
        </w:tblCellMar>
        <w:tblLook w:val="0000" w:firstRow="0" w:lastRow="0" w:firstColumn="0" w:lastColumn="0" w:noHBand="0" w:noVBand="0"/>
      </w:tblPr>
      <w:tblGrid>
        <w:gridCol w:w="3545"/>
        <w:gridCol w:w="1842"/>
        <w:gridCol w:w="4678"/>
      </w:tblGrid>
      <w:tr w:rsidR="006230FF">
        <w:tc>
          <w:tcPr>
            <w:tcW w:w="3545" w:type="dxa"/>
            <w:vAlign w:val="center"/>
          </w:tcPr>
          <w:p w:rsidR="006230FF" w:rsidRDefault="006230FF" w:rsidP="00D8197D">
            <w:pPr>
              <w:pStyle w:val="1pageCour"/>
              <w:ind w:left="219"/>
            </w:pPr>
            <w:bookmarkStart w:id="0" w:name="_GoBack"/>
            <w:r>
              <w:t>Cour des comptes</w:t>
            </w:r>
          </w:p>
        </w:tc>
        <w:tc>
          <w:tcPr>
            <w:tcW w:w="1842" w:type="dxa"/>
            <w:vAlign w:val="center"/>
          </w:tcPr>
          <w:p w:rsidR="006230FF" w:rsidRPr="00234CBE" w:rsidRDefault="006230FF" w:rsidP="009A60B0">
            <w:pPr>
              <w:pStyle w:val="Corpsdetexte"/>
              <w:spacing w:before="0" w:after="0"/>
              <w:ind w:firstLine="0"/>
            </w:pPr>
          </w:p>
        </w:tc>
        <w:tc>
          <w:tcPr>
            <w:tcW w:w="4678" w:type="dxa"/>
            <w:vAlign w:val="center"/>
          </w:tcPr>
          <w:p w:rsidR="006230FF" w:rsidRPr="00234CBE" w:rsidRDefault="006230FF" w:rsidP="009A60B0">
            <w:pPr>
              <w:pStyle w:val="Corpsdetexte"/>
              <w:spacing w:before="0" w:after="0"/>
              <w:ind w:firstLine="0"/>
            </w:pPr>
          </w:p>
        </w:tc>
      </w:tr>
      <w:tr w:rsidR="006230FF" w:rsidRPr="00BE69A2">
        <w:tc>
          <w:tcPr>
            <w:tcW w:w="3545" w:type="dxa"/>
            <w:vAlign w:val="center"/>
          </w:tcPr>
          <w:p w:rsidR="006230FF" w:rsidRPr="00234CBE" w:rsidRDefault="006230FF" w:rsidP="00D8197D">
            <w:pPr>
              <w:pStyle w:val="Corpsdetexte"/>
              <w:spacing w:before="0" w:after="0"/>
              <w:ind w:left="219" w:firstLine="0"/>
              <w:jc w:val="center"/>
              <w:rPr>
                <w:smallCaps/>
                <w:sz w:val="16"/>
                <w:szCs w:val="16"/>
              </w:rPr>
            </w:pPr>
            <w:r w:rsidRPr="00234CBE">
              <w:rPr>
                <w:smallCaps/>
                <w:sz w:val="16"/>
                <w:szCs w:val="16"/>
              </w:rPr>
              <w:t>----------</w:t>
            </w:r>
          </w:p>
        </w:tc>
        <w:tc>
          <w:tcPr>
            <w:tcW w:w="1842" w:type="dxa"/>
            <w:vAlign w:val="center"/>
          </w:tcPr>
          <w:p w:rsidR="006230FF" w:rsidRPr="00234CBE" w:rsidRDefault="006230FF" w:rsidP="009A60B0">
            <w:pPr>
              <w:pStyle w:val="Corpsdetexte"/>
              <w:spacing w:before="0" w:after="0"/>
              <w:ind w:firstLine="0"/>
              <w:rPr>
                <w:sz w:val="16"/>
                <w:szCs w:val="16"/>
              </w:rPr>
            </w:pPr>
          </w:p>
        </w:tc>
        <w:tc>
          <w:tcPr>
            <w:tcW w:w="4678" w:type="dxa"/>
            <w:vAlign w:val="center"/>
          </w:tcPr>
          <w:p w:rsidR="006230FF" w:rsidRPr="00234CBE" w:rsidRDefault="006230FF" w:rsidP="009A60B0">
            <w:pPr>
              <w:pStyle w:val="Corpsdetexte"/>
              <w:spacing w:before="0" w:after="0"/>
              <w:ind w:firstLine="0"/>
              <w:rPr>
                <w:sz w:val="16"/>
                <w:szCs w:val="16"/>
              </w:rPr>
            </w:pPr>
          </w:p>
        </w:tc>
      </w:tr>
      <w:tr w:rsidR="006230FF">
        <w:tc>
          <w:tcPr>
            <w:tcW w:w="3545" w:type="dxa"/>
            <w:vAlign w:val="center"/>
          </w:tcPr>
          <w:p w:rsidR="006230FF" w:rsidRDefault="006230FF" w:rsidP="00D8197D">
            <w:pPr>
              <w:pStyle w:val="1pageChambre"/>
              <w:ind w:left="219"/>
            </w:pPr>
            <w:r>
              <w:t>Chambres réunies</w:t>
            </w:r>
          </w:p>
        </w:tc>
        <w:tc>
          <w:tcPr>
            <w:tcW w:w="1842" w:type="dxa"/>
            <w:vAlign w:val="center"/>
          </w:tcPr>
          <w:p w:rsidR="006230FF" w:rsidRPr="00234CBE" w:rsidRDefault="006230FF" w:rsidP="009A60B0">
            <w:pPr>
              <w:pStyle w:val="Corpsdetexte"/>
              <w:spacing w:before="0" w:after="0"/>
              <w:ind w:firstLine="0"/>
            </w:pPr>
          </w:p>
        </w:tc>
        <w:tc>
          <w:tcPr>
            <w:tcW w:w="4678" w:type="dxa"/>
            <w:vAlign w:val="center"/>
          </w:tcPr>
          <w:p w:rsidR="006230FF" w:rsidRPr="00234CBE" w:rsidRDefault="006230FF" w:rsidP="009A60B0">
            <w:pPr>
              <w:pStyle w:val="Corpsdetexte"/>
              <w:spacing w:before="0" w:after="0"/>
              <w:ind w:firstLine="0"/>
            </w:pPr>
          </w:p>
        </w:tc>
      </w:tr>
      <w:tr w:rsidR="006230FF" w:rsidRPr="00BE69A2">
        <w:tc>
          <w:tcPr>
            <w:tcW w:w="3545" w:type="dxa"/>
            <w:vAlign w:val="center"/>
          </w:tcPr>
          <w:p w:rsidR="006230FF" w:rsidRPr="00234CBE" w:rsidRDefault="006230FF" w:rsidP="00D8197D">
            <w:pPr>
              <w:pStyle w:val="Corpsdetexte"/>
              <w:spacing w:before="0" w:after="0"/>
              <w:ind w:left="219" w:firstLine="0"/>
              <w:jc w:val="center"/>
              <w:rPr>
                <w:smallCaps/>
                <w:sz w:val="16"/>
                <w:szCs w:val="16"/>
              </w:rPr>
            </w:pPr>
            <w:r w:rsidRPr="00234CBE">
              <w:rPr>
                <w:smallCaps/>
                <w:sz w:val="16"/>
                <w:szCs w:val="16"/>
              </w:rPr>
              <w:t>----------</w:t>
            </w:r>
          </w:p>
        </w:tc>
        <w:tc>
          <w:tcPr>
            <w:tcW w:w="1842" w:type="dxa"/>
            <w:vAlign w:val="center"/>
          </w:tcPr>
          <w:p w:rsidR="006230FF" w:rsidRPr="00234CBE" w:rsidRDefault="006230FF" w:rsidP="009A60B0">
            <w:pPr>
              <w:pStyle w:val="Corpsdetexte"/>
              <w:spacing w:before="0" w:after="0"/>
              <w:ind w:firstLine="0"/>
              <w:rPr>
                <w:sz w:val="16"/>
                <w:szCs w:val="16"/>
              </w:rPr>
            </w:pPr>
          </w:p>
        </w:tc>
        <w:tc>
          <w:tcPr>
            <w:tcW w:w="4678" w:type="dxa"/>
            <w:vAlign w:val="center"/>
          </w:tcPr>
          <w:p w:rsidR="006230FF" w:rsidRPr="00234CBE" w:rsidRDefault="006230FF" w:rsidP="009A60B0">
            <w:pPr>
              <w:pStyle w:val="Corpsdetexte"/>
              <w:spacing w:before="0" w:after="0"/>
              <w:ind w:firstLine="0"/>
              <w:rPr>
                <w:sz w:val="16"/>
                <w:szCs w:val="16"/>
              </w:rPr>
            </w:pPr>
          </w:p>
        </w:tc>
      </w:tr>
      <w:tr w:rsidR="006230FF" w:rsidRPr="00BE69A2">
        <w:tc>
          <w:tcPr>
            <w:tcW w:w="3545" w:type="dxa"/>
            <w:vAlign w:val="center"/>
          </w:tcPr>
          <w:p w:rsidR="006230FF" w:rsidRDefault="006230FF" w:rsidP="00D8197D">
            <w:pPr>
              <w:pStyle w:val="1pageChambre"/>
              <w:ind w:left="219"/>
              <w:rPr>
                <w:i/>
                <w:iCs/>
                <w:sz w:val="20"/>
                <w:szCs w:val="20"/>
              </w:rPr>
            </w:pPr>
            <w:r>
              <w:t>Formation restreinte</w:t>
            </w:r>
          </w:p>
        </w:tc>
        <w:tc>
          <w:tcPr>
            <w:tcW w:w="1842" w:type="dxa"/>
            <w:vAlign w:val="center"/>
          </w:tcPr>
          <w:p w:rsidR="006230FF" w:rsidRPr="00234CBE" w:rsidRDefault="006230FF" w:rsidP="009A60B0">
            <w:pPr>
              <w:pStyle w:val="Corpsdetexte"/>
              <w:spacing w:before="0" w:after="0"/>
              <w:ind w:firstLine="0"/>
              <w:rPr>
                <w:sz w:val="16"/>
                <w:szCs w:val="16"/>
              </w:rPr>
            </w:pPr>
          </w:p>
        </w:tc>
        <w:tc>
          <w:tcPr>
            <w:tcW w:w="4678" w:type="dxa"/>
            <w:vAlign w:val="center"/>
          </w:tcPr>
          <w:p w:rsidR="006230FF" w:rsidRPr="00234CBE" w:rsidRDefault="006230FF" w:rsidP="009A60B0">
            <w:pPr>
              <w:pStyle w:val="Corpsdetexte"/>
              <w:spacing w:before="0" w:after="0"/>
              <w:ind w:firstLine="0"/>
              <w:rPr>
                <w:sz w:val="16"/>
                <w:szCs w:val="16"/>
              </w:rPr>
            </w:pPr>
          </w:p>
        </w:tc>
      </w:tr>
      <w:tr w:rsidR="006230FF" w:rsidRPr="00BE69A2">
        <w:tc>
          <w:tcPr>
            <w:tcW w:w="3545" w:type="dxa"/>
            <w:vAlign w:val="center"/>
          </w:tcPr>
          <w:p w:rsidR="006230FF" w:rsidRPr="00234CBE" w:rsidRDefault="006230FF" w:rsidP="00D8197D">
            <w:pPr>
              <w:pStyle w:val="Corpsdetexte"/>
              <w:spacing w:before="0"/>
              <w:ind w:left="219" w:firstLine="0"/>
              <w:jc w:val="center"/>
              <w:rPr>
                <w:smallCaps/>
                <w:sz w:val="16"/>
                <w:szCs w:val="16"/>
              </w:rPr>
            </w:pPr>
            <w:r w:rsidRPr="00234CBE">
              <w:rPr>
                <w:smallCaps/>
                <w:sz w:val="16"/>
                <w:szCs w:val="16"/>
              </w:rPr>
              <w:t>----------</w:t>
            </w:r>
          </w:p>
        </w:tc>
        <w:tc>
          <w:tcPr>
            <w:tcW w:w="1842" w:type="dxa"/>
            <w:vAlign w:val="center"/>
          </w:tcPr>
          <w:p w:rsidR="006230FF" w:rsidRPr="00234CBE" w:rsidRDefault="006230FF" w:rsidP="009A60B0">
            <w:pPr>
              <w:pStyle w:val="Corpsdetexte"/>
              <w:spacing w:before="0" w:after="0"/>
              <w:ind w:firstLine="0"/>
              <w:rPr>
                <w:sz w:val="16"/>
                <w:szCs w:val="16"/>
              </w:rPr>
            </w:pPr>
          </w:p>
        </w:tc>
        <w:tc>
          <w:tcPr>
            <w:tcW w:w="4678" w:type="dxa"/>
            <w:vAlign w:val="center"/>
          </w:tcPr>
          <w:p w:rsidR="006230FF" w:rsidRPr="00234CBE" w:rsidRDefault="006230FF" w:rsidP="009A60B0">
            <w:pPr>
              <w:pStyle w:val="Corpsdetexte"/>
              <w:spacing w:before="0" w:after="0"/>
              <w:ind w:firstLine="0"/>
              <w:rPr>
                <w:sz w:val="16"/>
                <w:szCs w:val="16"/>
              </w:rPr>
            </w:pPr>
          </w:p>
        </w:tc>
      </w:tr>
      <w:tr w:rsidR="006230FF" w:rsidRPr="00BE69A2">
        <w:tc>
          <w:tcPr>
            <w:tcW w:w="3545" w:type="dxa"/>
            <w:vAlign w:val="center"/>
          </w:tcPr>
          <w:p w:rsidR="006230FF" w:rsidRPr="00234CBE" w:rsidRDefault="006230FF" w:rsidP="00D8197D">
            <w:pPr>
              <w:pStyle w:val="Corpsdetexte"/>
              <w:spacing w:before="0" w:after="0"/>
              <w:ind w:left="219" w:firstLine="0"/>
              <w:jc w:val="center"/>
              <w:rPr>
                <w:smallCaps/>
                <w:sz w:val="16"/>
                <w:szCs w:val="16"/>
              </w:rPr>
            </w:pPr>
            <w:r w:rsidRPr="00234CBE">
              <w:rPr>
                <w:b/>
                <w:bCs/>
                <w:i/>
                <w:iCs/>
                <w:sz w:val="20"/>
                <w:szCs w:val="20"/>
              </w:rPr>
              <w:t>Arrêt n° 64462</w:t>
            </w:r>
          </w:p>
        </w:tc>
        <w:tc>
          <w:tcPr>
            <w:tcW w:w="1842" w:type="dxa"/>
            <w:vAlign w:val="center"/>
          </w:tcPr>
          <w:p w:rsidR="006230FF" w:rsidRPr="00234CBE" w:rsidRDefault="006230FF" w:rsidP="009A60B0">
            <w:pPr>
              <w:pStyle w:val="Corpsdetexte"/>
              <w:spacing w:before="0" w:after="0"/>
              <w:ind w:firstLine="0"/>
              <w:rPr>
                <w:sz w:val="16"/>
                <w:szCs w:val="16"/>
              </w:rPr>
            </w:pPr>
          </w:p>
        </w:tc>
        <w:tc>
          <w:tcPr>
            <w:tcW w:w="4678" w:type="dxa"/>
            <w:vAlign w:val="center"/>
          </w:tcPr>
          <w:p w:rsidR="006230FF" w:rsidRPr="00234CBE" w:rsidRDefault="006230FF" w:rsidP="009A60B0">
            <w:pPr>
              <w:pStyle w:val="Corpsdetexte"/>
              <w:spacing w:before="0" w:after="0"/>
              <w:ind w:firstLine="0"/>
              <w:rPr>
                <w:sz w:val="16"/>
                <w:szCs w:val="16"/>
              </w:rPr>
            </w:pPr>
          </w:p>
        </w:tc>
      </w:tr>
      <w:tr w:rsidR="006230FF">
        <w:tc>
          <w:tcPr>
            <w:tcW w:w="3545" w:type="dxa"/>
            <w:vAlign w:val="center"/>
          </w:tcPr>
          <w:p w:rsidR="006230FF" w:rsidRPr="00234CBE" w:rsidRDefault="006230FF" w:rsidP="009A60B0">
            <w:pPr>
              <w:pStyle w:val="Corpsdetexte"/>
              <w:spacing w:before="0" w:after="0"/>
              <w:ind w:firstLine="0"/>
              <w:jc w:val="center"/>
              <w:rPr>
                <w:sz w:val="16"/>
                <w:szCs w:val="16"/>
              </w:rPr>
            </w:pPr>
          </w:p>
        </w:tc>
        <w:tc>
          <w:tcPr>
            <w:tcW w:w="1842" w:type="dxa"/>
            <w:vAlign w:val="center"/>
          </w:tcPr>
          <w:p w:rsidR="006230FF" w:rsidRPr="00234CBE" w:rsidRDefault="006230FF" w:rsidP="009A60B0">
            <w:pPr>
              <w:pStyle w:val="Corpsdetexte"/>
              <w:spacing w:before="0" w:after="0"/>
              <w:ind w:firstLine="0"/>
              <w:jc w:val="left"/>
            </w:pPr>
          </w:p>
        </w:tc>
        <w:tc>
          <w:tcPr>
            <w:tcW w:w="4678" w:type="dxa"/>
            <w:vAlign w:val="center"/>
          </w:tcPr>
          <w:p w:rsidR="006230FF" w:rsidRPr="00234CBE" w:rsidRDefault="006230FF" w:rsidP="00550483">
            <w:pPr>
              <w:pStyle w:val="Corpsdetexte"/>
              <w:spacing w:before="0" w:after="0"/>
              <w:ind w:left="214" w:right="-212" w:firstLine="0"/>
              <w:jc w:val="left"/>
              <w:rPr>
                <w:caps/>
              </w:rPr>
            </w:pPr>
            <w:r w:rsidRPr="00234CBE">
              <w:rPr>
                <w:caps/>
              </w:rPr>
              <w:t>GESTION  DE  FAIT  DE  L’OFFICE  DU TOURISME DE L’ALPE D’HUEZ (OTAH)</w:t>
            </w:r>
          </w:p>
          <w:p w:rsidR="006230FF" w:rsidRPr="00234CBE" w:rsidRDefault="006230FF" w:rsidP="00F05751">
            <w:pPr>
              <w:pStyle w:val="Corpsdetexte"/>
              <w:spacing w:before="0" w:after="80"/>
              <w:ind w:left="215" w:right="-210" w:firstLine="0"/>
              <w:jc w:val="left"/>
              <w:rPr>
                <w:caps/>
              </w:rPr>
            </w:pPr>
            <w:r w:rsidRPr="00234CBE">
              <w:rPr>
                <w:caps/>
              </w:rPr>
              <w:t>(ISERE)</w:t>
            </w:r>
          </w:p>
        </w:tc>
      </w:tr>
      <w:tr w:rsidR="006230FF">
        <w:tc>
          <w:tcPr>
            <w:tcW w:w="3545" w:type="dxa"/>
            <w:vAlign w:val="center"/>
          </w:tcPr>
          <w:p w:rsidR="006230FF" w:rsidRPr="00234CBE" w:rsidRDefault="006230FF" w:rsidP="009A60B0">
            <w:pPr>
              <w:pStyle w:val="Corpsdetexte"/>
              <w:spacing w:before="60" w:after="60"/>
              <w:ind w:firstLine="0"/>
              <w:jc w:val="left"/>
            </w:pPr>
          </w:p>
        </w:tc>
        <w:tc>
          <w:tcPr>
            <w:tcW w:w="1842" w:type="dxa"/>
            <w:vAlign w:val="center"/>
          </w:tcPr>
          <w:p w:rsidR="006230FF" w:rsidRPr="00234CBE" w:rsidRDefault="006230FF" w:rsidP="009A60B0">
            <w:pPr>
              <w:pStyle w:val="Corpsdetexte"/>
              <w:spacing w:before="60" w:after="60"/>
              <w:ind w:firstLine="0"/>
              <w:jc w:val="left"/>
            </w:pPr>
          </w:p>
        </w:tc>
        <w:tc>
          <w:tcPr>
            <w:tcW w:w="4678" w:type="dxa"/>
            <w:vAlign w:val="center"/>
          </w:tcPr>
          <w:p w:rsidR="006230FF" w:rsidRPr="00234CBE" w:rsidRDefault="006230FF" w:rsidP="002C3A44">
            <w:pPr>
              <w:pStyle w:val="Corpsdetexte"/>
              <w:spacing w:after="200"/>
              <w:ind w:left="215" w:right="-210" w:firstLine="0"/>
              <w:jc w:val="left"/>
            </w:pPr>
            <w:r w:rsidRPr="00234CBE">
              <w:t>Arrêt définitif suite à l’arrêt provisoire n° 62839</w:t>
            </w:r>
          </w:p>
        </w:tc>
      </w:tr>
      <w:tr w:rsidR="006230FF">
        <w:tc>
          <w:tcPr>
            <w:tcW w:w="3545" w:type="dxa"/>
            <w:vAlign w:val="center"/>
          </w:tcPr>
          <w:p w:rsidR="006230FF" w:rsidRPr="00234CBE" w:rsidRDefault="006230FF" w:rsidP="009A60B0">
            <w:pPr>
              <w:pStyle w:val="Corpsdetexte"/>
              <w:spacing w:before="60" w:after="60"/>
              <w:ind w:firstLine="0"/>
              <w:jc w:val="left"/>
            </w:pPr>
          </w:p>
        </w:tc>
        <w:tc>
          <w:tcPr>
            <w:tcW w:w="1842" w:type="dxa"/>
            <w:vAlign w:val="center"/>
          </w:tcPr>
          <w:p w:rsidR="006230FF" w:rsidRPr="00234CBE" w:rsidRDefault="006230FF" w:rsidP="009A60B0">
            <w:pPr>
              <w:pStyle w:val="Corpsdetexte"/>
              <w:spacing w:before="60" w:after="60"/>
              <w:ind w:firstLine="0"/>
              <w:jc w:val="left"/>
            </w:pPr>
          </w:p>
        </w:tc>
        <w:tc>
          <w:tcPr>
            <w:tcW w:w="4678" w:type="dxa"/>
            <w:vAlign w:val="center"/>
          </w:tcPr>
          <w:p w:rsidR="006230FF" w:rsidRPr="00234CBE" w:rsidRDefault="006230FF" w:rsidP="002C3A44">
            <w:pPr>
              <w:pStyle w:val="Corpsdetexte"/>
              <w:spacing w:before="0" w:after="200"/>
              <w:ind w:left="215" w:right="-210" w:firstLine="0"/>
              <w:jc w:val="left"/>
            </w:pPr>
            <w:r w:rsidRPr="00234CBE">
              <w:t>Rapport n° 2012-381-0</w:t>
            </w:r>
          </w:p>
        </w:tc>
      </w:tr>
      <w:tr w:rsidR="006230FF">
        <w:tc>
          <w:tcPr>
            <w:tcW w:w="3545" w:type="dxa"/>
            <w:vAlign w:val="center"/>
          </w:tcPr>
          <w:p w:rsidR="006230FF" w:rsidRPr="00234CBE" w:rsidRDefault="006230FF" w:rsidP="009A60B0">
            <w:pPr>
              <w:pStyle w:val="Corpsdetexte"/>
              <w:spacing w:before="60" w:after="60"/>
              <w:ind w:firstLine="0"/>
              <w:jc w:val="left"/>
            </w:pPr>
          </w:p>
        </w:tc>
        <w:tc>
          <w:tcPr>
            <w:tcW w:w="1842" w:type="dxa"/>
            <w:vAlign w:val="center"/>
          </w:tcPr>
          <w:p w:rsidR="006230FF" w:rsidRPr="00234CBE" w:rsidRDefault="006230FF" w:rsidP="009A60B0">
            <w:pPr>
              <w:pStyle w:val="Corpsdetexte"/>
              <w:spacing w:before="60" w:after="60"/>
              <w:ind w:firstLine="0"/>
              <w:jc w:val="left"/>
            </w:pPr>
          </w:p>
        </w:tc>
        <w:tc>
          <w:tcPr>
            <w:tcW w:w="4678" w:type="dxa"/>
            <w:vAlign w:val="center"/>
          </w:tcPr>
          <w:p w:rsidR="006230FF" w:rsidRPr="00234CBE" w:rsidRDefault="006230FF" w:rsidP="002C3A44">
            <w:pPr>
              <w:pStyle w:val="Corpsdetexte"/>
              <w:spacing w:before="0" w:after="200"/>
              <w:ind w:left="215" w:right="-210" w:firstLine="0"/>
              <w:jc w:val="left"/>
            </w:pPr>
            <w:r w:rsidRPr="00234CBE">
              <w:t>Audience publique du 25 juin 2012</w:t>
            </w:r>
          </w:p>
          <w:p w:rsidR="006230FF" w:rsidRPr="00234CBE" w:rsidRDefault="006230FF" w:rsidP="00F05751">
            <w:pPr>
              <w:pStyle w:val="Corpsdetexte"/>
              <w:spacing w:before="0"/>
              <w:ind w:left="215" w:right="-210" w:firstLine="0"/>
              <w:jc w:val="left"/>
            </w:pPr>
            <w:r w:rsidRPr="00234CBE">
              <w:t>Lecture publique du 18 juillet 2012</w:t>
            </w:r>
          </w:p>
          <w:p w:rsidR="006230FF" w:rsidRPr="00234CBE" w:rsidRDefault="006230FF" w:rsidP="00DF7B2B">
            <w:pPr>
              <w:pStyle w:val="Corpsdetexte"/>
              <w:spacing w:before="0" w:after="0"/>
              <w:ind w:left="215" w:right="-210" w:firstLine="0"/>
              <w:jc w:val="left"/>
            </w:pPr>
          </w:p>
        </w:tc>
      </w:tr>
    </w:tbl>
    <w:p w:rsidR="006230FF" w:rsidRPr="00690D05" w:rsidRDefault="006230FF" w:rsidP="00F05751">
      <w:pPr>
        <w:pStyle w:val="P0"/>
        <w:spacing w:after="240"/>
        <w:ind w:left="540" w:right="-284" w:firstLine="594"/>
        <w:jc w:val="center"/>
      </w:pPr>
      <w:r w:rsidRPr="00690D05">
        <w:t>REPUBLIQUE FRANÇAISE</w:t>
      </w:r>
    </w:p>
    <w:p w:rsidR="006230FF" w:rsidRPr="00690D05" w:rsidRDefault="006230FF" w:rsidP="000405BA">
      <w:pPr>
        <w:pStyle w:val="P0"/>
        <w:spacing w:after="280"/>
        <w:ind w:left="539" w:right="-284" w:firstLine="595"/>
        <w:jc w:val="center"/>
      </w:pPr>
      <w:r w:rsidRPr="00690D05">
        <w:t>AU NOM DU PEUPLE FRANÇAIS</w:t>
      </w:r>
    </w:p>
    <w:p w:rsidR="006230FF" w:rsidRPr="00690D05" w:rsidRDefault="006230FF" w:rsidP="000405BA">
      <w:pPr>
        <w:pStyle w:val="P0"/>
        <w:spacing w:after="160"/>
        <w:ind w:left="539" w:right="-284" w:firstLine="595"/>
        <w:jc w:val="center"/>
      </w:pPr>
      <w:r w:rsidRPr="00690D05">
        <w:t>LA COUR DES COMPTES a rendu l’arrêt suivant :</w:t>
      </w:r>
    </w:p>
    <w:p w:rsidR="006230FF" w:rsidRDefault="006230FF" w:rsidP="002C3A44">
      <w:pPr>
        <w:pStyle w:val="Corpsdetexte"/>
        <w:spacing w:after="80"/>
        <w:rPr>
          <w:lang w:val="pt-BR"/>
        </w:rPr>
      </w:pPr>
      <w:r w:rsidRPr="00457B0E">
        <w:rPr>
          <w:lang w:val="pt-BR"/>
        </w:rPr>
        <w:t>LA COUR,</w:t>
      </w:r>
    </w:p>
    <w:p w:rsidR="006230FF" w:rsidRDefault="006230FF" w:rsidP="00F05751">
      <w:pPr>
        <w:pStyle w:val="Corpsdetexte"/>
        <w:spacing w:before="200" w:after="80"/>
      </w:pPr>
      <w:r>
        <w:t xml:space="preserve">Vu l’arrêt n° 62839 du 19 décembre 2011, envoyé à fin de notification le 18 janvier 2012, par lequel la Cour des comptes, toutes chambres réunies, déclarait, à titre provisoire, </w:t>
      </w:r>
      <w:r>
        <w:br/>
        <w:t>M. </w:t>
      </w:r>
      <w:r w:rsidRPr="009A60B0">
        <w:rPr>
          <w:caps/>
        </w:rPr>
        <w:t>X</w:t>
      </w:r>
      <w:r>
        <w:rPr>
          <w:caps/>
        </w:rPr>
        <w:t>,</w:t>
      </w:r>
      <w:r>
        <w:t xml:space="preserve"> gestionnaire de fait des deniers de </w:t>
      </w:r>
      <w:r w:rsidRPr="009A60B0">
        <w:rPr>
          <w:caps/>
        </w:rPr>
        <w:t>l’office du tourisme de</w:t>
      </w:r>
      <w:r>
        <w:rPr>
          <w:caps/>
        </w:rPr>
        <w:t> </w:t>
      </w:r>
      <w:r w:rsidRPr="009A60B0">
        <w:rPr>
          <w:caps/>
        </w:rPr>
        <w:t>l’Alpe</w:t>
      </w:r>
      <w:r>
        <w:rPr>
          <w:caps/>
        </w:rPr>
        <w:t> </w:t>
      </w:r>
      <w:r w:rsidRPr="009A60B0">
        <w:rPr>
          <w:caps/>
        </w:rPr>
        <w:t>d’Huez</w:t>
      </w:r>
      <w:r>
        <w:t xml:space="preserve"> (OTAH) à compter du 23 mars 1988 et lui enjoignait de produire un compte des</w:t>
      </w:r>
      <w:r w:rsidR="00B275CC">
        <w:t xml:space="preserve"> </w:t>
      </w:r>
      <w:r>
        <w:t>opérations</w:t>
      </w:r>
      <w:r w:rsidR="00B275CC">
        <w:t xml:space="preserve"> </w:t>
      </w:r>
      <w:r>
        <w:t>en cause ;</w:t>
      </w:r>
    </w:p>
    <w:p w:rsidR="006230FF" w:rsidRDefault="006230FF" w:rsidP="00F05751">
      <w:pPr>
        <w:pStyle w:val="Corpsdetexte"/>
        <w:spacing w:before="200" w:after="80"/>
      </w:pPr>
      <w:r>
        <w:t>Vu la réponse de M. X</w:t>
      </w:r>
      <w:r w:rsidRPr="00C36ECF">
        <w:t xml:space="preserve"> </w:t>
      </w:r>
      <w:r>
        <w:t>en date du 13 mars 2012, préalablement transmise et enregistrée au greffe de la chambre régionale des comptes de Rhône-Alpes le 16 mars 2012, puis enregistrée au greffe de la Cour le 30 mars 2012 ;</w:t>
      </w:r>
    </w:p>
    <w:p w:rsidR="006230FF" w:rsidRPr="00A60451" w:rsidRDefault="006230FF" w:rsidP="00F05751">
      <w:pPr>
        <w:pStyle w:val="Corpsdetexte"/>
        <w:spacing w:before="200" w:after="80"/>
      </w:pPr>
      <w:r w:rsidRPr="00A60451">
        <w:t>Vu le code des juridictions financières ;</w:t>
      </w:r>
    </w:p>
    <w:p w:rsidR="006230FF" w:rsidRDefault="006230FF" w:rsidP="00F05751">
      <w:pPr>
        <w:pStyle w:val="Corpsdetexte"/>
        <w:spacing w:before="200" w:after="80"/>
      </w:pPr>
      <w:r w:rsidRPr="00A60451">
        <w:t>Vu l’article 60 de la loi de finances n°</w:t>
      </w:r>
      <w:r>
        <w:t> </w:t>
      </w:r>
      <w:r w:rsidRPr="00A60451">
        <w:t>63-156 du 23</w:t>
      </w:r>
      <w:r>
        <w:t> </w:t>
      </w:r>
      <w:r w:rsidRPr="00A60451">
        <w:t>février</w:t>
      </w:r>
      <w:r>
        <w:t> </w:t>
      </w:r>
      <w:r w:rsidRPr="00A60451">
        <w:t>1963 modifiée</w:t>
      </w:r>
      <w:r>
        <w:t> ;</w:t>
      </w:r>
    </w:p>
    <w:p w:rsidR="006230FF" w:rsidRDefault="006230FF" w:rsidP="00F05751">
      <w:pPr>
        <w:pStyle w:val="Corpsdetexte"/>
        <w:spacing w:before="200" w:after="80"/>
      </w:pPr>
      <w:r w:rsidRPr="00A60451">
        <w:t>Vu le décret n°</w:t>
      </w:r>
      <w:r>
        <w:t> </w:t>
      </w:r>
      <w:r w:rsidRPr="00A60451">
        <w:t>62-1587 du 29</w:t>
      </w:r>
      <w:r>
        <w:t> </w:t>
      </w:r>
      <w:r w:rsidRPr="00A60451">
        <w:t>décembre</w:t>
      </w:r>
      <w:r>
        <w:t> </w:t>
      </w:r>
      <w:r w:rsidRPr="00A60451">
        <w:t>1962 modifié portant règlement général sur la</w:t>
      </w:r>
      <w:r>
        <w:t> </w:t>
      </w:r>
      <w:r w:rsidRPr="00A60451">
        <w:t>comptabilité publique ;</w:t>
      </w:r>
    </w:p>
    <w:p w:rsidR="006230FF" w:rsidRDefault="006230FF" w:rsidP="00F05751">
      <w:pPr>
        <w:pStyle w:val="Corpsdetexte"/>
        <w:spacing w:before="200" w:after="80"/>
      </w:pPr>
      <w:r w:rsidRPr="0081163A">
        <w:t xml:space="preserve">Sur le rapport </w:t>
      </w:r>
      <w:r>
        <w:t xml:space="preserve">n° 2012-381-0 en date du 26 avril 2012 </w:t>
      </w:r>
      <w:r w:rsidRPr="0081163A">
        <w:t>de M. </w:t>
      </w:r>
      <w:r>
        <w:t>Alain Doyelle</w:t>
      </w:r>
      <w:r w:rsidRPr="0081163A">
        <w:t>, conseiller maître</w:t>
      </w:r>
      <w:r>
        <w:t> ;</w:t>
      </w:r>
    </w:p>
    <w:p w:rsidR="006230FF" w:rsidRPr="0081163A" w:rsidRDefault="006230FF" w:rsidP="00F05751">
      <w:pPr>
        <w:pStyle w:val="Corpsdetexte"/>
        <w:spacing w:before="200" w:after="80"/>
      </w:pPr>
      <w:r>
        <w:t>Vu les courriers du 2 mai 2012 informant les parties de la clôture de l’instruction ;</w:t>
      </w:r>
    </w:p>
    <w:p w:rsidR="006230FF" w:rsidRDefault="006230FF" w:rsidP="00F05751">
      <w:pPr>
        <w:pStyle w:val="Corpsdetexte"/>
        <w:spacing w:before="200"/>
      </w:pPr>
      <w:r w:rsidRPr="0081163A">
        <w:t>Vu les conclusions n°</w:t>
      </w:r>
      <w:r>
        <w:t> 389</w:t>
      </w:r>
      <w:r w:rsidRPr="0081163A">
        <w:t xml:space="preserve"> </w:t>
      </w:r>
      <w:r>
        <w:t>en date du 24 mai 2012</w:t>
      </w:r>
      <w:r w:rsidRPr="0081163A">
        <w:t xml:space="preserve"> du procureur général près la Cour des comptes ;</w:t>
      </w:r>
    </w:p>
    <w:p w:rsidR="006230FF" w:rsidRDefault="006230FF" w:rsidP="000405BA">
      <w:pPr>
        <w:pStyle w:val="Corpsdetexte"/>
        <w:spacing w:after="0"/>
      </w:pPr>
      <w:r>
        <w:t>Vu les courriers du 25 mai 2012 informant les parties de la tenue d’une audience publique en date du 25 juin 2012 ;</w:t>
      </w:r>
    </w:p>
    <w:p w:rsidR="006230FF" w:rsidRDefault="006230FF">
      <w:pPr>
        <w:pStyle w:val="P0"/>
        <w:sectPr w:rsidR="006230FF">
          <w:pgSz w:w="11907" w:h="16840"/>
          <w:pgMar w:top="1134" w:right="1134" w:bottom="1134" w:left="567" w:header="720" w:footer="720" w:gutter="0"/>
          <w:cols w:space="720"/>
        </w:sectPr>
      </w:pPr>
    </w:p>
    <w:p w:rsidR="006230FF" w:rsidRPr="00292488" w:rsidRDefault="006230FF" w:rsidP="002C3A44">
      <w:pPr>
        <w:pStyle w:val="ps0"/>
        <w:spacing w:before="120" w:beforeAutospacing="0" w:after="120" w:afterAutospacing="0"/>
        <w:ind w:firstLine="709"/>
        <w:jc w:val="both"/>
      </w:pPr>
      <w:r w:rsidRPr="00292488">
        <w:lastRenderedPageBreak/>
        <w:t>Vu la transmission du rapport et des concl</w:t>
      </w:r>
      <w:r>
        <w:t>usions aux parties demanderesses</w:t>
      </w:r>
      <w:r w:rsidRPr="00292488">
        <w:t> ;</w:t>
      </w:r>
    </w:p>
    <w:p w:rsidR="006230FF" w:rsidRPr="0081163A" w:rsidRDefault="006230FF" w:rsidP="002C3A44">
      <w:pPr>
        <w:pStyle w:val="Corpsdetexte"/>
        <w:spacing w:before="200" w:after="0"/>
      </w:pPr>
      <w:r w:rsidRPr="0081163A">
        <w:t>Ent</w:t>
      </w:r>
      <w:r>
        <w:t>endus à l’audience publique du 25 juin 2012, M. Doyelle</w:t>
      </w:r>
      <w:r w:rsidRPr="0081163A">
        <w:t xml:space="preserve"> </w:t>
      </w:r>
      <w:r>
        <w:t>en son rapport oral et M. Christian Michau</w:t>
      </w:r>
      <w:r w:rsidR="00B275CC">
        <w:t>t</w:t>
      </w:r>
      <w:r>
        <w:t>, avocat général</w:t>
      </w:r>
      <w:r w:rsidRPr="0081163A">
        <w:t xml:space="preserve"> près la Cour des com</w:t>
      </w:r>
      <w:r>
        <w:t>ptes, en ses conclusions orales ; les parties dûment informées</w:t>
      </w:r>
      <w:r w:rsidRPr="0081163A">
        <w:t xml:space="preserve"> n’étant ni présent</w:t>
      </w:r>
      <w:r>
        <w:t>es</w:t>
      </w:r>
      <w:r w:rsidRPr="0081163A">
        <w:t xml:space="preserve"> ni représenté</w:t>
      </w:r>
      <w:r>
        <w:t>es ;</w:t>
      </w:r>
    </w:p>
    <w:p w:rsidR="006230FF" w:rsidRDefault="006230FF" w:rsidP="002C3A44">
      <w:pPr>
        <w:pStyle w:val="Corpsdetexte"/>
        <w:spacing w:before="200"/>
      </w:pPr>
      <w:r>
        <w:t>Ayant délibéré le 25 juin 2012</w:t>
      </w:r>
      <w:r w:rsidRPr="0081163A">
        <w:t>, hors de la présence du rapporteur et du ministère public et après avoir entendu M.</w:t>
      </w:r>
      <w:r>
        <w:t> Jean-Marie Le Méné</w:t>
      </w:r>
      <w:r w:rsidRPr="0081163A">
        <w:t>, conseiller maître, en ses observations</w:t>
      </w:r>
      <w:r>
        <w:t>.</w:t>
      </w:r>
    </w:p>
    <w:p w:rsidR="006230FF" w:rsidRPr="00A179D7" w:rsidRDefault="006230FF" w:rsidP="00B87844">
      <w:pPr>
        <w:pStyle w:val="Corpsdetexte"/>
        <w:rPr>
          <w:b/>
          <w:bCs/>
          <w:i/>
          <w:iCs/>
          <w:u w:val="single"/>
        </w:rPr>
      </w:pPr>
      <w:r w:rsidRPr="00A179D7">
        <w:rPr>
          <w:b/>
          <w:bCs/>
          <w:i/>
          <w:iCs/>
          <w:u w:val="single"/>
        </w:rPr>
        <w:t>Sur la qualité de gestionnaire de fait de M.</w:t>
      </w:r>
      <w:r>
        <w:rPr>
          <w:b/>
          <w:bCs/>
          <w:i/>
          <w:iCs/>
          <w:u w:val="single"/>
        </w:rPr>
        <w:t> </w:t>
      </w:r>
      <w:r w:rsidRPr="00A179D7">
        <w:rPr>
          <w:b/>
          <w:bCs/>
          <w:i/>
          <w:iCs/>
          <w:u w:val="single"/>
        </w:rPr>
        <w:t>X</w:t>
      </w:r>
    </w:p>
    <w:p w:rsidR="006230FF" w:rsidRPr="00A179D7" w:rsidRDefault="006230FF" w:rsidP="002C3A44">
      <w:pPr>
        <w:spacing w:before="200" w:after="120"/>
        <w:ind w:firstLine="709"/>
        <w:jc w:val="both"/>
        <w:rPr>
          <w:b/>
          <w:bCs/>
          <w:sz w:val="24"/>
          <w:szCs w:val="24"/>
        </w:rPr>
      </w:pPr>
      <w:r w:rsidRPr="00A179D7">
        <w:rPr>
          <w:sz w:val="24"/>
          <w:szCs w:val="24"/>
        </w:rPr>
        <w:t>Considérant l’article 60-XI de la loi n°</w:t>
      </w:r>
      <w:r>
        <w:rPr>
          <w:sz w:val="24"/>
          <w:szCs w:val="24"/>
        </w:rPr>
        <w:t> </w:t>
      </w:r>
      <w:r w:rsidRPr="00A179D7">
        <w:rPr>
          <w:sz w:val="24"/>
          <w:szCs w:val="24"/>
        </w:rPr>
        <w:t>63-156 du 23</w:t>
      </w:r>
      <w:r>
        <w:rPr>
          <w:sz w:val="24"/>
          <w:szCs w:val="24"/>
        </w:rPr>
        <w:t> </w:t>
      </w:r>
      <w:r w:rsidRPr="00A179D7">
        <w:rPr>
          <w:sz w:val="24"/>
          <w:szCs w:val="24"/>
        </w:rPr>
        <w:t>février</w:t>
      </w:r>
      <w:r>
        <w:rPr>
          <w:sz w:val="24"/>
          <w:szCs w:val="24"/>
        </w:rPr>
        <w:t> </w:t>
      </w:r>
      <w:r w:rsidRPr="00A179D7">
        <w:rPr>
          <w:sz w:val="24"/>
          <w:szCs w:val="24"/>
        </w:rPr>
        <w:t>1963 de finances pour 1963 ;</w:t>
      </w:r>
    </w:p>
    <w:p w:rsidR="006230FF" w:rsidRPr="00A179D7" w:rsidRDefault="006230FF" w:rsidP="002C3A44">
      <w:pPr>
        <w:spacing w:before="200" w:after="120"/>
        <w:ind w:firstLine="709"/>
        <w:jc w:val="both"/>
        <w:rPr>
          <w:sz w:val="24"/>
          <w:szCs w:val="24"/>
        </w:rPr>
      </w:pPr>
      <w:r w:rsidRPr="00A179D7">
        <w:rPr>
          <w:sz w:val="24"/>
          <w:szCs w:val="24"/>
        </w:rPr>
        <w:t>Considérant que par l’effet dévolutif de l’appel, il revient à la Cour de confirmer ou non la participation de M. X, président de l’OTAH</w:t>
      </w:r>
      <w:r w:rsidR="00B275CC">
        <w:rPr>
          <w:sz w:val="24"/>
          <w:szCs w:val="24"/>
        </w:rPr>
        <w:t>,</w:t>
      </w:r>
      <w:r w:rsidRPr="00A179D7">
        <w:rPr>
          <w:sz w:val="24"/>
          <w:szCs w:val="24"/>
        </w:rPr>
        <w:t xml:space="preserve"> à la gestion de fait ;</w:t>
      </w:r>
    </w:p>
    <w:p w:rsidR="006230FF" w:rsidRPr="00A179D7" w:rsidRDefault="006230FF" w:rsidP="002C3A44">
      <w:pPr>
        <w:spacing w:before="200" w:after="120"/>
        <w:ind w:firstLine="709"/>
        <w:jc w:val="both"/>
        <w:rPr>
          <w:sz w:val="24"/>
          <w:szCs w:val="24"/>
        </w:rPr>
      </w:pPr>
      <w:r w:rsidRPr="00A179D7">
        <w:rPr>
          <w:sz w:val="24"/>
          <w:szCs w:val="24"/>
        </w:rPr>
        <w:t>Considérant que doivent être appelées à compter d'une gestion de fait, devant la juridiction financière, non seulement les personnes qui ont exécuté les opérations irrégulières en y prenant une part active, mais aussi celles qui ont pris la responsabilité de les ordonner, de les couvrir de leur autorité ou même, simplement, qui les ont connues et tolérées et étaient en situation de les faire cesser ;</w:t>
      </w:r>
    </w:p>
    <w:p w:rsidR="006230FF" w:rsidRPr="00A179D7" w:rsidRDefault="006230FF" w:rsidP="002C3A44">
      <w:pPr>
        <w:spacing w:before="200" w:after="120"/>
        <w:ind w:firstLine="709"/>
        <w:jc w:val="both"/>
        <w:rPr>
          <w:sz w:val="24"/>
          <w:szCs w:val="24"/>
        </w:rPr>
      </w:pPr>
      <w:r w:rsidRPr="00A179D7">
        <w:rPr>
          <w:sz w:val="24"/>
          <w:szCs w:val="24"/>
        </w:rPr>
        <w:t>Considérant notamment qu’en signant les conventions de parrainage et en appelant les contributions d’entreprises, M.</w:t>
      </w:r>
      <w:r>
        <w:rPr>
          <w:sz w:val="24"/>
          <w:szCs w:val="24"/>
        </w:rPr>
        <w:t> </w:t>
      </w:r>
      <w:r w:rsidRPr="00A179D7">
        <w:rPr>
          <w:sz w:val="24"/>
          <w:szCs w:val="24"/>
        </w:rPr>
        <w:t>X « </w:t>
      </w:r>
      <w:r w:rsidRPr="00A179D7">
        <w:rPr>
          <w:i/>
          <w:iCs/>
          <w:sz w:val="24"/>
          <w:szCs w:val="24"/>
        </w:rPr>
        <w:t>savait nécessairement que l’ensemble [de ces] contributions ne pouvaient revenir qu’à l’OTAH</w:t>
      </w:r>
      <w:r w:rsidRPr="00A179D7">
        <w:rPr>
          <w:sz w:val="24"/>
          <w:szCs w:val="24"/>
        </w:rPr>
        <w:t> », et que, d</w:t>
      </w:r>
      <w:r>
        <w:rPr>
          <w:sz w:val="24"/>
          <w:szCs w:val="24"/>
        </w:rPr>
        <w:t>’autre part, le président de l’O</w:t>
      </w:r>
      <w:r w:rsidRPr="00A179D7">
        <w:rPr>
          <w:sz w:val="24"/>
          <w:szCs w:val="24"/>
        </w:rPr>
        <w:t>ffice « </w:t>
      </w:r>
      <w:r w:rsidRPr="00A179D7">
        <w:rPr>
          <w:i/>
          <w:iCs/>
          <w:sz w:val="24"/>
          <w:szCs w:val="24"/>
        </w:rPr>
        <w:t>ne pouvait ignorer les conditions de rémunération de son directeur sur d’autres comptes que celui de l’office</w:t>
      </w:r>
      <w:r w:rsidRPr="00A179D7">
        <w:rPr>
          <w:sz w:val="24"/>
          <w:szCs w:val="24"/>
        </w:rPr>
        <w:t> », situation qu’il</w:t>
      </w:r>
      <w:r w:rsidR="00B275CC">
        <w:rPr>
          <w:sz w:val="24"/>
          <w:szCs w:val="24"/>
        </w:rPr>
        <w:t xml:space="preserve"> </w:t>
      </w:r>
      <w:r w:rsidRPr="00A179D7">
        <w:rPr>
          <w:sz w:val="24"/>
          <w:szCs w:val="24"/>
        </w:rPr>
        <w:t>a</w:t>
      </w:r>
      <w:r w:rsidR="00B275CC">
        <w:rPr>
          <w:sz w:val="24"/>
          <w:szCs w:val="24"/>
        </w:rPr>
        <w:t xml:space="preserve"> </w:t>
      </w:r>
      <w:r w:rsidRPr="00A179D7">
        <w:rPr>
          <w:sz w:val="24"/>
          <w:szCs w:val="24"/>
        </w:rPr>
        <w:t>accepté de couvrir de son autorité ;</w:t>
      </w:r>
    </w:p>
    <w:p w:rsidR="006230FF" w:rsidRPr="00A179D7" w:rsidRDefault="006230FF" w:rsidP="002C3A44">
      <w:pPr>
        <w:spacing w:before="200" w:after="120"/>
        <w:ind w:firstLine="709"/>
        <w:jc w:val="both"/>
        <w:rPr>
          <w:sz w:val="24"/>
          <w:szCs w:val="24"/>
        </w:rPr>
      </w:pPr>
      <w:r w:rsidRPr="00A179D7">
        <w:rPr>
          <w:sz w:val="24"/>
          <w:szCs w:val="24"/>
        </w:rPr>
        <w:t xml:space="preserve">Considérant que ces éléments, figurant dans </w:t>
      </w:r>
      <w:r>
        <w:rPr>
          <w:sz w:val="24"/>
          <w:szCs w:val="24"/>
        </w:rPr>
        <w:t xml:space="preserve">les dispositions </w:t>
      </w:r>
      <w:r w:rsidRPr="00A179D7">
        <w:rPr>
          <w:sz w:val="24"/>
          <w:szCs w:val="24"/>
        </w:rPr>
        <w:t>provisoire</w:t>
      </w:r>
      <w:r>
        <w:rPr>
          <w:sz w:val="24"/>
          <w:szCs w:val="24"/>
        </w:rPr>
        <w:t>s</w:t>
      </w:r>
      <w:r w:rsidRPr="00A179D7">
        <w:rPr>
          <w:sz w:val="24"/>
          <w:szCs w:val="24"/>
        </w:rPr>
        <w:t xml:space="preserve"> </w:t>
      </w:r>
      <w:r>
        <w:rPr>
          <w:sz w:val="24"/>
          <w:szCs w:val="24"/>
        </w:rPr>
        <w:t xml:space="preserve">de l’arrêt </w:t>
      </w:r>
      <w:r w:rsidRPr="00A179D7">
        <w:rPr>
          <w:sz w:val="24"/>
          <w:szCs w:val="24"/>
        </w:rPr>
        <w:t>n°</w:t>
      </w:r>
      <w:r>
        <w:rPr>
          <w:sz w:val="24"/>
          <w:szCs w:val="24"/>
        </w:rPr>
        <w:t> </w:t>
      </w:r>
      <w:r w:rsidRPr="00A179D7">
        <w:rPr>
          <w:sz w:val="24"/>
          <w:szCs w:val="24"/>
        </w:rPr>
        <w:t>62839 de</w:t>
      </w:r>
      <w:r w:rsidR="00B275CC">
        <w:rPr>
          <w:sz w:val="24"/>
          <w:szCs w:val="24"/>
        </w:rPr>
        <w:t xml:space="preserve"> </w:t>
      </w:r>
      <w:r w:rsidRPr="00A179D7">
        <w:rPr>
          <w:sz w:val="24"/>
          <w:szCs w:val="24"/>
        </w:rPr>
        <w:t>la</w:t>
      </w:r>
      <w:r w:rsidR="00B275CC">
        <w:rPr>
          <w:sz w:val="24"/>
          <w:szCs w:val="24"/>
        </w:rPr>
        <w:t xml:space="preserve"> </w:t>
      </w:r>
      <w:r w:rsidRPr="00A179D7">
        <w:rPr>
          <w:sz w:val="24"/>
          <w:szCs w:val="24"/>
        </w:rPr>
        <w:t>Cour, n’ont pas été contestés par M. X ;</w:t>
      </w:r>
    </w:p>
    <w:p w:rsidR="006230FF" w:rsidRDefault="006230FF" w:rsidP="002C3A44">
      <w:pPr>
        <w:pStyle w:val="Corpsdetexte"/>
        <w:spacing w:before="200"/>
      </w:pPr>
      <w:r w:rsidRPr="00A179D7">
        <w:t xml:space="preserve">Considérant dès lors qu'il y a lieu de conférer un caractère </w:t>
      </w:r>
      <w:r w:rsidRPr="00A179D7">
        <w:rPr>
          <w:rStyle w:val="highlight1"/>
          <w:color w:val="auto"/>
        </w:rPr>
        <w:t>définitif</w:t>
      </w:r>
      <w:r w:rsidRPr="00A179D7">
        <w:t xml:space="preserve"> à la </w:t>
      </w:r>
      <w:r w:rsidRPr="00A179D7">
        <w:rPr>
          <w:rStyle w:val="highlight1"/>
          <w:color w:val="auto"/>
        </w:rPr>
        <w:t>déclaration</w:t>
      </w:r>
      <w:r w:rsidRPr="00A179D7">
        <w:t xml:space="preserve"> provisoire de </w:t>
      </w:r>
      <w:r w:rsidRPr="00A179D7">
        <w:rPr>
          <w:rStyle w:val="highlight1"/>
          <w:color w:val="auto"/>
        </w:rPr>
        <w:t>gestion</w:t>
      </w:r>
      <w:r w:rsidRPr="00A179D7">
        <w:t xml:space="preserve"> de </w:t>
      </w:r>
      <w:r w:rsidRPr="00A179D7">
        <w:rPr>
          <w:rStyle w:val="highlight1"/>
          <w:color w:val="auto"/>
        </w:rPr>
        <w:t>fait</w:t>
      </w:r>
      <w:r w:rsidRPr="00A179D7">
        <w:t xml:space="preserve"> concernant</w:t>
      </w:r>
      <w:r w:rsidRPr="00655A27">
        <w:rPr>
          <w:color w:val="000000"/>
        </w:rPr>
        <w:t xml:space="preserve"> </w:t>
      </w:r>
      <w:r w:rsidRPr="00655A27">
        <w:t>M. </w:t>
      </w:r>
      <w:r>
        <w:t>X</w:t>
      </w:r>
      <w:r w:rsidRPr="00655A27">
        <w:t xml:space="preserve"> à compter du 23 mars 1988</w:t>
      </w:r>
      <w:r>
        <w:t> ;</w:t>
      </w:r>
    </w:p>
    <w:p w:rsidR="006230FF" w:rsidRDefault="006230FF" w:rsidP="002C3A44">
      <w:pPr>
        <w:pStyle w:val="Corpsdetexte"/>
        <w:spacing w:before="200"/>
      </w:pPr>
      <w:r>
        <w:t>Considérant enfin que l’affaire doit être renvoyée devant la chambre régionale des comptes de</w:t>
      </w:r>
      <w:r w:rsidR="00B275CC">
        <w:t xml:space="preserve"> </w:t>
      </w:r>
      <w:r>
        <w:t>Rhône-Alpes à laquelle M. X devra produire un compte de l’OTAH ;</w:t>
      </w:r>
    </w:p>
    <w:p w:rsidR="006230FF" w:rsidRDefault="006230FF" w:rsidP="002C3A44">
      <w:pPr>
        <w:pStyle w:val="Corpsdetexte"/>
        <w:keepNext/>
        <w:keepLines/>
        <w:spacing w:before="200" w:after="0"/>
      </w:pPr>
      <w:r w:rsidRPr="00512714">
        <w:t>Par ces motifs,</w:t>
      </w:r>
    </w:p>
    <w:p w:rsidR="006230FF" w:rsidRPr="00512714" w:rsidRDefault="006230FF" w:rsidP="002C3A44">
      <w:pPr>
        <w:pStyle w:val="Corpsdetexte"/>
        <w:keepNext/>
        <w:keepLines/>
        <w:spacing w:before="200" w:after="240"/>
        <w:jc w:val="center"/>
      </w:pPr>
      <w:r>
        <w:rPr>
          <w:caps/>
        </w:rPr>
        <w:t>Statuant DEFINITIV</w:t>
      </w:r>
      <w:r w:rsidRPr="00512714">
        <w:rPr>
          <w:caps/>
        </w:rPr>
        <w:t>ement</w:t>
      </w:r>
      <w:r w:rsidRPr="00512714">
        <w:t>,</w:t>
      </w:r>
    </w:p>
    <w:p w:rsidR="006230FF" w:rsidRDefault="006230FF" w:rsidP="002C3A44">
      <w:pPr>
        <w:pStyle w:val="Corpsdetexte"/>
        <w:spacing w:before="200" w:after="240"/>
      </w:pPr>
      <w:r>
        <w:t>M. X est déclaré gestionnaire de fait des deniers de l’Office du tourisme de</w:t>
      </w:r>
      <w:r w:rsidR="00B275CC">
        <w:t xml:space="preserve"> </w:t>
      </w:r>
      <w:r>
        <w:t>l’Alpe d’Huez à compter du 23 mars 1988.</w:t>
      </w:r>
    </w:p>
    <w:p w:rsidR="006230FF" w:rsidRDefault="006230FF" w:rsidP="002C3A44">
      <w:pPr>
        <w:pStyle w:val="Corpsdetexte"/>
        <w:spacing w:after="240"/>
      </w:pPr>
      <w:r>
        <w:t>L’affaire est renvoyée devant la chambre régionale des comptes d’Auvergne, Rhône-Alpes pour la</w:t>
      </w:r>
      <w:r w:rsidR="00B275CC">
        <w:t xml:space="preserve"> </w:t>
      </w:r>
      <w:r>
        <w:t>suite de la procédure et le jugement du compte de la gestion de fait.</w:t>
      </w:r>
    </w:p>
    <w:p w:rsidR="006230FF" w:rsidRDefault="006230FF" w:rsidP="002C3A44">
      <w:pPr>
        <w:pStyle w:val="Corpsdetexte"/>
        <w:spacing w:before="0" w:after="360"/>
        <w:ind w:firstLine="0"/>
        <w:jc w:val="center"/>
      </w:pPr>
      <w:r>
        <w:t>----------</w:t>
      </w:r>
    </w:p>
    <w:p w:rsidR="006230FF" w:rsidRDefault="006230FF" w:rsidP="00B87844">
      <w:pPr>
        <w:pStyle w:val="Corpsdetexte"/>
        <w:spacing w:after="360"/>
        <w:ind w:firstLine="0"/>
      </w:pPr>
      <w:r w:rsidRPr="00512714">
        <w:lastRenderedPageBreak/>
        <w:t xml:space="preserve">Fait et jugé en la Cour des comptes, toutes chambres réunies en formation restreinte, le </w:t>
      </w:r>
      <w:r>
        <w:t>vingt-cinq juin </w:t>
      </w:r>
      <w:r w:rsidRPr="00512714">
        <w:t xml:space="preserve">deux mil </w:t>
      </w:r>
      <w:r>
        <w:t>douze</w:t>
      </w:r>
      <w:r w:rsidRPr="00512714">
        <w:t>. Présents :</w:t>
      </w:r>
      <w:r>
        <w:t> </w:t>
      </w:r>
      <w:r w:rsidRPr="00512714">
        <w:t>M.</w:t>
      </w:r>
      <w:r>
        <w:t> </w:t>
      </w:r>
      <w:r w:rsidRPr="00512714">
        <w:t xml:space="preserve">Descheemaeker, président, </w:t>
      </w:r>
      <w:r>
        <w:t xml:space="preserve">Mme </w:t>
      </w:r>
      <w:proofErr w:type="spellStart"/>
      <w:r>
        <w:t>Lévy-Rosenwald</w:t>
      </w:r>
      <w:proofErr w:type="spellEnd"/>
      <w:r>
        <w:t xml:space="preserve">, </w:t>
      </w:r>
      <w:r>
        <w:br/>
        <w:t>M. </w:t>
      </w:r>
      <w:proofErr w:type="spellStart"/>
      <w:r>
        <w:t>Lafaure</w:t>
      </w:r>
      <w:proofErr w:type="spellEnd"/>
      <w:r>
        <w:t xml:space="preserve">, Mme Fradin, MM. Rigaudiat, Le Méné et Baccou, </w:t>
      </w:r>
      <w:r w:rsidRPr="00512714">
        <w:t>conseillers maîtres.</w:t>
      </w:r>
    </w:p>
    <w:p w:rsidR="006230FF" w:rsidRDefault="006230FF" w:rsidP="00BD7CDE">
      <w:pPr>
        <w:pStyle w:val="Corpsdetexte"/>
        <w:spacing w:after="480"/>
        <w:ind w:left="567" w:hanging="567"/>
      </w:pPr>
      <w:r>
        <w:t xml:space="preserve">Signé : Descheemaeker, président, et </w:t>
      </w:r>
      <w:proofErr w:type="spellStart"/>
      <w:r>
        <w:t>Férez</w:t>
      </w:r>
      <w:proofErr w:type="spellEnd"/>
      <w:r>
        <w:t>, greffier</w:t>
      </w:r>
      <w:r w:rsidRPr="00660A6D">
        <w:t>.</w:t>
      </w:r>
    </w:p>
    <w:p w:rsidR="006230FF" w:rsidRDefault="006230FF" w:rsidP="00BD7CDE">
      <w:pPr>
        <w:pStyle w:val="PS"/>
        <w:ind w:left="0" w:firstLine="0"/>
      </w:pPr>
      <w:r w:rsidRPr="00487D5F">
        <w:t>Collationné, certifié conforme à la minute étant a</w:t>
      </w:r>
      <w:r>
        <w:t>u greffe de la Cour des comptes.</w:t>
      </w:r>
    </w:p>
    <w:p w:rsidR="006230FF" w:rsidRDefault="006230FF" w:rsidP="00F05751">
      <w:pPr>
        <w:pStyle w:val="PS"/>
        <w:ind w:left="0" w:firstLine="0"/>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6230FF" w:rsidRDefault="006230FF" w:rsidP="00BD7CDE">
      <w:pPr>
        <w:pStyle w:val="PS"/>
        <w:ind w:left="0" w:firstLine="0"/>
      </w:pPr>
      <w:r>
        <w:t>D</w:t>
      </w:r>
      <w:r w:rsidRPr="00487D5F">
        <w:t>éli</w:t>
      </w:r>
      <w:r>
        <w:t>vré par moi, secrétaire général.</w:t>
      </w:r>
    </w:p>
    <w:p w:rsidR="006230FF" w:rsidRPr="00D45135" w:rsidRDefault="006230FF" w:rsidP="00BD7CDE">
      <w:pPr>
        <w:pStyle w:val="Corpsdetexte"/>
        <w:spacing w:before="0" w:after="0"/>
        <w:ind w:left="540" w:firstLine="5103"/>
        <w:jc w:val="center"/>
        <w:rPr>
          <w:rFonts w:ascii="Times New Roman Gras" w:hAnsi="Times New Roman Gras" w:cs="Times New Roman Gras"/>
          <w:b/>
          <w:bCs/>
        </w:rPr>
      </w:pPr>
      <w:r w:rsidRPr="00D45135">
        <w:rPr>
          <w:rFonts w:ascii="Times New Roman Gras" w:hAnsi="Times New Roman Gras" w:cs="Times New Roman Gras"/>
          <w:b/>
          <w:bCs/>
        </w:rPr>
        <w:t>Pour le Secrétaire général</w:t>
      </w:r>
    </w:p>
    <w:p w:rsidR="006230FF" w:rsidRPr="00D45135" w:rsidRDefault="006230FF" w:rsidP="00BD7CDE">
      <w:pPr>
        <w:pStyle w:val="Corpsdetexte"/>
        <w:spacing w:before="0" w:after="0"/>
        <w:ind w:left="540" w:firstLine="5103"/>
        <w:jc w:val="center"/>
        <w:rPr>
          <w:rFonts w:ascii="Times New Roman Gras" w:hAnsi="Times New Roman Gras" w:cs="Times New Roman Gras"/>
          <w:b/>
          <w:bCs/>
        </w:rPr>
      </w:pPr>
      <w:proofErr w:type="gramStart"/>
      <w:r w:rsidRPr="00D45135">
        <w:rPr>
          <w:rFonts w:ascii="Times New Roman Gras" w:hAnsi="Times New Roman Gras" w:cs="Times New Roman Gras"/>
          <w:b/>
          <w:bCs/>
        </w:rPr>
        <w:t>et</w:t>
      </w:r>
      <w:proofErr w:type="gramEnd"/>
      <w:r w:rsidRPr="00D45135">
        <w:rPr>
          <w:rFonts w:ascii="Times New Roman Gras" w:hAnsi="Times New Roman Gras" w:cs="Times New Roman Gras"/>
          <w:b/>
          <w:bCs/>
        </w:rPr>
        <w:t xml:space="preserve"> par délégation,</w:t>
      </w:r>
    </w:p>
    <w:p w:rsidR="006230FF" w:rsidRPr="00D45135" w:rsidRDefault="006230FF" w:rsidP="00BD7CDE">
      <w:pPr>
        <w:pStyle w:val="Corpsdetexte"/>
        <w:spacing w:before="0" w:after="2040"/>
        <w:ind w:left="539" w:firstLine="5103"/>
        <w:jc w:val="center"/>
        <w:rPr>
          <w:rFonts w:ascii="Times New Roman Gras" w:hAnsi="Times New Roman Gras" w:cs="Times New Roman Gras"/>
          <w:b/>
          <w:bCs/>
        </w:rPr>
      </w:pPr>
      <w:proofErr w:type="gramStart"/>
      <w:r>
        <w:rPr>
          <w:rFonts w:ascii="Times New Roman Gras" w:hAnsi="Times New Roman Gras" w:cs="Times New Roman Gras"/>
          <w:b/>
          <w:bCs/>
        </w:rPr>
        <w:t>le</w:t>
      </w:r>
      <w:proofErr w:type="gramEnd"/>
      <w:r w:rsidRPr="00D45135">
        <w:rPr>
          <w:rFonts w:ascii="Times New Roman Gras" w:hAnsi="Times New Roman Gras" w:cs="Times New Roman Gras"/>
          <w:b/>
          <w:bCs/>
        </w:rPr>
        <w:t xml:space="preserve"> Chef du </w:t>
      </w:r>
      <w:r>
        <w:rPr>
          <w:rFonts w:ascii="Times New Roman Gras" w:hAnsi="Times New Roman Gras" w:cs="Times New Roman Gras"/>
          <w:b/>
          <w:bCs/>
        </w:rPr>
        <w:t>G</w:t>
      </w:r>
      <w:r w:rsidRPr="00D45135">
        <w:rPr>
          <w:rFonts w:ascii="Times New Roman Gras" w:hAnsi="Times New Roman Gras" w:cs="Times New Roman Gras"/>
          <w:b/>
          <w:bCs/>
        </w:rPr>
        <w:t>reffe contentieux</w:t>
      </w:r>
    </w:p>
    <w:p w:rsidR="006230FF" w:rsidRDefault="006230FF" w:rsidP="00BD7CDE">
      <w:pPr>
        <w:pStyle w:val="Corpsdetexte"/>
        <w:spacing w:after="360"/>
        <w:ind w:left="540" w:firstLine="5387"/>
        <w:jc w:val="center"/>
        <w:rPr>
          <w:rFonts w:ascii="Times New Roman Gras" w:hAnsi="Times New Roman Gras" w:cs="Times New Roman Gras"/>
          <w:b/>
          <w:bCs/>
        </w:rPr>
      </w:pPr>
      <w:r w:rsidRPr="00D45135">
        <w:rPr>
          <w:rFonts w:ascii="Times New Roman Gras" w:hAnsi="Times New Roman Gras" w:cs="Times New Roman Gras"/>
          <w:b/>
          <w:bCs/>
        </w:rPr>
        <w:t>Daniel FEREZ</w:t>
      </w:r>
      <w:bookmarkEnd w:id="0"/>
    </w:p>
    <w:sectPr w:rsidR="006230FF" w:rsidSect="00A11FF7">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22A" w:rsidRDefault="00A8122A">
      <w:r>
        <w:separator/>
      </w:r>
    </w:p>
  </w:endnote>
  <w:endnote w:type="continuationSeparator" w:id="0">
    <w:p w:rsidR="00A8122A" w:rsidRDefault="00A81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New Roman Gras">
    <w:panose1 w:val="02020803070505020304"/>
    <w:charset w:val="00"/>
    <w:family w:val="roman"/>
    <w:notTrueType/>
    <w:pitch w:val="default"/>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22A" w:rsidRDefault="00A8122A">
      <w:r>
        <w:separator/>
      </w:r>
    </w:p>
  </w:footnote>
  <w:footnote w:type="continuationSeparator" w:id="0">
    <w:p w:rsidR="00A8122A" w:rsidRDefault="00A812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0FF" w:rsidRDefault="006230FF">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9F7A17">
      <w:rPr>
        <w:rFonts w:ascii="CG Times (WN)" w:hAnsi="CG Times (WN)" w:cs="CG Times (WN)"/>
        <w:noProof/>
        <w:sz w:val="24"/>
        <w:szCs w:val="24"/>
      </w:rPr>
      <w:t>3</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embedSystemFonts/>
  <w:proofState w:spelling="clean" w:grammar="clean"/>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405BA"/>
    <w:rsid w:val="000B1347"/>
    <w:rsid w:val="001732E8"/>
    <w:rsid w:val="00234CBE"/>
    <w:rsid w:val="00292488"/>
    <w:rsid w:val="002A442A"/>
    <w:rsid w:val="002C3A44"/>
    <w:rsid w:val="002F7FAB"/>
    <w:rsid w:val="00457B0E"/>
    <w:rsid w:val="00487D5F"/>
    <w:rsid w:val="004918A6"/>
    <w:rsid w:val="004D7700"/>
    <w:rsid w:val="004E57BD"/>
    <w:rsid w:val="00512714"/>
    <w:rsid w:val="005263B3"/>
    <w:rsid w:val="00550483"/>
    <w:rsid w:val="006230FF"/>
    <w:rsid w:val="00625940"/>
    <w:rsid w:val="00634B8A"/>
    <w:rsid w:val="00635387"/>
    <w:rsid w:val="00655A27"/>
    <w:rsid w:val="00660A6D"/>
    <w:rsid w:val="006730C3"/>
    <w:rsid w:val="006831A7"/>
    <w:rsid w:val="00690D05"/>
    <w:rsid w:val="006A1419"/>
    <w:rsid w:val="00734C0C"/>
    <w:rsid w:val="007C5A15"/>
    <w:rsid w:val="0081163A"/>
    <w:rsid w:val="00825076"/>
    <w:rsid w:val="00837384"/>
    <w:rsid w:val="00847436"/>
    <w:rsid w:val="008E58F5"/>
    <w:rsid w:val="009208A4"/>
    <w:rsid w:val="00950F5A"/>
    <w:rsid w:val="0095233B"/>
    <w:rsid w:val="009A60B0"/>
    <w:rsid w:val="009F702F"/>
    <w:rsid w:val="009F7A17"/>
    <w:rsid w:val="00A061B1"/>
    <w:rsid w:val="00A11FF7"/>
    <w:rsid w:val="00A179D7"/>
    <w:rsid w:val="00A60451"/>
    <w:rsid w:val="00A736AA"/>
    <w:rsid w:val="00A74DC2"/>
    <w:rsid w:val="00A8122A"/>
    <w:rsid w:val="00B22653"/>
    <w:rsid w:val="00B22AA9"/>
    <w:rsid w:val="00B2570E"/>
    <w:rsid w:val="00B275CC"/>
    <w:rsid w:val="00B635C1"/>
    <w:rsid w:val="00B87844"/>
    <w:rsid w:val="00BA78A0"/>
    <w:rsid w:val="00BD7CDE"/>
    <w:rsid w:val="00BE69A2"/>
    <w:rsid w:val="00C36ECF"/>
    <w:rsid w:val="00C40ADE"/>
    <w:rsid w:val="00CB39BB"/>
    <w:rsid w:val="00CF6695"/>
    <w:rsid w:val="00D061E5"/>
    <w:rsid w:val="00D40830"/>
    <w:rsid w:val="00D45135"/>
    <w:rsid w:val="00D52D8E"/>
    <w:rsid w:val="00D80069"/>
    <w:rsid w:val="00D8197D"/>
    <w:rsid w:val="00DD5849"/>
    <w:rsid w:val="00DE2E29"/>
    <w:rsid w:val="00DF7B2B"/>
    <w:rsid w:val="00E47025"/>
    <w:rsid w:val="00E62EF1"/>
    <w:rsid w:val="00E8055F"/>
    <w:rsid w:val="00E823A2"/>
    <w:rsid w:val="00EA70EF"/>
    <w:rsid w:val="00F05751"/>
    <w:rsid w:val="00F148B9"/>
    <w:rsid w:val="00F94E8E"/>
    <w:rsid w:val="00FA2B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0EF"/>
  </w:style>
  <w:style w:type="paragraph" w:styleId="Titre1">
    <w:name w:val="heading 1"/>
    <w:basedOn w:val="Normal"/>
    <w:next w:val="Normal"/>
    <w:link w:val="Titre1Car"/>
    <w:uiPriority w:val="99"/>
    <w:qFormat/>
    <w:rsid w:val="00EA70EF"/>
    <w:pPr>
      <w:spacing w:before="240"/>
      <w:outlineLvl w:val="0"/>
    </w:pPr>
    <w:rPr>
      <w:b/>
      <w:bCs/>
      <w:sz w:val="24"/>
      <w:szCs w:val="24"/>
      <w:u w:val="single"/>
    </w:rPr>
  </w:style>
  <w:style w:type="paragraph" w:styleId="Titre2">
    <w:name w:val="heading 2"/>
    <w:basedOn w:val="Normal"/>
    <w:next w:val="Normal"/>
    <w:link w:val="Titre2Car"/>
    <w:uiPriority w:val="99"/>
    <w:qFormat/>
    <w:rsid w:val="00EA70EF"/>
    <w:pPr>
      <w:spacing w:before="120"/>
      <w:outlineLvl w:val="1"/>
    </w:pPr>
    <w:rPr>
      <w:b/>
      <w:bCs/>
      <w:sz w:val="24"/>
      <w:szCs w:val="24"/>
    </w:rPr>
  </w:style>
  <w:style w:type="paragraph" w:styleId="Titre3">
    <w:name w:val="heading 3"/>
    <w:basedOn w:val="Normal"/>
    <w:next w:val="Retraitnormal"/>
    <w:link w:val="Titre3Car"/>
    <w:uiPriority w:val="99"/>
    <w:qFormat/>
    <w:rsid w:val="00EA70EF"/>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Pr>
      <w:rFonts w:ascii="Cambria" w:hAnsi="Cambria" w:cs="Cambria"/>
      <w:b/>
      <w:bCs/>
      <w:kern w:val="32"/>
      <w:sz w:val="32"/>
      <w:szCs w:val="32"/>
    </w:rPr>
  </w:style>
  <w:style w:type="character" w:customStyle="1" w:styleId="Titre2Car">
    <w:name w:val="Titre 2 Car"/>
    <w:link w:val="Titre2"/>
    <w:uiPriority w:val="99"/>
    <w:semiHidden/>
    <w:locked/>
    <w:rPr>
      <w:rFonts w:ascii="Cambria" w:hAnsi="Cambria" w:cs="Cambria"/>
      <w:b/>
      <w:bCs/>
      <w:i/>
      <w:iCs/>
      <w:sz w:val="28"/>
      <w:szCs w:val="28"/>
    </w:rPr>
  </w:style>
  <w:style w:type="character" w:customStyle="1" w:styleId="Titre3Car">
    <w:name w:val="Titre 3 Car"/>
    <w:link w:val="Titre3"/>
    <w:uiPriority w:val="99"/>
    <w:semiHidden/>
    <w:locked/>
    <w:rPr>
      <w:rFonts w:ascii="Cambria" w:hAnsi="Cambria" w:cs="Cambria"/>
      <w:b/>
      <w:bCs/>
      <w:sz w:val="26"/>
      <w:szCs w:val="26"/>
    </w:rPr>
  </w:style>
  <w:style w:type="paragraph" w:styleId="Retraitnormal">
    <w:name w:val="Normal Indent"/>
    <w:basedOn w:val="Normal"/>
    <w:uiPriority w:val="99"/>
    <w:rsid w:val="00EA70EF"/>
    <w:pPr>
      <w:ind w:left="708"/>
    </w:pPr>
  </w:style>
  <w:style w:type="paragraph" w:styleId="En-tte">
    <w:name w:val="header"/>
    <w:basedOn w:val="Normal"/>
    <w:link w:val="En-tteCar"/>
    <w:uiPriority w:val="99"/>
    <w:rsid w:val="00EA70EF"/>
    <w:pPr>
      <w:tabs>
        <w:tab w:val="center" w:pos="4819"/>
        <w:tab w:val="right" w:pos="9071"/>
      </w:tabs>
    </w:pPr>
  </w:style>
  <w:style w:type="character" w:customStyle="1" w:styleId="En-tteCar">
    <w:name w:val="En-tête Car"/>
    <w:link w:val="En-tte"/>
    <w:uiPriority w:val="99"/>
    <w:semiHidden/>
    <w:locked/>
    <w:rPr>
      <w:sz w:val="20"/>
      <w:szCs w:val="20"/>
    </w:rPr>
  </w:style>
  <w:style w:type="paragraph" w:customStyle="1" w:styleId="ET">
    <w:name w:val="ET"/>
    <w:basedOn w:val="Normal"/>
    <w:uiPriority w:val="99"/>
    <w:rsid w:val="00EA70EF"/>
    <w:rPr>
      <w:b/>
      <w:bCs/>
      <w:caps/>
      <w:sz w:val="24"/>
      <w:szCs w:val="24"/>
    </w:rPr>
  </w:style>
  <w:style w:type="paragraph" w:customStyle="1" w:styleId="OR">
    <w:name w:val="OR"/>
    <w:basedOn w:val="ET"/>
    <w:uiPriority w:val="99"/>
    <w:rsid w:val="00EA70EF"/>
    <w:pPr>
      <w:ind w:left="5670"/>
    </w:pPr>
    <w:rPr>
      <w:b w:val="0"/>
      <w:bCs w:val="0"/>
      <w:caps w:val="0"/>
    </w:rPr>
  </w:style>
  <w:style w:type="paragraph" w:customStyle="1" w:styleId="TI">
    <w:name w:val="TI"/>
    <w:basedOn w:val="OR"/>
    <w:uiPriority w:val="99"/>
    <w:rsid w:val="00EA70EF"/>
    <w:pPr>
      <w:ind w:left="1701"/>
      <w:jc w:val="center"/>
    </w:pPr>
    <w:rPr>
      <w:caps/>
      <w:u w:val="single"/>
    </w:rPr>
  </w:style>
  <w:style w:type="paragraph" w:customStyle="1" w:styleId="P0">
    <w:name w:val="P0"/>
    <w:basedOn w:val="ET"/>
    <w:link w:val="P0Car"/>
    <w:uiPriority w:val="99"/>
    <w:rsid w:val="00EA70EF"/>
    <w:pPr>
      <w:ind w:left="1701"/>
      <w:jc w:val="both"/>
    </w:pPr>
    <w:rPr>
      <w:b w:val="0"/>
      <w:bCs w:val="0"/>
      <w:caps w:val="0"/>
    </w:rPr>
  </w:style>
  <w:style w:type="paragraph" w:customStyle="1" w:styleId="EL">
    <w:name w:val="EL"/>
    <w:basedOn w:val="P0"/>
    <w:uiPriority w:val="99"/>
    <w:rsid w:val="00EA70EF"/>
    <w:pPr>
      <w:spacing w:after="240"/>
      <w:ind w:firstLine="1418"/>
    </w:pPr>
  </w:style>
  <w:style w:type="paragraph" w:customStyle="1" w:styleId="IN">
    <w:name w:val="IN"/>
    <w:basedOn w:val="P0"/>
    <w:uiPriority w:val="99"/>
    <w:rsid w:val="00EA70EF"/>
    <w:pPr>
      <w:ind w:left="0"/>
      <w:jc w:val="left"/>
    </w:pPr>
    <w:rPr>
      <w:i/>
      <w:iCs/>
      <w:sz w:val="16"/>
      <w:szCs w:val="16"/>
    </w:rPr>
  </w:style>
  <w:style w:type="paragraph" w:customStyle="1" w:styleId="RE">
    <w:name w:val="RE"/>
    <w:basedOn w:val="P0"/>
    <w:uiPriority w:val="99"/>
    <w:rsid w:val="00EA70EF"/>
    <w:pPr>
      <w:ind w:left="0"/>
    </w:pPr>
  </w:style>
  <w:style w:type="paragraph" w:customStyle="1" w:styleId="PE">
    <w:name w:val="PE"/>
    <w:basedOn w:val="IN"/>
    <w:uiPriority w:val="99"/>
    <w:rsid w:val="00EA70EF"/>
    <w:pPr>
      <w:keepNext/>
      <w:ind w:left="1701"/>
      <w:jc w:val="both"/>
    </w:pPr>
    <w:rPr>
      <w:i w:val="0"/>
      <w:iCs w:val="0"/>
      <w:sz w:val="24"/>
      <w:szCs w:val="24"/>
    </w:rPr>
  </w:style>
  <w:style w:type="paragraph" w:customStyle="1" w:styleId="PC">
    <w:name w:val="PC"/>
    <w:basedOn w:val="IN"/>
    <w:uiPriority w:val="99"/>
    <w:rsid w:val="00EA70EF"/>
    <w:pPr>
      <w:spacing w:after="480"/>
      <w:ind w:left="2268" w:firstLine="1134"/>
      <w:jc w:val="both"/>
    </w:pPr>
    <w:rPr>
      <w:i w:val="0"/>
      <w:iCs w:val="0"/>
      <w:sz w:val="24"/>
      <w:szCs w:val="24"/>
    </w:rPr>
  </w:style>
  <w:style w:type="paragraph" w:customStyle="1" w:styleId="PS">
    <w:name w:val="PS"/>
    <w:basedOn w:val="IN"/>
    <w:link w:val="PSCar"/>
    <w:uiPriority w:val="99"/>
    <w:rsid w:val="00EA70EF"/>
    <w:pPr>
      <w:spacing w:after="480"/>
      <w:ind w:left="1701" w:firstLine="1134"/>
      <w:jc w:val="both"/>
    </w:pPr>
    <w:rPr>
      <w:i w:val="0"/>
      <w:iCs w:val="0"/>
      <w:sz w:val="24"/>
      <w:szCs w:val="24"/>
    </w:rPr>
  </w:style>
  <w:style w:type="paragraph" w:customStyle="1" w:styleId="AR">
    <w:name w:val="AR"/>
    <w:basedOn w:val="IN"/>
    <w:uiPriority w:val="99"/>
    <w:rsid w:val="00EA70EF"/>
    <w:pPr>
      <w:spacing w:before="720" w:after="720"/>
      <w:ind w:left="5103"/>
    </w:pPr>
    <w:rPr>
      <w:i w:val="0"/>
      <w:iCs w:val="0"/>
      <w:caps/>
      <w:sz w:val="24"/>
      <w:szCs w:val="24"/>
      <w:u w:val="single"/>
    </w:rPr>
  </w:style>
  <w:style w:type="paragraph" w:styleId="Corpsdetexte">
    <w:name w:val="Body Text"/>
    <w:basedOn w:val="Normal"/>
    <w:link w:val="CorpsdetexteCar"/>
    <w:uiPriority w:val="99"/>
    <w:rsid w:val="00847436"/>
    <w:pPr>
      <w:spacing w:before="120" w:after="120"/>
      <w:ind w:firstLine="709"/>
      <w:jc w:val="both"/>
    </w:pPr>
    <w:rPr>
      <w:sz w:val="24"/>
      <w:szCs w:val="24"/>
    </w:rPr>
  </w:style>
  <w:style w:type="character" w:customStyle="1" w:styleId="BodyTextChar">
    <w:name w:val="Body Text Char"/>
    <w:uiPriority w:val="99"/>
    <w:semiHidden/>
    <w:locked/>
    <w:rPr>
      <w:sz w:val="20"/>
      <w:szCs w:val="20"/>
    </w:rPr>
  </w:style>
  <w:style w:type="character" w:customStyle="1" w:styleId="CorpsdetexteCar">
    <w:name w:val="Corps de texte Car"/>
    <w:link w:val="Corpsdetexte"/>
    <w:uiPriority w:val="99"/>
    <w:locked/>
    <w:rsid w:val="00847436"/>
    <w:rPr>
      <w:sz w:val="24"/>
      <w:szCs w:val="24"/>
    </w:rPr>
  </w:style>
  <w:style w:type="paragraph" w:customStyle="1" w:styleId="1pageChambre">
    <w:name w:val="1°page Chambre"/>
    <w:basedOn w:val="Normal"/>
    <w:uiPriority w:val="99"/>
    <w:rsid w:val="00847436"/>
    <w:pPr>
      <w:keepNext/>
      <w:jc w:val="center"/>
      <w:outlineLvl w:val="5"/>
    </w:pPr>
    <w:rPr>
      <w:b/>
      <w:bCs/>
      <w:smallCaps/>
      <w:spacing w:val="6"/>
      <w:sz w:val="24"/>
      <w:szCs w:val="24"/>
    </w:rPr>
  </w:style>
  <w:style w:type="paragraph" w:customStyle="1" w:styleId="1pageCour">
    <w:name w:val="1°page Cour"/>
    <w:basedOn w:val="Normal"/>
    <w:uiPriority w:val="99"/>
    <w:rsid w:val="00847436"/>
    <w:pPr>
      <w:jc w:val="center"/>
    </w:pPr>
    <w:rPr>
      <w:b/>
      <w:bCs/>
      <w:smallCaps/>
      <w:sz w:val="28"/>
      <w:szCs w:val="28"/>
    </w:rPr>
  </w:style>
  <w:style w:type="paragraph" w:customStyle="1" w:styleId="Char">
    <w:name w:val="Char"/>
    <w:basedOn w:val="Normal"/>
    <w:uiPriority w:val="99"/>
    <w:rsid w:val="00847436"/>
    <w:pPr>
      <w:spacing w:after="160" w:line="240" w:lineRule="exact"/>
    </w:pPr>
    <w:rPr>
      <w:rFonts w:ascii="Tahoma" w:hAnsi="Tahoma" w:cs="Tahoma"/>
      <w:lang w:val="en-US" w:eastAsia="en-US"/>
    </w:rPr>
  </w:style>
  <w:style w:type="paragraph" w:customStyle="1" w:styleId="ps0">
    <w:name w:val="ps"/>
    <w:basedOn w:val="Normal"/>
    <w:uiPriority w:val="99"/>
    <w:rsid w:val="00847436"/>
    <w:pPr>
      <w:spacing w:before="100" w:beforeAutospacing="1" w:after="100" w:afterAutospacing="1"/>
    </w:pPr>
    <w:rPr>
      <w:sz w:val="24"/>
      <w:szCs w:val="24"/>
    </w:rPr>
  </w:style>
  <w:style w:type="character" w:customStyle="1" w:styleId="highlight1">
    <w:name w:val="highlight1"/>
    <w:uiPriority w:val="99"/>
    <w:rsid w:val="00847436"/>
    <w:rPr>
      <w:color w:val="FF0000"/>
    </w:rPr>
  </w:style>
  <w:style w:type="character" w:customStyle="1" w:styleId="PSCar">
    <w:name w:val="PS Car"/>
    <w:link w:val="PS"/>
    <w:uiPriority w:val="99"/>
    <w:locked/>
    <w:rsid w:val="00BD7CDE"/>
    <w:rPr>
      <w:sz w:val="24"/>
      <w:szCs w:val="24"/>
    </w:rPr>
  </w:style>
  <w:style w:type="paragraph" w:customStyle="1" w:styleId="CarCar1CarCarCarCarCarCar">
    <w:name w:val="Car Car1 Car Car Car Car Car Car"/>
    <w:basedOn w:val="Normal"/>
    <w:uiPriority w:val="99"/>
    <w:rsid w:val="00BD7CDE"/>
    <w:pPr>
      <w:spacing w:after="160" w:line="240" w:lineRule="exact"/>
    </w:pPr>
    <w:rPr>
      <w:rFonts w:ascii="Tahoma" w:hAnsi="Tahoma" w:cs="Tahoma"/>
      <w:lang w:val="en-US" w:eastAsia="en-US"/>
    </w:rPr>
  </w:style>
  <w:style w:type="paragraph" w:styleId="Textedebulles">
    <w:name w:val="Balloon Text"/>
    <w:basedOn w:val="Normal"/>
    <w:link w:val="TextedebullesCar"/>
    <w:uiPriority w:val="99"/>
    <w:semiHidden/>
    <w:rsid w:val="00D8197D"/>
    <w:rPr>
      <w:rFonts w:ascii="Tahoma" w:hAnsi="Tahoma" w:cs="Tahoma"/>
      <w:sz w:val="16"/>
      <w:szCs w:val="16"/>
    </w:rPr>
  </w:style>
  <w:style w:type="character" w:customStyle="1" w:styleId="BalloonTextChar">
    <w:name w:val="Balloon Text Char"/>
    <w:uiPriority w:val="99"/>
    <w:semiHidden/>
    <w:locked/>
    <w:rPr>
      <w:sz w:val="2"/>
      <w:szCs w:val="2"/>
    </w:rPr>
  </w:style>
  <w:style w:type="character" w:customStyle="1" w:styleId="TextedebullesCar">
    <w:name w:val="Texte de bulles Car"/>
    <w:link w:val="Textedebulles"/>
    <w:uiPriority w:val="99"/>
    <w:semiHidden/>
    <w:locked/>
    <w:rsid w:val="00D8197D"/>
    <w:rPr>
      <w:rFonts w:ascii="Tahoma" w:hAnsi="Tahoma" w:cs="Tahoma"/>
      <w:sz w:val="16"/>
      <w:szCs w:val="16"/>
    </w:rPr>
  </w:style>
  <w:style w:type="character" w:customStyle="1" w:styleId="P0Car">
    <w:name w:val="P0 Car"/>
    <w:link w:val="P0"/>
    <w:uiPriority w:val="99"/>
    <w:locked/>
    <w:rsid w:val="00F0575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765</Words>
  <Characters>4213</Characters>
  <Application>Microsoft Office Word</Application>
  <DocSecurity>0</DocSecurity>
  <Lines>35</Lines>
  <Paragraphs>9</Paragraphs>
  <ScaleCrop>false</ScaleCrop>
  <Company>COUR DES COMPTES</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5</cp:revision>
  <cp:lastPrinted>2012-07-10T09:06:00Z</cp:lastPrinted>
  <dcterms:created xsi:type="dcterms:W3CDTF">2012-07-26T16:28:00Z</dcterms:created>
  <dcterms:modified xsi:type="dcterms:W3CDTF">2013-08-22T16:44:00Z</dcterms:modified>
</cp:coreProperties>
</file>