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97" w:type="dxa"/>
        <w:tblLayout w:type="fixed"/>
        <w:tblCellMar>
          <w:left w:w="70" w:type="dxa"/>
          <w:right w:w="70" w:type="dxa"/>
        </w:tblCellMar>
        <w:tblLook w:val="0000" w:firstRow="0" w:lastRow="0" w:firstColumn="0" w:lastColumn="0" w:noHBand="0" w:noVBand="0"/>
      </w:tblPr>
      <w:tblGrid>
        <w:gridCol w:w="3402"/>
        <w:gridCol w:w="2552"/>
        <w:gridCol w:w="4111"/>
      </w:tblGrid>
      <w:tr w:rsidR="006B4B77" w:rsidTr="00B472EF">
        <w:tc>
          <w:tcPr>
            <w:tcW w:w="3402" w:type="dxa"/>
            <w:vAlign w:val="center"/>
          </w:tcPr>
          <w:p w:rsidR="006B4B77" w:rsidRDefault="006B4B77" w:rsidP="005A7CA3">
            <w:pPr>
              <w:pStyle w:val="1pageCour"/>
            </w:pPr>
            <w:r>
              <w:t>Cour des comptes</w:t>
            </w:r>
          </w:p>
        </w:tc>
        <w:tc>
          <w:tcPr>
            <w:tcW w:w="2552" w:type="dxa"/>
            <w:vAlign w:val="center"/>
          </w:tcPr>
          <w:p w:rsidR="006B4B77" w:rsidRDefault="006B4B77" w:rsidP="005A7CA3">
            <w:pPr>
              <w:pStyle w:val="1pageCour"/>
            </w:pPr>
          </w:p>
        </w:tc>
        <w:tc>
          <w:tcPr>
            <w:tcW w:w="4111" w:type="dxa"/>
            <w:vAlign w:val="center"/>
          </w:tcPr>
          <w:p w:rsidR="006B4B77" w:rsidRDefault="006B4B77" w:rsidP="005A7CA3">
            <w:pPr>
              <w:pStyle w:val="1pageCour"/>
            </w:pPr>
          </w:p>
        </w:tc>
      </w:tr>
      <w:tr w:rsidR="006B4B77" w:rsidRPr="00C176ED" w:rsidTr="00B472EF">
        <w:tc>
          <w:tcPr>
            <w:tcW w:w="3402" w:type="dxa"/>
            <w:vAlign w:val="center"/>
          </w:tcPr>
          <w:p w:rsidR="006B4B77" w:rsidRPr="00C176ED" w:rsidRDefault="006B4B77" w:rsidP="005A7CA3">
            <w:pPr>
              <w:pStyle w:val="1pageCour"/>
              <w:rPr>
                <w:sz w:val="16"/>
                <w:szCs w:val="16"/>
              </w:rPr>
            </w:pPr>
            <w:r w:rsidRPr="00C176ED">
              <w:rPr>
                <w:sz w:val="16"/>
                <w:szCs w:val="16"/>
              </w:rPr>
              <w:t>----------</w:t>
            </w:r>
          </w:p>
        </w:tc>
        <w:tc>
          <w:tcPr>
            <w:tcW w:w="2552" w:type="dxa"/>
            <w:vAlign w:val="center"/>
          </w:tcPr>
          <w:p w:rsidR="006B4B77" w:rsidRPr="00C176ED" w:rsidRDefault="006B4B77" w:rsidP="005A7CA3">
            <w:pPr>
              <w:pStyle w:val="1pageCour"/>
              <w:rPr>
                <w:sz w:val="16"/>
                <w:szCs w:val="16"/>
              </w:rPr>
            </w:pPr>
          </w:p>
        </w:tc>
        <w:tc>
          <w:tcPr>
            <w:tcW w:w="4111" w:type="dxa"/>
            <w:vAlign w:val="center"/>
          </w:tcPr>
          <w:p w:rsidR="006B4B77" w:rsidRPr="00C176ED" w:rsidRDefault="006B4B77" w:rsidP="005A7CA3">
            <w:pPr>
              <w:pStyle w:val="1pageCour"/>
              <w:rPr>
                <w:sz w:val="16"/>
                <w:szCs w:val="16"/>
              </w:rPr>
            </w:pPr>
          </w:p>
        </w:tc>
      </w:tr>
      <w:tr w:rsidR="006B4B77" w:rsidTr="00B472EF">
        <w:trPr>
          <w:trHeight w:val="356"/>
        </w:trPr>
        <w:tc>
          <w:tcPr>
            <w:tcW w:w="3402" w:type="dxa"/>
            <w:vAlign w:val="center"/>
          </w:tcPr>
          <w:p w:rsidR="006B4B77" w:rsidRDefault="008151AC" w:rsidP="005A7CA3">
            <w:pPr>
              <w:pStyle w:val="1pageChambre"/>
            </w:pPr>
            <w:r>
              <w:t xml:space="preserve">Troisième </w:t>
            </w:r>
            <w:r w:rsidR="00EF23B5">
              <w:t>chambre</w:t>
            </w:r>
          </w:p>
        </w:tc>
        <w:tc>
          <w:tcPr>
            <w:tcW w:w="2552" w:type="dxa"/>
            <w:vAlign w:val="center"/>
          </w:tcPr>
          <w:p w:rsidR="006B4B77" w:rsidRDefault="006B4B77" w:rsidP="005A7CA3">
            <w:pPr>
              <w:pStyle w:val="1pageChambre"/>
            </w:pPr>
          </w:p>
        </w:tc>
        <w:tc>
          <w:tcPr>
            <w:tcW w:w="4111" w:type="dxa"/>
            <w:vAlign w:val="center"/>
          </w:tcPr>
          <w:p w:rsidR="006B4B77" w:rsidRDefault="006B4B77" w:rsidP="005A7CA3">
            <w:pPr>
              <w:pStyle w:val="1pageChambre"/>
            </w:pPr>
          </w:p>
        </w:tc>
      </w:tr>
      <w:tr w:rsidR="00C176ED" w:rsidRPr="00C176ED" w:rsidTr="00B472EF">
        <w:tc>
          <w:tcPr>
            <w:tcW w:w="3402" w:type="dxa"/>
            <w:vAlign w:val="center"/>
          </w:tcPr>
          <w:p w:rsidR="00C176ED" w:rsidRPr="00C176ED" w:rsidRDefault="00C176ED" w:rsidP="005A7CA3">
            <w:pPr>
              <w:pStyle w:val="1pageCour"/>
              <w:rPr>
                <w:sz w:val="16"/>
                <w:szCs w:val="16"/>
              </w:rPr>
            </w:pPr>
            <w:r w:rsidRPr="00C176ED">
              <w:rPr>
                <w:sz w:val="16"/>
                <w:szCs w:val="16"/>
              </w:rPr>
              <w:t>----------</w:t>
            </w:r>
          </w:p>
        </w:tc>
        <w:tc>
          <w:tcPr>
            <w:tcW w:w="2552" w:type="dxa"/>
            <w:vAlign w:val="center"/>
          </w:tcPr>
          <w:p w:rsidR="00C176ED" w:rsidRPr="00C176ED" w:rsidRDefault="00C176ED" w:rsidP="005A7CA3">
            <w:pPr>
              <w:pStyle w:val="1pageCour"/>
              <w:rPr>
                <w:sz w:val="16"/>
                <w:szCs w:val="16"/>
              </w:rPr>
            </w:pPr>
          </w:p>
        </w:tc>
        <w:tc>
          <w:tcPr>
            <w:tcW w:w="4111" w:type="dxa"/>
            <w:vAlign w:val="center"/>
          </w:tcPr>
          <w:p w:rsidR="00C176ED" w:rsidRPr="00C176ED" w:rsidRDefault="00C176ED" w:rsidP="005A7CA3">
            <w:pPr>
              <w:pStyle w:val="1pageCour"/>
              <w:rPr>
                <w:sz w:val="16"/>
                <w:szCs w:val="16"/>
              </w:rPr>
            </w:pPr>
          </w:p>
        </w:tc>
      </w:tr>
      <w:tr w:rsidR="00EF23B5" w:rsidRPr="00BE69A2" w:rsidTr="00B472EF">
        <w:tc>
          <w:tcPr>
            <w:tcW w:w="3402" w:type="dxa"/>
            <w:vAlign w:val="center"/>
          </w:tcPr>
          <w:p w:rsidR="00EF23B5" w:rsidRPr="00F30C3C" w:rsidRDefault="008B1693" w:rsidP="00302A1F">
            <w:pPr>
              <w:pStyle w:val="1pageChambre"/>
            </w:pPr>
            <w:r>
              <w:t>Quatrième section</w:t>
            </w:r>
          </w:p>
        </w:tc>
        <w:tc>
          <w:tcPr>
            <w:tcW w:w="2552" w:type="dxa"/>
            <w:vAlign w:val="center"/>
          </w:tcPr>
          <w:p w:rsidR="00EF23B5" w:rsidRPr="00BE69A2" w:rsidRDefault="00EF23B5" w:rsidP="00302A1F">
            <w:pPr>
              <w:pStyle w:val="1pageChambre"/>
              <w:rPr>
                <w:sz w:val="16"/>
                <w:szCs w:val="16"/>
              </w:rPr>
            </w:pPr>
          </w:p>
        </w:tc>
        <w:tc>
          <w:tcPr>
            <w:tcW w:w="4111" w:type="dxa"/>
            <w:vAlign w:val="center"/>
          </w:tcPr>
          <w:p w:rsidR="00EF23B5" w:rsidRPr="00BE69A2" w:rsidRDefault="00EF23B5" w:rsidP="00302A1F">
            <w:pPr>
              <w:pStyle w:val="1pageChambre"/>
              <w:rPr>
                <w:sz w:val="16"/>
                <w:szCs w:val="16"/>
              </w:rPr>
            </w:pPr>
          </w:p>
        </w:tc>
      </w:tr>
      <w:tr w:rsidR="00C176ED" w:rsidRPr="00C176ED" w:rsidTr="00B472EF">
        <w:tc>
          <w:tcPr>
            <w:tcW w:w="3402" w:type="dxa"/>
            <w:vAlign w:val="center"/>
          </w:tcPr>
          <w:p w:rsidR="00C176ED" w:rsidRPr="00C176ED" w:rsidRDefault="00C176ED" w:rsidP="008F6D39">
            <w:pPr>
              <w:pStyle w:val="1pageCour"/>
              <w:spacing w:after="120"/>
              <w:rPr>
                <w:sz w:val="16"/>
                <w:szCs w:val="16"/>
              </w:rPr>
            </w:pPr>
            <w:r w:rsidRPr="00C176ED">
              <w:rPr>
                <w:sz w:val="16"/>
                <w:szCs w:val="16"/>
              </w:rPr>
              <w:t>----------</w:t>
            </w:r>
          </w:p>
        </w:tc>
        <w:tc>
          <w:tcPr>
            <w:tcW w:w="2552" w:type="dxa"/>
            <w:vAlign w:val="center"/>
          </w:tcPr>
          <w:p w:rsidR="00C176ED" w:rsidRPr="00C176ED" w:rsidRDefault="00C176ED" w:rsidP="005A7CA3">
            <w:pPr>
              <w:pStyle w:val="1pageCour"/>
              <w:rPr>
                <w:sz w:val="16"/>
                <w:szCs w:val="16"/>
              </w:rPr>
            </w:pPr>
          </w:p>
        </w:tc>
        <w:tc>
          <w:tcPr>
            <w:tcW w:w="4111" w:type="dxa"/>
            <w:vAlign w:val="center"/>
          </w:tcPr>
          <w:p w:rsidR="00C176ED" w:rsidRPr="00C176ED" w:rsidRDefault="00C176ED" w:rsidP="005A7CA3">
            <w:pPr>
              <w:pStyle w:val="1pageCour"/>
              <w:rPr>
                <w:sz w:val="16"/>
                <w:szCs w:val="16"/>
              </w:rPr>
            </w:pPr>
          </w:p>
        </w:tc>
      </w:tr>
      <w:tr w:rsidR="006B4B77" w:rsidRPr="00673057" w:rsidTr="00B472EF">
        <w:tc>
          <w:tcPr>
            <w:tcW w:w="3402" w:type="dxa"/>
            <w:vAlign w:val="center"/>
          </w:tcPr>
          <w:p w:rsidR="006B4B77" w:rsidRPr="00AB488B" w:rsidRDefault="008B1693" w:rsidP="00640AA8">
            <w:pPr>
              <w:pStyle w:val="Corpstextegauche"/>
              <w:spacing w:before="0" w:after="0"/>
              <w:jc w:val="center"/>
              <w:rPr>
                <w:i/>
                <w:sz w:val="22"/>
                <w:szCs w:val="22"/>
              </w:rPr>
            </w:pPr>
            <w:r>
              <w:rPr>
                <w:b/>
                <w:i/>
                <w:sz w:val="22"/>
                <w:szCs w:val="22"/>
              </w:rPr>
              <w:t>Arrêt</w:t>
            </w:r>
            <w:r w:rsidR="00AB488B" w:rsidRPr="00AB488B">
              <w:rPr>
                <w:b/>
                <w:i/>
                <w:sz w:val="22"/>
                <w:szCs w:val="22"/>
              </w:rPr>
              <w:t xml:space="preserve"> n</w:t>
            </w:r>
            <w:r w:rsidR="00640AA8" w:rsidRPr="00AB488B">
              <w:rPr>
                <w:b/>
                <w:i/>
                <w:sz w:val="22"/>
                <w:szCs w:val="22"/>
              </w:rPr>
              <w:t>°</w:t>
            </w:r>
            <w:r w:rsidR="008F6D39">
              <w:rPr>
                <w:b/>
                <w:i/>
                <w:sz w:val="22"/>
                <w:szCs w:val="22"/>
              </w:rPr>
              <w:t> </w:t>
            </w:r>
            <w:r w:rsidR="00640AA8">
              <w:rPr>
                <w:b/>
                <w:i/>
                <w:sz w:val="22"/>
                <w:szCs w:val="22"/>
              </w:rPr>
              <w:t>65205</w:t>
            </w:r>
          </w:p>
        </w:tc>
        <w:tc>
          <w:tcPr>
            <w:tcW w:w="2552" w:type="dxa"/>
            <w:vAlign w:val="center"/>
          </w:tcPr>
          <w:p w:rsidR="006B4B77" w:rsidRPr="00673057" w:rsidRDefault="006B4B77" w:rsidP="004E2EEC">
            <w:pPr>
              <w:pStyle w:val="Corpsdetexte"/>
              <w:spacing w:before="0" w:after="0"/>
              <w:ind w:left="0" w:firstLine="0"/>
              <w:rPr>
                <w:sz w:val="22"/>
                <w:szCs w:val="22"/>
              </w:rPr>
            </w:pPr>
          </w:p>
        </w:tc>
        <w:tc>
          <w:tcPr>
            <w:tcW w:w="4111" w:type="dxa"/>
            <w:vAlign w:val="center"/>
          </w:tcPr>
          <w:p w:rsidR="006B4B77" w:rsidRPr="00673057" w:rsidRDefault="006B4B77" w:rsidP="004E2EEC">
            <w:pPr>
              <w:pStyle w:val="Corpsdetexte"/>
              <w:spacing w:before="0" w:after="0"/>
              <w:ind w:left="0" w:firstLine="0"/>
              <w:rPr>
                <w:sz w:val="22"/>
                <w:szCs w:val="22"/>
              </w:rPr>
            </w:pPr>
          </w:p>
        </w:tc>
      </w:tr>
      <w:tr w:rsidR="006B4B77" w:rsidTr="00B472EF">
        <w:tc>
          <w:tcPr>
            <w:tcW w:w="3402" w:type="dxa"/>
            <w:vAlign w:val="center"/>
          </w:tcPr>
          <w:p w:rsidR="006B4B77" w:rsidRDefault="006B4B77" w:rsidP="00C176ED">
            <w:pPr>
              <w:pStyle w:val="Corpsdetexte"/>
              <w:spacing w:before="60" w:after="60"/>
              <w:ind w:left="0" w:firstLine="0"/>
              <w:jc w:val="center"/>
            </w:pPr>
          </w:p>
        </w:tc>
        <w:tc>
          <w:tcPr>
            <w:tcW w:w="2552" w:type="dxa"/>
            <w:vAlign w:val="center"/>
          </w:tcPr>
          <w:p w:rsidR="006B4B77" w:rsidRDefault="006B4B77" w:rsidP="00BE69A2">
            <w:pPr>
              <w:pStyle w:val="Corpsdetexte"/>
              <w:spacing w:before="60" w:after="60"/>
              <w:ind w:left="0" w:firstLine="0"/>
              <w:jc w:val="left"/>
            </w:pPr>
          </w:p>
        </w:tc>
        <w:tc>
          <w:tcPr>
            <w:tcW w:w="4111" w:type="dxa"/>
            <w:vAlign w:val="center"/>
          </w:tcPr>
          <w:p w:rsidR="00E71565" w:rsidRPr="00D34E4A" w:rsidRDefault="004D4A11" w:rsidP="00996A62">
            <w:pPr>
              <w:pStyle w:val="Corpstextegauche"/>
              <w:spacing w:after="240"/>
              <w:jc w:val="left"/>
              <w:rPr>
                <w:caps/>
              </w:rPr>
            </w:pPr>
            <w:r w:rsidRPr="00D34E4A">
              <w:rPr>
                <w:caps/>
              </w:rPr>
              <w:t>Université de</w:t>
            </w:r>
            <w:r w:rsidR="00AD7F66">
              <w:rPr>
                <w:caps/>
              </w:rPr>
              <w:t>s Antilles et de la Guyane</w:t>
            </w:r>
          </w:p>
        </w:tc>
      </w:tr>
      <w:tr w:rsidR="006B4B77" w:rsidTr="00B472EF">
        <w:tc>
          <w:tcPr>
            <w:tcW w:w="3402" w:type="dxa"/>
            <w:vAlign w:val="center"/>
          </w:tcPr>
          <w:p w:rsidR="006B4B77" w:rsidRDefault="006B4B77" w:rsidP="00C176ED">
            <w:pPr>
              <w:pStyle w:val="Corpsdetexte"/>
              <w:spacing w:before="60" w:after="60"/>
              <w:ind w:left="0" w:firstLine="0"/>
              <w:jc w:val="center"/>
            </w:pPr>
          </w:p>
        </w:tc>
        <w:tc>
          <w:tcPr>
            <w:tcW w:w="2552" w:type="dxa"/>
            <w:vAlign w:val="center"/>
          </w:tcPr>
          <w:p w:rsidR="006B4B77" w:rsidRDefault="006B4B77" w:rsidP="00BE69A2">
            <w:pPr>
              <w:pStyle w:val="Corpsdetexte"/>
              <w:spacing w:before="60" w:after="60"/>
              <w:ind w:left="0" w:firstLine="0"/>
              <w:jc w:val="left"/>
            </w:pPr>
          </w:p>
        </w:tc>
        <w:tc>
          <w:tcPr>
            <w:tcW w:w="4111" w:type="dxa"/>
            <w:vAlign w:val="center"/>
          </w:tcPr>
          <w:p w:rsidR="006B4B77" w:rsidRDefault="005E5571" w:rsidP="00B472EF">
            <w:pPr>
              <w:pStyle w:val="Corpstextegauche"/>
            </w:pPr>
            <w:r>
              <w:t xml:space="preserve">Exercices </w:t>
            </w:r>
            <w:r w:rsidR="00B472EF">
              <w:t>2008-2009</w:t>
            </w:r>
          </w:p>
        </w:tc>
      </w:tr>
      <w:tr w:rsidR="005E5571" w:rsidTr="00B472EF">
        <w:tc>
          <w:tcPr>
            <w:tcW w:w="3402" w:type="dxa"/>
            <w:vAlign w:val="center"/>
          </w:tcPr>
          <w:p w:rsidR="005E5571" w:rsidRDefault="005E5571" w:rsidP="00C176ED">
            <w:pPr>
              <w:pStyle w:val="Corpsdetexte"/>
              <w:spacing w:before="60" w:after="60"/>
              <w:ind w:left="0" w:firstLine="0"/>
              <w:jc w:val="center"/>
            </w:pPr>
          </w:p>
        </w:tc>
        <w:tc>
          <w:tcPr>
            <w:tcW w:w="2552" w:type="dxa"/>
            <w:vAlign w:val="center"/>
          </w:tcPr>
          <w:p w:rsidR="005E5571" w:rsidRDefault="005E5571" w:rsidP="00BE69A2">
            <w:pPr>
              <w:pStyle w:val="Corpsdetexte"/>
              <w:spacing w:before="60" w:after="60"/>
              <w:ind w:left="0" w:firstLine="0"/>
              <w:jc w:val="left"/>
            </w:pPr>
          </w:p>
        </w:tc>
        <w:tc>
          <w:tcPr>
            <w:tcW w:w="4111" w:type="dxa"/>
            <w:vAlign w:val="center"/>
          </w:tcPr>
          <w:p w:rsidR="005E5571" w:rsidRDefault="00B472EF" w:rsidP="00C176ED">
            <w:pPr>
              <w:pStyle w:val="Corpstextegauche"/>
            </w:pPr>
            <w:r>
              <w:t>Rapport n° </w:t>
            </w:r>
            <w:r w:rsidR="00AD7F66">
              <w:t>2012-574-0</w:t>
            </w:r>
          </w:p>
        </w:tc>
      </w:tr>
      <w:tr w:rsidR="006B4B77" w:rsidTr="00B472EF">
        <w:tc>
          <w:tcPr>
            <w:tcW w:w="3402" w:type="dxa"/>
            <w:vAlign w:val="center"/>
          </w:tcPr>
          <w:p w:rsidR="006B4B77" w:rsidRDefault="006B4B77" w:rsidP="00C176ED">
            <w:pPr>
              <w:pStyle w:val="Corpsdetexte"/>
              <w:spacing w:before="60" w:after="60"/>
              <w:ind w:left="0" w:firstLine="0"/>
              <w:jc w:val="center"/>
            </w:pPr>
          </w:p>
        </w:tc>
        <w:tc>
          <w:tcPr>
            <w:tcW w:w="2552" w:type="dxa"/>
            <w:vAlign w:val="center"/>
          </w:tcPr>
          <w:p w:rsidR="006B4B77" w:rsidRDefault="006B4B77" w:rsidP="00BE69A2">
            <w:pPr>
              <w:pStyle w:val="Corpsdetexte"/>
              <w:spacing w:before="60" w:after="60"/>
              <w:ind w:left="0" w:firstLine="0"/>
              <w:jc w:val="left"/>
            </w:pPr>
          </w:p>
        </w:tc>
        <w:tc>
          <w:tcPr>
            <w:tcW w:w="4111" w:type="dxa"/>
            <w:vAlign w:val="center"/>
          </w:tcPr>
          <w:p w:rsidR="006B4B77" w:rsidRDefault="00B472EF" w:rsidP="00C176ED">
            <w:pPr>
              <w:pStyle w:val="Corpstextegauche"/>
            </w:pPr>
            <w:r>
              <w:t>Audience publique du 16 octobre 2012</w:t>
            </w:r>
          </w:p>
        </w:tc>
      </w:tr>
      <w:tr w:rsidR="006B4B77" w:rsidTr="00B472EF">
        <w:tc>
          <w:tcPr>
            <w:tcW w:w="3402" w:type="dxa"/>
            <w:vAlign w:val="center"/>
          </w:tcPr>
          <w:p w:rsidR="006B4B77" w:rsidRDefault="006B4B77" w:rsidP="00C176ED">
            <w:pPr>
              <w:pStyle w:val="Corpsdetexte"/>
              <w:spacing w:before="60" w:after="60"/>
              <w:ind w:left="0" w:firstLine="0"/>
              <w:jc w:val="center"/>
            </w:pPr>
          </w:p>
        </w:tc>
        <w:tc>
          <w:tcPr>
            <w:tcW w:w="2552" w:type="dxa"/>
            <w:vAlign w:val="center"/>
          </w:tcPr>
          <w:p w:rsidR="006B4B77" w:rsidRDefault="006B4B77" w:rsidP="00BE69A2">
            <w:pPr>
              <w:pStyle w:val="Corpsdetexte"/>
              <w:spacing w:before="60" w:after="60"/>
              <w:ind w:left="0" w:firstLine="0"/>
              <w:jc w:val="left"/>
            </w:pPr>
          </w:p>
        </w:tc>
        <w:tc>
          <w:tcPr>
            <w:tcW w:w="4111" w:type="dxa"/>
            <w:vAlign w:val="center"/>
          </w:tcPr>
          <w:p w:rsidR="006B4B77" w:rsidRDefault="005E5571" w:rsidP="00820F33">
            <w:pPr>
              <w:pStyle w:val="Corpstextegauche"/>
              <w:spacing w:after="0"/>
            </w:pPr>
            <w:r>
              <w:t>Lecture</w:t>
            </w:r>
            <w:r w:rsidR="009436F0">
              <w:t xml:space="preserve"> publique du </w:t>
            </w:r>
            <w:r w:rsidR="00E810B5">
              <w:t>30 novembre 2012</w:t>
            </w:r>
          </w:p>
        </w:tc>
      </w:tr>
    </w:tbl>
    <w:p w:rsidR="009436F0" w:rsidRDefault="009436F0" w:rsidP="00912696">
      <w:pPr>
        <w:pStyle w:val="Corpsdetexte"/>
        <w:spacing w:after="120"/>
      </w:pPr>
    </w:p>
    <w:p w:rsidR="000A5EC9" w:rsidRDefault="000A5EC9" w:rsidP="000A5EC9">
      <w:pPr>
        <w:pStyle w:val="Corpsdetexte"/>
        <w:spacing w:after="600"/>
      </w:pPr>
      <w:r>
        <w:t>LA COUR DES COMPTES a rendu l’arrêt suivant :</w:t>
      </w:r>
    </w:p>
    <w:p w:rsidR="004D4A11" w:rsidRPr="004D4A11" w:rsidRDefault="005E5571" w:rsidP="00912696">
      <w:pPr>
        <w:pStyle w:val="Corpsdetexte"/>
        <w:spacing w:before="120"/>
      </w:pPr>
      <w:r>
        <w:t>LA COUR,</w:t>
      </w:r>
    </w:p>
    <w:p w:rsidR="006411AC" w:rsidRDefault="006411AC" w:rsidP="006411AC">
      <w:pPr>
        <w:pStyle w:val="Corpsdetexte"/>
      </w:pPr>
      <w:r>
        <w:t>Vu les comptes de l’</w:t>
      </w:r>
      <w:r w:rsidR="000A2D3D">
        <w:t>u</w:t>
      </w:r>
      <w:r>
        <w:t>niversité de</w:t>
      </w:r>
      <w:r w:rsidR="00AD7F66">
        <w:t>s Antilles et de la Guyane</w:t>
      </w:r>
      <w:r>
        <w:t xml:space="preserve"> produi</w:t>
      </w:r>
      <w:r w:rsidR="00AD7F66">
        <w:t>ts pour les gestions 200</w:t>
      </w:r>
      <w:r w:rsidR="000A2D3D">
        <w:t>4</w:t>
      </w:r>
      <w:r w:rsidR="005E6FA5">
        <w:t xml:space="preserve"> à 2009, </w:t>
      </w:r>
      <w:r w:rsidR="00AD7F66">
        <w:t xml:space="preserve">rendus par </w:t>
      </w:r>
      <w:r w:rsidR="006D1E55">
        <w:t>M. X</w:t>
      </w:r>
      <w:r w:rsidR="000A2D3D">
        <w:t xml:space="preserve">, </w:t>
      </w:r>
      <w:r w:rsidR="006D1E55">
        <w:t>Mme Y</w:t>
      </w:r>
      <w:r w:rsidR="00AD7F66">
        <w:t xml:space="preserve"> </w:t>
      </w:r>
      <w:r w:rsidR="000A2D3D">
        <w:t xml:space="preserve">et </w:t>
      </w:r>
      <w:r w:rsidR="006D1E55">
        <w:t>Mme Z</w:t>
      </w:r>
      <w:r w:rsidR="000A2D3D">
        <w:t xml:space="preserve">, </w:t>
      </w:r>
      <w:r w:rsidR="00AD7F66">
        <w:t>agent</w:t>
      </w:r>
      <w:r w:rsidR="000A2D3D">
        <w:t>s</w:t>
      </w:r>
      <w:r w:rsidR="00AD7F66">
        <w:t xml:space="preserve"> comptable</w:t>
      </w:r>
      <w:r w:rsidR="00CF2A2F">
        <w:t>s</w:t>
      </w:r>
      <w:r w:rsidR="00AD7F66">
        <w:t xml:space="preserve"> </w:t>
      </w:r>
      <w:r w:rsidR="000A2D3D">
        <w:t>de ladite université, respectivement, jusqu’au 4 janvier 2005</w:t>
      </w:r>
      <w:r w:rsidR="00B7437B">
        <w:t xml:space="preserve"> pour le premier</w:t>
      </w:r>
      <w:r w:rsidR="000A2D3D">
        <w:t xml:space="preserve">, du </w:t>
      </w:r>
      <w:r w:rsidR="00AD7F66">
        <w:t>5 janvier 2005</w:t>
      </w:r>
      <w:r>
        <w:t xml:space="preserve"> au </w:t>
      </w:r>
      <w:r w:rsidR="00AD7F66">
        <w:t>2 septembre 2008</w:t>
      </w:r>
      <w:r w:rsidR="000A2D3D">
        <w:t xml:space="preserve"> </w:t>
      </w:r>
      <w:r w:rsidR="00B7437B">
        <w:t xml:space="preserve">pour la seconde </w:t>
      </w:r>
      <w:r w:rsidR="000A2D3D">
        <w:t xml:space="preserve">et </w:t>
      </w:r>
      <w:r>
        <w:t xml:space="preserve">du </w:t>
      </w:r>
      <w:r w:rsidR="00AD7F66">
        <w:t>3 septembre 2008</w:t>
      </w:r>
      <w:r w:rsidR="00B7437B">
        <w:t xml:space="preserve"> pour la troisième</w:t>
      </w:r>
      <w:r w:rsidR="00BE53B6">
        <w:t> ;</w:t>
      </w:r>
    </w:p>
    <w:p w:rsidR="000A2D3D" w:rsidRDefault="000A2D3D" w:rsidP="006411AC">
      <w:pPr>
        <w:pStyle w:val="Corpsdetexte"/>
      </w:pPr>
      <w:r w:rsidRPr="000A2D3D">
        <w:t xml:space="preserve">Vu l’ordonnance </w:t>
      </w:r>
      <w:r w:rsidR="00E810B5">
        <w:t xml:space="preserve">n° 65304 </w:t>
      </w:r>
      <w:r w:rsidRPr="000A2D3D">
        <w:t>du</w:t>
      </w:r>
      <w:r w:rsidR="00CF2A2F">
        <w:t xml:space="preserve"> </w:t>
      </w:r>
      <w:r w:rsidR="0038213E">
        <w:t>1</w:t>
      </w:r>
      <w:r w:rsidR="00E810B5">
        <w:t>5 </w:t>
      </w:r>
      <w:r w:rsidR="0038213E">
        <w:t>novembre</w:t>
      </w:r>
      <w:r w:rsidR="00E810B5">
        <w:t> </w:t>
      </w:r>
      <w:r w:rsidR="0038213E">
        <w:t xml:space="preserve">2012 </w:t>
      </w:r>
      <w:r>
        <w:t>qui a statué sur les exercices 2004 à 2007 ;</w:t>
      </w:r>
    </w:p>
    <w:p w:rsidR="007F6A68" w:rsidRDefault="007F6A68" w:rsidP="00BB1A42">
      <w:pPr>
        <w:pStyle w:val="Corpsdetexte"/>
      </w:pPr>
      <w:r w:rsidRPr="00BB1A42">
        <w:t>Vu le réquisitoire du Procureur général près la Cour des comptes n° 2012-</w:t>
      </w:r>
      <w:r w:rsidR="00AD7F66">
        <w:t>11</w:t>
      </w:r>
      <w:r w:rsidRPr="00BB1A42">
        <w:t xml:space="preserve"> </w:t>
      </w:r>
      <w:r w:rsidR="003A19BD">
        <w:t xml:space="preserve">RQ-DB en date du </w:t>
      </w:r>
      <w:r w:rsidR="00AD7F66">
        <w:t>24 février 2012</w:t>
      </w:r>
      <w:r w:rsidR="003A19BD">
        <w:t xml:space="preserve"> notifié à </w:t>
      </w:r>
      <w:r w:rsidR="006D1E55">
        <w:t>Mme Y</w:t>
      </w:r>
      <w:r w:rsidR="005777D5">
        <w:t xml:space="preserve"> le 12 mars 2012, à</w:t>
      </w:r>
      <w:r w:rsidR="003611AF">
        <w:t xml:space="preserve"> </w:t>
      </w:r>
      <w:r w:rsidR="006D1E55">
        <w:t>Mme Z</w:t>
      </w:r>
      <w:r w:rsidR="004A233E">
        <w:t xml:space="preserve"> </w:t>
      </w:r>
      <w:r w:rsidR="003A19BD">
        <w:t xml:space="preserve">et à l’ordonnateur le </w:t>
      </w:r>
      <w:r w:rsidR="004A233E">
        <w:t>1</w:t>
      </w:r>
      <w:r w:rsidR="004A233E" w:rsidRPr="004A233E">
        <w:rPr>
          <w:vertAlign w:val="superscript"/>
        </w:rPr>
        <w:t>er</w:t>
      </w:r>
      <w:r w:rsidR="004A233E">
        <w:t xml:space="preserve"> mars 2012 ;</w:t>
      </w:r>
    </w:p>
    <w:p w:rsidR="007F6A68" w:rsidRPr="00BB1A42" w:rsidRDefault="007F6A68" w:rsidP="00BB1A42">
      <w:pPr>
        <w:pStyle w:val="Corpsdetexte"/>
      </w:pPr>
      <w:r w:rsidRPr="00BB1A42">
        <w:t>Vu le cod</w:t>
      </w:r>
      <w:r w:rsidR="00B472EF" w:rsidRPr="00BB1A42">
        <w:t>e des juridictions financières ;</w:t>
      </w:r>
    </w:p>
    <w:p w:rsidR="007F6A68" w:rsidRDefault="00B472EF" w:rsidP="00BB1A42">
      <w:pPr>
        <w:pStyle w:val="Corpsdetexte"/>
      </w:pPr>
      <w:r w:rsidRPr="00BB1A42">
        <w:t>Vu l’article 60 modifié de la loi de finances n° 63-156 du 23 février 1963 ;</w:t>
      </w:r>
      <w:r w:rsidR="007F6A68" w:rsidRPr="00BB1A42">
        <w:t xml:space="preserve"> </w:t>
      </w:r>
    </w:p>
    <w:p w:rsidR="007F6A68" w:rsidRDefault="007F6A68" w:rsidP="00BB1A42">
      <w:pPr>
        <w:pStyle w:val="Corpsdetexte"/>
      </w:pPr>
      <w:r w:rsidRPr="00BB1A42">
        <w:t xml:space="preserve">Vu le code </w:t>
      </w:r>
      <w:r w:rsidR="00793B7E">
        <w:t>civil</w:t>
      </w:r>
      <w:r w:rsidRPr="00BB1A42">
        <w:t xml:space="preserve"> ;</w:t>
      </w:r>
    </w:p>
    <w:p w:rsidR="0048642E" w:rsidRPr="00BB1A42" w:rsidRDefault="0048642E" w:rsidP="00BB1A42">
      <w:pPr>
        <w:pStyle w:val="Corpsdetexte"/>
      </w:pPr>
      <w:r w:rsidRPr="0048642E">
        <w:t>Vu la loi n° 68-1250 du 31 décembre 1968 relative à la prescription des créances sur l'</w:t>
      </w:r>
      <w:r w:rsidR="006429C9" w:rsidRPr="0048642E">
        <w:t>État</w:t>
      </w:r>
      <w:r w:rsidRPr="0048642E">
        <w:t>, les départements, les communes et les établissements publics ;</w:t>
      </w:r>
    </w:p>
    <w:p w:rsidR="007F6A68" w:rsidRPr="00BB1A42" w:rsidRDefault="007F6A68" w:rsidP="00BB1A42">
      <w:pPr>
        <w:pStyle w:val="Corpsdetexte"/>
      </w:pPr>
      <w:r w:rsidRPr="00BB1A42">
        <w:t>Vu le décret n° 62-1587 du 29 décembre 1962 modifié portant règlement général sur la comptabilité publique ;</w:t>
      </w:r>
    </w:p>
    <w:p w:rsidR="00BB1A42" w:rsidRDefault="007F6A68" w:rsidP="00BB1A42">
      <w:pPr>
        <w:pStyle w:val="Corpsdetexte"/>
      </w:pPr>
      <w:r w:rsidRPr="00BB1A42">
        <w:t>Vu les lois et règlements applicables aux établissements publics nationaux à</w:t>
      </w:r>
      <w:r w:rsidR="003611AF">
        <w:t xml:space="preserve"> </w:t>
      </w:r>
      <w:r w:rsidRPr="00BB1A42">
        <w:t>caractère scientifi</w:t>
      </w:r>
      <w:r w:rsidR="006411AC">
        <w:t xml:space="preserve">que, culturel et professionnel et notamment ceux </w:t>
      </w:r>
      <w:r w:rsidR="00BB1A42" w:rsidRPr="00BB1A42">
        <w:t>applicables à</w:t>
      </w:r>
      <w:r w:rsidR="003611AF">
        <w:t xml:space="preserve"> </w:t>
      </w:r>
      <w:r w:rsidR="00BB1A42" w:rsidRPr="00BB1A42">
        <w:t xml:space="preserve">l’université </w:t>
      </w:r>
      <w:r w:rsidR="00B4397C" w:rsidRPr="00B4397C">
        <w:t>des Antilles et de la Guyane</w:t>
      </w:r>
      <w:r w:rsidR="00BB1A42" w:rsidRPr="00BB1A42">
        <w:t xml:space="preserve"> ;</w:t>
      </w:r>
    </w:p>
    <w:p w:rsidR="007F6A68" w:rsidRPr="00BB1A42" w:rsidRDefault="007F6A68" w:rsidP="00BB1A42">
      <w:pPr>
        <w:pStyle w:val="Corpsdetexte"/>
      </w:pPr>
      <w:r w:rsidRPr="00BB1A42">
        <w:lastRenderedPageBreak/>
        <w:t>Vu l’arrêté du Premier président de la Cour des comptes du</w:t>
      </w:r>
      <w:r w:rsidR="003611AF">
        <w:t xml:space="preserve"> </w:t>
      </w:r>
      <w:r w:rsidRPr="00BB1A42">
        <w:t>27 décembre</w:t>
      </w:r>
      <w:r w:rsidR="00CF2A2F">
        <w:t> </w:t>
      </w:r>
      <w:r w:rsidRPr="00BB1A42">
        <w:t>2011 portant répartition des attributions entre les chambres de la Cour des comptes ;</w:t>
      </w:r>
    </w:p>
    <w:p w:rsidR="007F6A68" w:rsidRDefault="007F6A68" w:rsidP="00BB1A42">
      <w:pPr>
        <w:pStyle w:val="Corpsdetexte"/>
      </w:pPr>
      <w:r w:rsidRPr="00BB1A42">
        <w:t>Vu les co</w:t>
      </w:r>
      <w:r w:rsidR="00BE53B6">
        <w:t>urriers adressés aux comptables et</w:t>
      </w:r>
      <w:r w:rsidRPr="00BB1A42">
        <w:t xml:space="preserve"> à l’ordonnateur, les réponses </w:t>
      </w:r>
      <w:r w:rsidR="00BE53B6">
        <w:t xml:space="preserve">et les pièces produites </w:t>
      </w:r>
      <w:r w:rsidR="00BE53B6" w:rsidRPr="00BE53B6">
        <w:t>à l’appui des comptes ou recueillies pendant l’instruction</w:t>
      </w:r>
      <w:r w:rsidR="00BE53B6">
        <w:t> ;</w:t>
      </w:r>
    </w:p>
    <w:p w:rsidR="005E5571" w:rsidRPr="00BB1A42" w:rsidRDefault="005E5571" w:rsidP="00BB1A42">
      <w:pPr>
        <w:pStyle w:val="Corpsdetexte"/>
      </w:pPr>
      <w:r w:rsidRPr="00BB1A42">
        <w:t xml:space="preserve">Vu le rapport </w:t>
      </w:r>
      <w:r w:rsidR="006411AC">
        <w:t>à fin d’arr</w:t>
      </w:r>
      <w:r w:rsidR="00B4397C">
        <w:t>êt n° 2012-574</w:t>
      </w:r>
      <w:r w:rsidR="006411AC">
        <w:t xml:space="preserve">-0 </w:t>
      </w:r>
      <w:r w:rsidRPr="00BB1A42">
        <w:t xml:space="preserve">de M. </w:t>
      </w:r>
      <w:r w:rsidR="00B4397C">
        <w:t>Serge Barichard, conseiller référendaire</w:t>
      </w:r>
      <w:r w:rsidRPr="00BB1A42">
        <w:t> ;</w:t>
      </w:r>
    </w:p>
    <w:p w:rsidR="005E5571" w:rsidRPr="00BB1A42" w:rsidRDefault="005E5571" w:rsidP="00BB1A42">
      <w:pPr>
        <w:pStyle w:val="Corpsdetexte"/>
      </w:pPr>
      <w:r w:rsidRPr="00BB1A42">
        <w:t xml:space="preserve">Vu les conclusions n° </w:t>
      </w:r>
      <w:r w:rsidR="00793B7E">
        <w:t xml:space="preserve">711 </w:t>
      </w:r>
      <w:r w:rsidRPr="00BB1A42">
        <w:t xml:space="preserve">du Procureur général près la Cour des comptes du </w:t>
      </w:r>
      <w:r w:rsidR="00793B7E">
        <w:t>12 octobre 2012 ;</w:t>
      </w:r>
    </w:p>
    <w:p w:rsidR="005E5571" w:rsidRPr="00BB1A42" w:rsidRDefault="005E5571" w:rsidP="00BB1A42">
      <w:pPr>
        <w:pStyle w:val="Corpsdetexte"/>
      </w:pPr>
      <w:r w:rsidRPr="00BB1A42">
        <w:t xml:space="preserve">Vu la </w:t>
      </w:r>
      <w:r w:rsidR="00793B7E">
        <w:t xml:space="preserve">désignation, le 27 septembre 2012, par le </w:t>
      </w:r>
      <w:r w:rsidRPr="00BB1A42">
        <w:t>pr</w:t>
      </w:r>
      <w:r w:rsidR="00793B7E">
        <w:t xml:space="preserve">ésident de la troisième chambre, de </w:t>
      </w:r>
      <w:r w:rsidRPr="00BB1A42">
        <w:t>M</w:t>
      </w:r>
      <w:r w:rsidR="00B4397C">
        <w:t>. Omar Senhaji, conseiller maître</w:t>
      </w:r>
      <w:r w:rsidRPr="00BB1A42">
        <w:t>, comme réviseur ;</w:t>
      </w:r>
    </w:p>
    <w:p w:rsidR="005E5571" w:rsidRDefault="005E5571" w:rsidP="00BB1A42">
      <w:pPr>
        <w:pStyle w:val="Corpsdetexte"/>
      </w:pPr>
      <w:r w:rsidRPr="00F72312">
        <w:t xml:space="preserve">Entendus en audience publique, M. </w:t>
      </w:r>
      <w:r w:rsidR="00B4397C" w:rsidRPr="00F72312">
        <w:t>Serge Barichard, conseiller référendaire</w:t>
      </w:r>
      <w:r w:rsidRPr="00F72312">
        <w:t xml:space="preserve">, en son rapport oral, </w:t>
      </w:r>
      <w:r w:rsidR="006411AC" w:rsidRPr="00F72312">
        <w:t>M</w:t>
      </w:r>
      <w:r w:rsidR="00793B7E" w:rsidRPr="00F72312">
        <w:t>me Catherine Sanchez</w:t>
      </w:r>
      <w:r w:rsidRPr="00F72312">
        <w:t xml:space="preserve">, </w:t>
      </w:r>
      <w:r w:rsidR="00CE0652" w:rsidRPr="00CE0652">
        <w:t>chargée de mission, en les conclusions du</w:t>
      </w:r>
      <w:r w:rsidR="003611AF">
        <w:t xml:space="preserve"> </w:t>
      </w:r>
      <w:r w:rsidR="00CE0652" w:rsidRPr="00CE0652">
        <w:t>Parquet</w:t>
      </w:r>
      <w:r w:rsidR="00CE0652">
        <w:t xml:space="preserve">, </w:t>
      </w:r>
      <w:r w:rsidR="006D1E55">
        <w:t>Mme Z</w:t>
      </w:r>
      <w:r w:rsidR="00F72312" w:rsidRPr="00F72312">
        <w:t>, agent comptable de l’université des Antilles et de la</w:t>
      </w:r>
      <w:r w:rsidR="003611AF">
        <w:t xml:space="preserve"> </w:t>
      </w:r>
      <w:r w:rsidR="00F72312" w:rsidRPr="00F72312">
        <w:t xml:space="preserve">Guyane, </w:t>
      </w:r>
      <w:r w:rsidR="00F72312">
        <w:t xml:space="preserve">informée de la tenue de l’audience, étant présente, ayant eu la parole en dernier, </w:t>
      </w:r>
      <w:r w:rsidRPr="00F72312">
        <w:t xml:space="preserve">les </w:t>
      </w:r>
      <w:r w:rsidR="00F72312" w:rsidRPr="00F72312">
        <w:t xml:space="preserve">autres </w:t>
      </w:r>
      <w:r w:rsidRPr="00F72312">
        <w:t xml:space="preserve">parties </w:t>
      </w:r>
      <w:r w:rsidR="00793B7E" w:rsidRPr="00F72312">
        <w:t>informées de l’audience</w:t>
      </w:r>
      <w:r w:rsidR="00F72312" w:rsidRPr="00F72312">
        <w:t xml:space="preserve"> </w:t>
      </w:r>
      <w:r w:rsidRPr="00F72312">
        <w:t>n’étant</w:t>
      </w:r>
      <w:r w:rsidR="00F72312" w:rsidRPr="00F72312">
        <w:t xml:space="preserve"> ni présentes ni représentées ;</w:t>
      </w:r>
    </w:p>
    <w:p w:rsidR="002E5C5B" w:rsidRPr="00BB1A42" w:rsidRDefault="002E5C5B" w:rsidP="00BB1A42">
      <w:pPr>
        <w:pStyle w:val="Corpsdetexte"/>
      </w:pPr>
      <w:r w:rsidRPr="002E5C5B">
        <w:t xml:space="preserve">Vu les pièces produites </w:t>
      </w:r>
      <w:r>
        <w:t xml:space="preserve">par </w:t>
      </w:r>
      <w:r w:rsidR="006D1E55">
        <w:t>Mme Z</w:t>
      </w:r>
      <w:r>
        <w:t xml:space="preserve"> </w:t>
      </w:r>
      <w:r w:rsidRPr="002E5C5B">
        <w:t>lors de l’audience publique ;</w:t>
      </w:r>
    </w:p>
    <w:p w:rsidR="005E5571" w:rsidRPr="00BB1A42" w:rsidRDefault="00793B7E" w:rsidP="00CC30ED">
      <w:pPr>
        <w:pStyle w:val="Corpsdetexte"/>
        <w:spacing w:after="360"/>
      </w:pPr>
      <w:r>
        <w:t xml:space="preserve">Après en avoir délibéré </w:t>
      </w:r>
      <w:r w:rsidR="005E5571" w:rsidRPr="00BB1A42">
        <w:t xml:space="preserve">à huis clos, </w:t>
      </w:r>
      <w:r>
        <w:t xml:space="preserve">hors la présence du rapporteur et du </w:t>
      </w:r>
      <w:r w:rsidR="005E5571" w:rsidRPr="00BB1A42">
        <w:t>ministère public</w:t>
      </w:r>
      <w:r>
        <w:t xml:space="preserve"> et entendu </w:t>
      </w:r>
      <w:r w:rsidR="00B4397C">
        <w:t>M. </w:t>
      </w:r>
      <w:r w:rsidR="00B4397C" w:rsidRPr="00B4397C">
        <w:t>Omar Senhaji, conseiller maître</w:t>
      </w:r>
      <w:r w:rsidR="005E5571" w:rsidRPr="00BB1A42">
        <w:t>, en ses observations ;</w:t>
      </w:r>
    </w:p>
    <w:p w:rsidR="007F6A68" w:rsidRDefault="005E5571" w:rsidP="005E5571">
      <w:pPr>
        <w:pStyle w:val="Corpsdetexte"/>
        <w:ind w:firstLine="0"/>
        <w:jc w:val="center"/>
      </w:pPr>
      <w:r>
        <w:t>ORDONNE :</w:t>
      </w:r>
    </w:p>
    <w:p w:rsidR="007F6A68" w:rsidRDefault="005E5571" w:rsidP="00542817">
      <w:pPr>
        <w:pStyle w:val="Corpsdetexte"/>
        <w:rPr>
          <w:i/>
          <w:u w:val="single"/>
        </w:rPr>
      </w:pPr>
      <w:r w:rsidRPr="005E5571">
        <w:rPr>
          <w:i/>
          <w:u w:val="single"/>
        </w:rPr>
        <w:t>Première charge</w:t>
      </w:r>
    </w:p>
    <w:p w:rsidR="00B4397C" w:rsidRDefault="00793B7E" w:rsidP="00BA4F26">
      <w:pPr>
        <w:pStyle w:val="Corpsdetexte"/>
      </w:pPr>
      <w:r>
        <w:t xml:space="preserve">Attendu que par </w:t>
      </w:r>
      <w:r w:rsidRPr="00BB1A42">
        <w:t>réquisitoire n°</w:t>
      </w:r>
      <w:r w:rsidR="00CF40FE">
        <w:t> </w:t>
      </w:r>
      <w:r w:rsidRPr="00BB1A42">
        <w:t>2012-</w:t>
      </w:r>
      <w:r>
        <w:t>11</w:t>
      </w:r>
      <w:r w:rsidRPr="00BB1A42">
        <w:t xml:space="preserve"> </w:t>
      </w:r>
      <w:r>
        <w:t xml:space="preserve">RQ-DB susvisé, le </w:t>
      </w:r>
      <w:r w:rsidR="00B4397C" w:rsidRPr="00BA4F26">
        <w:t xml:space="preserve">Procureur général a relevé que figurait sur l’état de développement du solde du compte </w:t>
      </w:r>
      <w:r w:rsidR="008819DA">
        <w:t>n° </w:t>
      </w:r>
      <w:r w:rsidR="00B4397C" w:rsidRPr="00BA4F26">
        <w:t xml:space="preserve">441722 « </w:t>
      </w:r>
      <w:r w:rsidR="00B4397C" w:rsidRPr="008819DA">
        <w:rPr>
          <w:i/>
        </w:rPr>
        <w:t>Région Martinique fonctionnement</w:t>
      </w:r>
      <w:r w:rsidR="00B4397C" w:rsidRPr="00BA4F26">
        <w:t xml:space="preserve"> » une créance de 18 503 €, correspondant </w:t>
      </w:r>
      <w:r w:rsidR="009C1FAD" w:rsidRPr="00BA4F26">
        <w:t>au solde d’</w:t>
      </w:r>
      <w:r w:rsidR="00B4397C" w:rsidRPr="00BA4F26">
        <w:t xml:space="preserve">une subvention attendue </w:t>
      </w:r>
      <w:r w:rsidR="004A233E">
        <w:t xml:space="preserve">du conseil régional </w:t>
      </w:r>
      <w:r w:rsidR="00B4397C" w:rsidRPr="00BA4F26">
        <w:t>de Martinique</w:t>
      </w:r>
      <w:r w:rsidR="008819DA">
        <w:t xml:space="preserve"> ; </w:t>
      </w:r>
      <w:r w:rsidR="00C47A9E" w:rsidRPr="00BA4F26">
        <w:t>que faute de d</w:t>
      </w:r>
      <w:r w:rsidR="00B4397C" w:rsidRPr="00BA4F26">
        <w:t xml:space="preserve">iligences </w:t>
      </w:r>
      <w:r w:rsidR="00C47A9E" w:rsidRPr="00BA4F26">
        <w:t>la créance pourra</w:t>
      </w:r>
      <w:r w:rsidR="002D1F9A">
        <w:t>it être prescrite depuis le 1</w:t>
      </w:r>
      <w:r w:rsidR="002D1F9A" w:rsidRPr="002D1F9A">
        <w:rPr>
          <w:vertAlign w:val="superscript"/>
        </w:rPr>
        <w:t>er</w:t>
      </w:r>
      <w:r w:rsidR="002D1F9A">
        <w:t xml:space="preserve"> janvier 2010 ;</w:t>
      </w:r>
    </w:p>
    <w:p w:rsidR="00B4397C" w:rsidRDefault="00C47A9E" w:rsidP="00BA4F26">
      <w:pPr>
        <w:pStyle w:val="Corpsdetexte"/>
      </w:pPr>
      <w:r w:rsidRPr="00BA4F26">
        <w:t>Attendu que le Procureur général estimait q</w:t>
      </w:r>
      <w:r w:rsidR="00B4397C" w:rsidRPr="00BA4F26">
        <w:t xml:space="preserve">ue </w:t>
      </w:r>
      <w:r w:rsidR="006D1E55">
        <w:t>Mme Y</w:t>
      </w:r>
      <w:r w:rsidR="00B4397C" w:rsidRPr="00BA4F26">
        <w:t>, en fonctions jusqu’au 2 septembre 2008, avait engagé sa responsabilité</w:t>
      </w:r>
      <w:r w:rsidRPr="00BA4F26">
        <w:t xml:space="preserve"> mais qu’en </w:t>
      </w:r>
      <w:r w:rsidR="00B4397C" w:rsidRPr="00BA4F26">
        <w:t xml:space="preserve">raison du caractère général des réserves formulées par </w:t>
      </w:r>
      <w:r w:rsidR="006D1E55">
        <w:t>Mme Z</w:t>
      </w:r>
      <w:r w:rsidR="00B4397C" w:rsidRPr="00BA4F26">
        <w:t xml:space="preserve">, la responsabilité de cette </w:t>
      </w:r>
      <w:r w:rsidRPr="00BA4F26">
        <w:t xml:space="preserve">dernière </w:t>
      </w:r>
      <w:r w:rsidR="00B4397C" w:rsidRPr="00BA4F26">
        <w:t xml:space="preserve">ne pouvait être définitivement écartée </w:t>
      </w:r>
      <w:r w:rsidR="009C1FAD" w:rsidRPr="00BA4F26">
        <w:t>sans instruction complémentaire ;</w:t>
      </w:r>
    </w:p>
    <w:p w:rsidR="002D1F9A" w:rsidRPr="00BA4F26" w:rsidRDefault="002D1F9A" w:rsidP="00BA4F26">
      <w:pPr>
        <w:pStyle w:val="Corpsdetexte"/>
      </w:pPr>
      <w:r w:rsidRPr="002D1F9A">
        <w:t xml:space="preserve">Attendu que </w:t>
      </w:r>
      <w:r w:rsidR="00966D28">
        <w:t xml:space="preserve">l’examen des pièces indique que </w:t>
      </w:r>
      <w:r w:rsidRPr="002D1F9A">
        <w:t>le montant du titre est exactement de 18 503,30 € ;</w:t>
      </w:r>
    </w:p>
    <w:p w:rsidR="00B4397C" w:rsidRDefault="00D51DCD" w:rsidP="00BA4F26">
      <w:pPr>
        <w:pStyle w:val="Corpsdetexte"/>
      </w:pPr>
      <w:r>
        <w:t xml:space="preserve">Attendu que </w:t>
      </w:r>
      <w:r w:rsidR="006D1E55">
        <w:t>Mme Y</w:t>
      </w:r>
      <w:r>
        <w:t xml:space="preserve"> </w:t>
      </w:r>
      <w:r w:rsidR="00B4397C" w:rsidRPr="00BA4F26">
        <w:t>fait valoir que sa responsabilité ne saurait être engagée, le titre ayant été pris en charge au cours de l’exercice 2005</w:t>
      </w:r>
      <w:r w:rsidR="009C1FAD" w:rsidRPr="00BA4F26">
        <w:t xml:space="preserve"> </w:t>
      </w:r>
      <w:r w:rsidR="00B4397C" w:rsidRPr="00BA4F26">
        <w:t xml:space="preserve">pour lequel elle est déchargée du fait </w:t>
      </w:r>
      <w:r w:rsidR="00BC2078">
        <w:t xml:space="preserve">de </w:t>
      </w:r>
      <w:r w:rsidR="009C1FAD" w:rsidRPr="00BA4F26">
        <w:t>l’</w:t>
      </w:r>
      <w:r w:rsidR="00B4397C" w:rsidRPr="00BA4F26">
        <w:t xml:space="preserve">application des règles de prescription prévues au deuxième alinéa du IV de l’article </w:t>
      </w:r>
      <w:r w:rsidR="009C1FAD" w:rsidRPr="00BA4F26">
        <w:t>60 de la loi du 23 février 1963 ;</w:t>
      </w:r>
    </w:p>
    <w:p w:rsidR="00CC30ED" w:rsidRDefault="00CC30ED">
      <w:pPr>
        <w:spacing w:before="0" w:after="0"/>
        <w:ind w:left="0" w:firstLine="0"/>
        <w:jc w:val="left"/>
      </w:pPr>
      <w:r>
        <w:br w:type="page"/>
      </w:r>
    </w:p>
    <w:p w:rsidR="00B4397C" w:rsidRDefault="002D1F9A" w:rsidP="00BA4F26">
      <w:pPr>
        <w:pStyle w:val="Corpsdetexte"/>
      </w:pPr>
      <w:r>
        <w:t xml:space="preserve">Considérant </w:t>
      </w:r>
      <w:r w:rsidR="005B0345" w:rsidRPr="00BA4F26">
        <w:t xml:space="preserve">que la situation du comptable l’année de prise en charge du titre est sans effet sur la mise en jeu ultérieure de sa responsabilité ou de celle de ses successeurs en l’absence de réserves de leur part ; </w:t>
      </w:r>
      <w:r w:rsidR="00B4397C" w:rsidRPr="00BA4F26">
        <w:t>qu’en matière de recouvrement la responsabilité du comptable est engagée dès lors qu’une recette n’a pas été recouvrée</w:t>
      </w:r>
      <w:r w:rsidR="005B0345" w:rsidRPr="00BA4F26">
        <w:t xml:space="preserve"> et s’apprécie </w:t>
      </w:r>
      <w:r w:rsidR="00B4397C" w:rsidRPr="00BA4F26">
        <w:t>au titre de l’exercice au cours duquel la créance est devenue irrécouvrable faute de diligences a</w:t>
      </w:r>
      <w:r w:rsidR="00966D28">
        <w:t>déquates, complètes et rapides ;</w:t>
      </w:r>
      <w:r w:rsidR="00966D28" w:rsidRPr="00966D28">
        <w:t xml:space="preserve"> qu’ainsi l’argument présenté par la comptable ne peut être retenu ;</w:t>
      </w:r>
    </w:p>
    <w:p w:rsidR="00966D28" w:rsidRDefault="00966D28" w:rsidP="00BA4F26">
      <w:pPr>
        <w:pStyle w:val="Corpsdetexte"/>
      </w:pPr>
      <w:r w:rsidRPr="00966D28">
        <w:t xml:space="preserve">Attendu que </w:t>
      </w:r>
      <w:r w:rsidR="006D1E55">
        <w:t>Mme Y</w:t>
      </w:r>
      <w:r w:rsidRPr="00966D28">
        <w:t xml:space="preserve"> ne peut produire la preuve des diligences qu’elle aurait entreprises en vue du recouvrement de la créance ;</w:t>
      </w:r>
    </w:p>
    <w:p w:rsidR="002F1F15" w:rsidRPr="00966D28" w:rsidRDefault="002F1F15" w:rsidP="00966D28">
      <w:pPr>
        <w:pStyle w:val="Corpsdetexte"/>
      </w:pPr>
      <w:r w:rsidRPr="00966D28">
        <w:t xml:space="preserve">Attendu </w:t>
      </w:r>
      <w:r w:rsidR="00966D28">
        <w:t xml:space="preserve">que lors de l’audience publique, </w:t>
      </w:r>
      <w:r w:rsidR="006D1E55">
        <w:t>Mme Z</w:t>
      </w:r>
      <w:r w:rsidRPr="00966D28">
        <w:t>, après avoir rappelé les données financières relatives à la subvention, précise que le versement d</w:t>
      </w:r>
      <w:r w:rsidR="00EF44B7" w:rsidRPr="00966D28">
        <w:t>u solde de la subvention</w:t>
      </w:r>
      <w:r w:rsidRPr="00966D28">
        <w:t xml:space="preserve"> était conditionné par la production d'un rapport financier que l'ordonnateur affirme </w:t>
      </w:r>
      <w:r w:rsidR="00EF44B7" w:rsidRPr="00966D28">
        <w:t xml:space="preserve">avoir produit </w:t>
      </w:r>
      <w:r w:rsidRPr="00966D28">
        <w:t xml:space="preserve">en mars 2005 </w:t>
      </w:r>
      <w:r w:rsidR="004A233E">
        <w:t>aux services du conseil régional de Martinique le</w:t>
      </w:r>
      <w:r w:rsidR="00432E88">
        <w:t>s</w:t>
      </w:r>
      <w:r w:rsidR="004A233E">
        <w:t>quel</w:t>
      </w:r>
      <w:r w:rsidR="00432E88">
        <w:t>s</w:t>
      </w:r>
      <w:r w:rsidRPr="00966D28">
        <w:t xml:space="preserve"> indique</w:t>
      </w:r>
      <w:r w:rsidR="00432E88">
        <w:t>nt</w:t>
      </w:r>
      <w:r w:rsidRPr="00966D28">
        <w:t xml:space="preserve"> n</w:t>
      </w:r>
      <w:r w:rsidR="00432E88">
        <w:t>e l’</w:t>
      </w:r>
      <w:r w:rsidRPr="00966D28">
        <w:t>avoir jamais reçu</w:t>
      </w:r>
      <w:r w:rsidR="00EF44B7" w:rsidRPr="00966D28">
        <w:t> ;</w:t>
      </w:r>
    </w:p>
    <w:p w:rsidR="002F1F15" w:rsidRPr="00966D28" w:rsidRDefault="006D1E55" w:rsidP="00966D28">
      <w:pPr>
        <w:pStyle w:val="Corpsdetexte"/>
      </w:pPr>
      <w:r>
        <w:t>Que Mme Z</w:t>
      </w:r>
      <w:r w:rsidR="004A233E">
        <w:t xml:space="preserve"> évoque </w:t>
      </w:r>
      <w:r w:rsidR="00432E88">
        <w:t>d</w:t>
      </w:r>
      <w:r w:rsidR="002F1F15" w:rsidRPr="00966D28">
        <w:t xml:space="preserve">es conditions matérielles et administratives difficiles </w:t>
      </w:r>
      <w:r w:rsidR="00432E88">
        <w:t xml:space="preserve">pour exercer </w:t>
      </w:r>
      <w:r w:rsidR="002F1F15" w:rsidRPr="00966D28">
        <w:t xml:space="preserve">ses missions </w:t>
      </w:r>
      <w:r w:rsidR="004A233E">
        <w:t xml:space="preserve">d’agent comptable </w:t>
      </w:r>
      <w:r w:rsidR="00432E88">
        <w:t xml:space="preserve">et </w:t>
      </w:r>
      <w:r w:rsidR="004A233E">
        <w:t xml:space="preserve">procéder au </w:t>
      </w:r>
      <w:r w:rsidR="002F1F15" w:rsidRPr="00966D28">
        <w:t>recouvrement des créances</w:t>
      </w:r>
      <w:r w:rsidR="00432E88">
        <w:t xml:space="preserve">, </w:t>
      </w:r>
      <w:r w:rsidR="002F1F15" w:rsidRPr="00966D28">
        <w:t>notamment des difficultés d'archivage ne permettant pas d'avoir accès aux pièces d</w:t>
      </w:r>
      <w:r w:rsidR="00432E88">
        <w:t xml:space="preserve">u </w:t>
      </w:r>
      <w:r w:rsidR="002F1F15" w:rsidRPr="00966D28">
        <w:t>dossier</w:t>
      </w:r>
      <w:r w:rsidR="00432E88">
        <w:t xml:space="preserve"> en cause</w:t>
      </w:r>
      <w:r w:rsidR="002F1F15" w:rsidRPr="00966D28">
        <w:t> ;</w:t>
      </w:r>
      <w:r w:rsidR="00EF44B7" w:rsidRPr="00966D28">
        <w:t xml:space="preserve"> </w:t>
      </w:r>
      <w:r w:rsidR="002F1F15" w:rsidRPr="00966D28">
        <w:t>que compte tenu de ces justifications la comptable estime que sa responsabilité personnelle et pécuniaire ne peut être engagée</w:t>
      </w:r>
      <w:r w:rsidR="00AF719C">
        <w:t> ;</w:t>
      </w:r>
    </w:p>
    <w:p w:rsidR="00EF44B7" w:rsidRPr="00966D28" w:rsidRDefault="006D1E55" w:rsidP="00966D28">
      <w:pPr>
        <w:pStyle w:val="Corpsdetexte"/>
      </w:pPr>
      <w:r>
        <w:t>Que Mme Z</w:t>
      </w:r>
      <w:r w:rsidR="00EF44B7" w:rsidRPr="00966D28">
        <w:t xml:space="preserve"> précise que ses relances ont permis à l’ordonnateur de transmettre le 21 mai 2012 un état récapitulat</w:t>
      </w:r>
      <w:r w:rsidR="0048642E">
        <w:t>if des factures à hauteur de 22 </w:t>
      </w:r>
      <w:r w:rsidR="00EF44B7" w:rsidRPr="00966D28">
        <w:t>545,37</w:t>
      </w:r>
      <w:r w:rsidR="0048642E">
        <w:t> </w:t>
      </w:r>
      <w:r w:rsidR="00EF44B7" w:rsidRPr="00966D28">
        <w:t xml:space="preserve">€ ; que les échanges avec la région </w:t>
      </w:r>
      <w:r w:rsidR="0048642E">
        <w:t>se sont avérés in</w:t>
      </w:r>
      <w:r w:rsidR="00EF44B7" w:rsidRPr="00966D28">
        <w:t xml:space="preserve">fructueux </w:t>
      </w:r>
      <w:r w:rsidR="0048642E">
        <w:t xml:space="preserve">pour faire avancer ce dossier ; </w:t>
      </w:r>
      <w:r w:rsidR="00EF44B7" w:rsidRPr="00966D28">
        <w:t>qu’en définitive, la région n'est plus redevable du solde ; qu’une procédure de réduction du montant du titre a été engagée ;</w:t>
      </w:r>
    </w:p>
    <w:p w:rsidR="00B4397C" w:rsidRPr="00BA4F26" w:rsidRDefault="008A2307" w:rsidP="00BA4F26">
      <w:pPr>
        <w:pStyle w:val="Corpsdetexte"/>
      </w:pPr>
      <w:r>
        <w:t xml:space="preserve">Attendu que, lors de l’instruction, </w:t>
      </w:r>
      <w:r w:rsidR="006D1E55">
        <w:t>Mme Z</w:t>
      </w:r>
      <w:r w:rsidR="005B0345" w:rsidRPr="00BA4F26">
        <w:t xml:space="preserve"> a produit, </w:t>
      </w:r>
      <w:r w:rsidR="00B4397C" w:rsidRPr="00BA4F26">
        <w:t>sinon la preuve, du moins l’indication qu’un premier mandatement est intervenu au profit de l’univer</w:t>
      </w:r>
      <w:r w:rsidR="0048642E">
        <w:t xml:space="preserve">sité dans le courant de l’année </w:t>
      </w:r>
      <w:r w:rsidR="00B4397C" w:rsidRPr="00BA4F26">
        <w:t>2006,</w:t>
      </w:r>
      <w:r w:rsidR="00D51DCD">
        <w:t xml:space="preserve"> pour un montant de 27 754,94 € ;</w:t>
      </w:r>
    </w:p>
    <w:p w:rsidR="00B4397C" w:rsidRPr="00BA4F26" w:rsidRDefault="005B0345" w:rsidP="00BA4F26">
      <w:pPr>
        <w:pStyle w:val="Corpsdetexte"/>
      </w:pPr>
      <w:r w:rsidRPr="00BA4F26">
        <w:t xml:space="preserve">Considérant que la prescription prévue </w:t>
      </w:r>
      <w:r w:rsidR="00B4397C" w:rsidRPr="00BA4F26">
        <w:t xml:space="preserve">par </w:t>
      </w:r>
      <w:r w:rsidR="0048642E" w:rsidRPr="0048642E">
        <w:t>la loi n°</w:t>
      </w:r>
      <w:r w:rsidR="00CC30ED">
        <w:t> </w:t>
      </w:r>
      <w:r w:rsidR="0048642E" w:rsidRPr="0048642E">
        <w:t>68-1250 du 31</w:t>
      </w:r>
      <w:r w:rsidR="00CC30ED">
        <w:t> </w:t>
      </w:r>
      <w:r w:rsidR="0048642E" w:rsidRPr="0048642E">
        <w:t>décembre</w:t>
      </w:r>
      <w:r w:rsidR="00CC30ED">
        <w:t> </w:t>
      </w:r>
      <w:r w:rsidR="0048642E" w:rsidRPr="0048642E">
        <w:t>19</w:t>
      </w:r>
      <w:r w:rsidR="0048642E">
        <w:t xml:space="preserve">68, </w:t>
      </w:r>
      <w:r w:rsidR="0048642E" w:rsidRPr="0048642E">
        <w:t>relative à la prescription des créances sur l'</w:t>
      </w:r>
      <w:r w:rsidR="006429C9" w:rsidRPr="0048642E">
        <w:t>État</w:t>
      </w:r>
      <w:r w:rsidR="0048642E" w:rsidRPr="0048642E">
        <w:t>, les départements, les communes et les établissements publics</w:t>
      </w:r>
      <w:r w:rsidR="0048642E">
        <w:t xml:space="preserve">, </w:t>
      </w:r>
      <w:r w:rsidRPr="00BA4F26">
        <w:t>a été de ce fait interrompu</w:t>
      </w:r>
      <w:r w:rsidR="008819DA">
        <w:t>e</w:t>
      </w:r>
      <w:r w:rsidRPr="00BA4F26">
        <w:t xml:space="preserve"> et qu’elle </w:t>
      </w:r>
      <w:r w:rsidR="008819DA">
        <w:t xml:space="preserve">est </w:t>
      </w:r>
      <w:r w:rsidR="002D1F9A">
        <w:t>acquise le 1</w:t>
      </w:r>
      <w:r w:rsidR="002D1F9A" w:rsidRPr="002D1F9A">
        <w:rPr>
          <w:vertAlign w:val="superscript"/>
        </w:rPr>
        <w:t>er</w:t>
      </w:r>
      <w:r w:rsidR="0048642E">
        <w:t> </w:t>
      </w:r>
      <w:r w:rsidR="00C47A9E" w:rsidRPr="00BA4F26">
        <w:t>janvier 2011 ;</w:t>
      </w:r>
    </w:p>
    <w:p w:rsidR="00B4397C" w:rsidRPr="00BA4F26" w:rsidRDefault="009C1FAD" w:rsidP="00BA4F26">
      <w:pPr>
        <w:pStyle w:val="Corpsdetexte"/>
      </w:pPr>
      <w:r w:rsidRPr="00BA4F26">
        <w:t xml:space="preserve">Attendu que la Cour constate </w:t>
      </w:r>
      <w:r w:rsidR="00B4397C" w:rsidRPr="00BA4F26">
        <w:t xml:space="preserve">qu’à la sortie de fonction de </w:t>
      </w:r>
      <w:r w:rsidR="006D1E55">
        <w:t>Mme Y</w:t>
      </w:r>
      <w:r w:rsidR="00B4397C" w:rsidRPr="00BA4F26">
        <w:t>, le 2 septembre 2008</w:t>
      </w:r>
      <w:r w:rsidRPr="00BA4F26">
        <w:t xml:space="preserve">, </w:t>
      </w:r>
      <w:r w:rsidR="00B4397C" w:rsidRPr="00BA4F26">
        <w:t xml:space="preserve">en dépit du caractère manifestement insuffisant de ses diligences entre 2006 et 2008, </w:t>
      </w:r>
      <w:r w:rsidRPr="00BA4F26">
        <w:t xml:space="preserve">il était possible, jusqu’au 31 décembre 2010, pour </w:t>
      </w:r>
      <w:r w:rsidR="006D1E55">
        <w:t>Mme Z</w:t>
      </w:r>
      <w:r w:rsidR="00EF44B7">
        <w:t>,</w:t>
      </w:r>
      <w:r w:rsidR="00193D18">
        <w:t xml:space="preserve"> </w:t>
      </w:r>
      <w:r w:rsidR="00B4397C" w:rsidRPr="00BA4F26">
        <w:t>d’obtenir d</w:t>
      </w:r>
      <w:r w:rsidR="00EF44B7">
        <w:t xml:space="preserve">u conseil régional </w:t>
      </w:r>
      <w:r w:rsidR="00B4397C" w:rsidRPr="00BA4F26">
        <w:t>de Martinique le règleme</w:t>
      </w:r>
      <w:r w:rsidRPr="00BA4F26">
        <w:t>nt du solde de</w:t>
      </w:r>
      <w:r w:rsidR="00EF44B7">
        <w:t xml:space="preserve"> la subvention </w:t>
      </w:r>
      <w:r w:rsidRPr="00BA4F26">
        <w:t>ou d’engager les procédures pour interrompre de nouveau les délais de pre</w:t>
      </w:r>
      <w:r w:rsidR="003546F3" w:rsidRPr="00BA4F26">
        <w:t>s</w:t>
      </w:r>
      <w:r w:rsidRPr="00BA4F26">
        <w:t>cription</w:t>
      </w:r>
      <w:r w:rsidR="003546F3" w:rsidRPr="00BA4F26">
        <w:t> ;</w:t>
      </w:r>
    </w:p>
    <w:p w:rsidR="00D51DCD" w:rsidRDefault="009C1FAD" w:rsidP="00BA4F26">
      <w:pPr>
        <w:pStyle w:val="Corpsdetexte"/>
      </w:pPr>
      <w:r w:rsidRPr="00BA4F26">
        <w:t xml:space="preserve">Attendu qu’entre </w:t>
      </w:r>
      <w:r w:rsidR="003546F3" w:rsidRPr="00BA4F26">
        <w:t xml:space="preserve">la prise de fonction de </w:t>
      </w:r>
      <w:r w:rsidR="006D1E55">
        <w:t>Mme Z</w:t>
      </w:r>
      <w:r w:rsidRPr="00BA4F26">
        <w:t>, le 3 septembre 2008, et la fin de l’exercice 20</w:t>
      </w:r>
      <w:r w:rsidR="00BC2078">
        <w:t>10</w:t>
      </w:r>
      <w:r w:rsidRPr="00BA4F26">
        <w:t xml:space="preserve">, le recouvrement auprès du conseil régional </w:t>
      </w:r>
      <w:r w:rsidR="004A233E">
        <w:t xml:space="preserve">de Martinique </w:t>
      </w:r>
      <w:r w:rsidRPr="00BA4F26">
        <w:t>ne pouvait être considéré comme définiti</w:t>
      </w:r>
      <w:r w:rsidR="003546F3" w:rsidRPr="00BA4F26">
        <w:t>vement compromis ; que la formulation de réserves ne dégage la responsabilité du comptable entrant que si leur motiva</w:t>
      </w:r>
      <w:r w:rsidR="00EF44B7">
        <w:t xml:space="preserve">tion est suffisamment précise ; </w:t>
      </w:r>
      <w:r w:rsidR="00D51DCD">
        <w:t>qu’</w:t>
      </w:r>
      <w:r w:rsidR="003546F3" w:rsidRPr="00BA4F26">
        <w:t>ayant constaté l’absence de recouvrement de la créance, il</w:t>
      </w:r>
      <w:r w:rsidR="003611AF">
        <w:t xml:space="preserve"> </w:t>
      </w:r>
      <w:r w:rsidR="00D51DCD">
        <w:t xml:space="preserve">revenait à </w:t>
      </w:r>
      <w:r w:rsidR="006D1E55">
        <w:t>Mme Z</w:t>
      </w:r>
      <w:r w:rsidR="00D51DCD">
        <w:t xml:space="preserve"> </w:t>
      </w:r>
      <w:r w:rsidR="003546F3" w:rsidRPr="00BA4F26">
        <w:t xml:space="preserve">d’engager les diligences pour </w:t>
      </w:r>
      <w:r w:rsidR="00D51DCD">
        <w:t xml:space="preserve">recouvrer la créance et pour </w:t>
      </w:r>
      <w:r w:rsidR="003546F3" w:rsidRPr="00BA4F26">
        <w:t xml:space="preserve">éviter sa prescription ; </w:t>
      </w:r>
    </w:p>
    <w:p w:rsidR="0075763A" w:rsidRDefault="00D51DCD" w:rsidP="00BA4F26">
      <w:pPr>
        <w:pStyle w:val="Corpsdetexte"/>
      </w:pPr>
      <w:r>
        <w:lastRenderedPageBreak/>
        <w:t xml:space="preserve">Attendu </w:t>
      </w:r>
      <w:r w:rsidR="003546F3" w:rsidRPr="00BA4F26">
        <w:t>qu’aucune diligence n’a été effectué</w:t>
      </w:r>
      <w:r w:rsidR="00193D6E">
        <w:t>e</w:t>
      </w:r>
      <w:r w:rsidR="003611AF">
        <w:t xml:space="preserve"> </w:t>
      </w:r>
      <w:r w:rsidR="003546F3" w:rsidRPr="00BA4F26">
        <w:t>d</w:t>
      </w:r>
      <w:r w:rsidR="00193D18">
        <w:t>ans les délais de prescription ;</w:t>
      </w:r>
      <w:r>
        <w:t xml:space="preserve"> </w:t>
      </w:r>
      <w:r w:rsidR="00193D6E">
        <w:t xml:space="preserve">que </w:t>
      </w:r>
      <w:r w:rsidR="006D1E55">
        <w:t>Mme Z</w:t>
      </w:r>
      <w:r w:rsidR="00193D6E">
        <w:t xml:space="preserve"> apporte la preuve matérielle des diligences effectuées uniquement à compter de l’année 2012 soit après la prescription de la créance ; </w:t>
      </w:r>
      <w:r w:rsidR="0075763A" w:rsidRPr="0075763A">
        <w:t xml:space="preserve">que </w:t>
      </w:r>
      <w:r w:rsidR="00A60F9E">
        <w:t xml:space="preserve">dès lors </w:t>
      </w:r>
      <w:r w:rsidR="0075763A" w:rsidRPr="0075763A">
        <w:t xml:space="preserve">la responsabilité </w:t>
      </w:r>
      <w:r w:rsidR="0075763A">
        <w:t xml:space="preserve">de la </w:t>
      </w:r>
      <w:r w:rsidR="0075763A" w:rsidRPr="0075763A">
        <w:t xml:space="preserve">comptable </w:t>
      </w:r>
      <w:r w:rsidR="00CE0652">
        <w:t>aurait pu</w:t>
      </w:r>
      <w:r w:rsidR="00A60F9E">
        <w:t xml:space="preserve"> </w:t>
      </w:r>
      <w:r w:rsidR="0075763A">
        <w:t xml:space="preserve">être </w:t>
      </w:r>
      <w:r w:rsidR="00CE0652">
        <w:t>retenue ;</w:t>
      </w:r>
    </w:p>
    <w:p w:rsidR="00193D18" w:rsidRPr="00BA4F26" w:rsidRDefault="00193D18" w:rsidP="00BA4F26">
      <w:pPr>
        <w:pStyle w:val="Corpsdetexte"/>
      </w:pPr>
      <w:r>
        <w:t xml:space="preserve">Attendu </w:t>
      </w:r>
      <w:r w:rsidR="00A60F9E">
        <w:t xml:space="preserve">cependant </w:t>
      </w:r>
      <w:r>
        <w:t xml:space="preserve">que la prescription, </w:t>
      </w:r>
      <w:r w:rsidR="000D4AC6">
        <w:t>acquise le 1</w:t>
      </w:r>
      <w:r w:rsidR="000D4AC6" w:rsidRPr="000D4AC6">
        <w:rPr>
          <w:vertAlign w:val="superscript"/>
        </w:rPr>
        <w:t>er</w:t>
      </w:r>
      <w:r w:rsidR="000D4AC6">
        <w:t xml:space="preserve"> </w:t>
      </w:r>
      <w:r>
        <w:t xml:space="preserve">janvier 2011, concerne un exercice postérieur aux comptes en jugement ; que </w:t>
      </w:r>
      <w:r w:rsidR="000D4AC6">
        <w:t xml:space="preserve">la présomption de charge  retenue par le réquisitoire </w:t>
      </w:r>
      <w:r w:rsidR="0075763A">
        <w:t>concerne</w:t>
      </w:r>
      <w:r w:rsidR="000D4AC6">
        <w:t xml:space="preserve"> l’année 2009 ; </w:t>
      </w:r>
      <w:r w:rsidR="00EF44B7">
        <w:t>que le Parquet n’a pas engagé d’inst</w:t>
      </w:r>
      <w:r w:rsidR="00332511">
        <w:t xml:space="preserve">ance au titre des exercices ultérieurs ; </w:t>
      </w:r>
      <w:r w:rsidR="000D4AC6">
        <w:t xml:space="preserve">que </w:t>
      </w:r>
      <w:r>
        <w:t xml:space="preserve">la Cour n’a pas notifié au comptable </w:t>
      </w:r>
      <w:r w:rsidR="00332511">
        <w:t xml:space="preserve">et à l’ordonnateur </w:t>
      </w:r>
      <w:r>
        <w:t>le contr</w:t>
      </w:r>
      <w:r w:rsidR="000D4AC6">
        <w:t>ôle des exercices 2010 et 2011 ;</w:t>
      </w:r>
    </w:p>
    <w:p w:rsidR="003546F3" w:rsidRPr="00BA4F26" w:rsidRDefault="003546F3" w:rsidP="00BA4F26">
      <w:pPr>
        <w:pStyle w:val="Corpsdetexte"/>
      </w:pPr>
      <w:r w:rsidRPr="00BA4F26">
        <w:t>Par ces motifs,</w:t>
      </w:r>
    </w:p>
    <w:p w:rsidR="000D4AC6" w:rsidRDefault="000D4AC6" w:rsidP="000D4AC6">
      <w:pPr>
        <w:pStyle w:val="Corpsdetexte"/>
        <w:numPr>
          <w:ilvl w:val="0"/>
          <w:numId w:val="10"/>
        </w:numPr>
      </w:pPr>
      <w:r w:rsidRPr="000D4AC6">
        <w:t xml:space="preserve">Il n’y a pas lieu de prononcer de charge à l’encontre de </w:t>
      </w:r>
      <w:r w:rsidR="006D1E55">
        <w:t>Mme Y</w:t>
      </w:r>
      <w:r w:rsidRPr="000D4AC6">
        <w:t xml:space="preserve"> </w:t>
      </w:r>
      <w:r w:rsidR="00CE0652">
        <w:t xml:space="preserve">et de </w:t>
      </w:r>
      <w:r w:rsidR="006D1E55">
        <w:t>Mme Z</w:t>
      </w:r>
      <w:r w:rsidR="00CE0652">
        <w:t xml:space="preserve"> </w:t>
      </w:r>
      <w:r w:rsidRPr="000D4AC6">
        <w:t>au titre de l’exercice</w:t>
      </w:r>
      <w:r w:rsidR="001B2353">
        <w:t> </w:t>
      </w:r>
      <w:r w:rsidRPr="000D4AC6">
        <w:t>2008</w:t>
      </w:r>
      <w:r>
        <w:t> ;</w:t>
      </w:r>
    </w:p>
    <w:p w:rsidR="000B1166" w:rsidRDefault="000B1166" w:rsidP="00A55905">
      <w:pPr>
        <w:pStyle w:val="Corpsdetexte"/>
        <w:numPr>
          <w:ilvl w:val="0"/>
          <w:numId w:val="10"/>
        </w:numPr>
        <w:spacing w:after="360"/>
        <w:ind w:left="2058" w:hanging="357"/>
      </w:pPr>
      <w:r>
        <w:t xml:space="preserve">Il n’y a pas lieu de prononcer de charge à l’encontre de </w:t>
      </w:r>
      <w:r w:rsidR="006D1E55">
        <w:t>Mme Z</w:t>
      </w:r>
      <w:r>
        <w:t xml:space="preserve"> au titre de l’exercice 2009</w:t>
      </w:r>
      <w:r w:rsidR="00DB0752">
        <w:t>.</w:t>
      </w:r>
    </w:p>
    <w:p w:rsidR="00B4397C" w:rsidRPr="00FE2074" w:rsidRDefault="00FE2074" w:rsidP="00CB5FA9">
      <w:pPr>
        <w:pStyle w:val="Corpsdetexte"/>
        <w:spacing w:after="360"/>
        <w:rPr>
          <w:i/>
          <w:u w:val="single"/>
        </w:rPr>
      </w:pPr>
      <w:r w:rsidRPr="00FE2074">
        <w:rPr>
          <w:i/>
          <w:u w:val="single"/>
        </w:rPr>
        <w:t>Deuxième charge</w:t>
      </w:r>
    </w:p>
    <w:p w:rsidR="00A21C44" w:rsidRPr="00A21C44" w:rsidRDefault="0048642E" w:rsidP="00CB5FA9">
      <w:pPr>
        <w:pStyle w:val="Corpsdetexte"/>
        <w:spacing w:after="240"/>
      </w:pPr>
      <w:r w:rsidRPr="0048642E">
        <w:t>Attendu que par réquisitoire n° 2012-11 RQ-DB susvisé</w:t>
      </w:r>
      <w:r>
        <w:t xml:space="preserve">, </w:t>
      </w:r>
      <w:r w:rsidR="00A21C44">
        <w:t xml:space="preserve">le Procureur général a relevé que </w:t>
      </w:r>
      <w:r w:rsidR="00A21C44" w:rsidRPr="00A21C44">
        <w:t>par mandat n°</w:t>
      </w:r>
      <w:r w:rsidR="007C1945">
        <w:t> </w:t>
      </w:r>
      <w:r w:rsidR="00A21C44" w:rsidRPr="00A21C44">
        <w:t>180 du 29 avril 2009, la comptable avait payé une somme de 1</w:t>
      </w:r>
      <w:r w:rsidR="00494035">
        <w:t> </w:t>
      </w:r>
      <w:r w:rsidR="00A21C44" w:rsidRPr="00A21C44">
        <w:t>751,02</w:t>
      </w:r>
      <w:r w:rsidR="00494035">
        <w:t> </w:t>
      </w:r>
      <w:r w:rsidR="00A21C44" w:rsidRPr="00A21C44">
        <w:t>€ en règlement d’une prestation réalis</w:t>
      </w:r>
      <w:r w:rsidR="00BA4F26">
        <w:t xml:space="preserve">ée par un psychologue clinicien ; </w:t>
      </w:r>
      <w:r w:rsidR="00A21C44">
        <w:t>que l</w:t>
      </w:r>
      <w:r w:rsidR="00A21C44" w:rsidRPr="00A21C44">
        <w:t xml:space="preserve">e relevé d’identité </w:t>
      </w:r>
      <w:r w:rsidR="00BA4F26">
        <w:t xml:space="preserve">bancaire </w:t>
      </w:r>
      <w:r w:rsidR="00A21C44" w:rsidRPr="00A21C44">
        <w:t xml:space="preserve">joint à l’appui du mandat </w:t>
      </w:r>
      <w:r w:rsidR="00A21C44">
        <w:t>indiquait</w:t>
      </w:r>
      <w:r w:rsidR="00A21C44" w:rsidRPr="00A21C44">
        <w:t xml:space="preserve"> que le paiement avait été effectué au profit d’une personne autre que le créancier</w:t>
      </w:r>
      <w:r w:rsidR="00A21C44">
        <w:t xml:space="preserve"> ; que </w:t>
      </w:r>
      <w:r w:rsidR="006D1E55">
        <w:t>Mme Z</w:t>
      </w:r>
      <w:r w:rsidR="00A21C44" w:rsidRPr="00A21C44">
        <w:t xml:space="preserve"> avait </w:t>
      </w:r>
      <w:r w:rsidR="00BA4F26">
        <w:t xml:space="preserve">ainsi </w:t>
      </w:r>
      <w:r w:rsidR="00A21C44" w:rsidRPr="00A21C44">
        <w:t>engagé sa responsabilité pour ne pas s’être assuré</w:t>
      </w:r>
      <w:r w:rsidR="00460B5A">
        <w:t>e</w:t>
      </w:r>
      <w:r w:rsidR="00A21C44" w:rsidRPr="00A21C44">
        <w:t xml:space="preserve"> du car</w:t>
      </w:r>
      <w:r w:rsidR="00BC2078">
        <w:t>actère libératoire du règlement ;</w:t>
      </w:r>
    </w:p>
    <w:p w:rsidR="00A21C44" w:rsidRPr="00A21C44" w:rsidRDefault="00A21C44" w:rsidP="00CB5FA9">
      <w:pPr>
        <w:pStyle w:val="Corpsdetexte"/>
        <w:spacing w:after="240"/>
      </w:pPr>
      <w:r>
        <w:t>Attendu qu</w:t>
      </w:r>
      <w:r w:rsidR="00BA4F26">
        <w:t xml:space="preserve">e lors de l’instruction, </w:t>
      </w:r>
      <w:r>
        <w:t>l</w:t>
      </w:r>
      <w:r w:rsidRPr="00A21C44">
        <w:t xml:space="preserve">a comptable </w:t>
      </w:r>
      <w:r>
        <w:t xml:space="preserve">a </w:t>
      </w:r>
      <w:r w:rsidRPr="00A21C44">
        <w:t>produit un certificat é</w:t>
      </w:r>
      <w:r>
        <w:t xml:space="preserve">tabli le 16 octobre 2008, </w:t>
      </w:r>
      <w:r w:rsidRPr="00A21C44">
        <w:t>soit antérieure</w:t>
      </w:r>
      <w:r w:rsidR="0034389B">
        <w:t>ment au paiement, par lequel le créancier demande à l’u</w:t>
      </w:r>
      <w:r w:rsidRPr="00A21C44">
        <w:t>niversité de procéder au versement de sa rémunération sur le compte bancaire de sa fille</w:t>
      </w:r>
      <w:r>
        <w:t> ;</w:t>
      </w:r>
    </w:p>
    <w:p w:rsidR="0034389B" w:rsidRDefault="00A21C44" w:rsidP="00CB5FA9">
      <w:pPr>
        <w:pStyle w:val="Corpsdetexte"/>
        <w:spacing w:after="240"/>
      </w:pPr>
      <w:r>
        <w:t xml:space="preserve">Considérant que </w:t>
      </w:r>
      <w:r w:rsidR="0034389B">
        <w:t xml:space="preserve">l’article 12 </w:t>
      </w:r>
      <w:r w:rsidR="0034389B" w:rsidRPr="0034389B">
        <w:t>du décret n°</w:t>
      </w:r>
      <w:r w:rsidR="0048642E">
        <w:t> </w:t>
      </w:r>
      <w:r w:rsidR="0034389B" w:rsidRPr="0034389B">
        <w:t>62-1587 du 29 décembre 1962 portant règlement général sur la comptabilité publique</w:t>
      </w:r>
      <w:r w:rsidR="0034389B">
        <w:t xml:space="preserve"> précise que « </w:t>
      </w:r>
      <w:r w:rsidR="0034389B" w:rsidRPr="0034389B">
        <w:rPr>
          <w:i/>
        </w:rPr>
        <w:t>les comptables sont tenus d’exercer le contrôle du caractère libératoire du règlement </w:t>
      </w:r>
      <w:r w:rsidR="0034389B">
        <w:t>» ;</w:t>
      </w:r>
    </w:p>
    <w:p w:rsidR="00A21C44" w:rsidRPr="00A21C44" w:rsidRDefault="0034389B" w:rsidP="00CB5FA9">
      <w:pPr>
        <w:pStyle w:val="Corpsdetexte"/>
        <w:spacing w:after="240"/>
      </w:pPr>
      <w:r>
        <w:t xml:space="preserve">Que </w:t>
      </w:r>
      <w:r w:rsidR="00A21C44">
        <w:t>l</w:t>
      </w:r>
      <w:r w:rsidR="00A21C44" w:rsidRPr="00A21C44">
        <w:t xml:space="preserve">’article 35 du </w:t>
      </w:r>
      <w:r>
        <w:t xml:space="preserve">même décret </w:t>
      </w:r>
      <w:r w:rsidR="00A21C44" w:rsidRPr="00A21C44">
        <w:t xml:space="preserve">dispose que « </w:t>
      </w:r>
      <w:r w:rsidR="00A21C44" w:rsidRPr="0034389B">
        <w:rPr>
          <w:i/>
        </w:rPr>
        <w:t>le règlement d'une dépense est libératoire lorsqu'il intervient selon l'un des modes de règlement prévus à l'article précédent au profit du créancier ou de son représentant qualifié. Les cas dans lesquels les règlements peuvent être faits entre les mains de personnes autres que les véritables créanciers sont fixés par décret contresigné par le ministre des finances.</w:t>
      </w:r>
      <w:r w:rsidR="00A21C44" w:rsidRPr="00A21C44">
        <w:t xml:space="preserve"> »</w:t>
      </w:r>
      <w:r w:rsidR="00DB0752">
        <w:t> ;</w:t>
      </w:r>
    </w:p>
    <w:p w:rsidR="00A21C44" w:rsidRPr="00A21C44" w:rsidRDefault="00A21C44" w:rsidP="00CB5FA9">
      <w:pPr>
        <w:pStyle w:val="Corpsdetexte"/>
        <w:spacing w:after="240"/>
      </w:pPr>
      <w:r>
        <w:t>Que l</w:t>
      </w:r>
      <w:r w:rsidRPr="00A21C44">
        <w:t>’instruction n° 89-41-B2-MO du 3 avril 1989 a fixé le seuil en</w:t>
      </w:r>
      <w:r w:rsidR="00D61F13">
        <w:t>-</w:t>
      </w:r>
      <w:r w:rsidRPr="00A21C44">
        <w:t xml:space="preserve">dessous duquel un mandat sous seing privé peut être admis à </w:t>
      </w:r>
      <w:r>
        <w:t>5</w:t>
      </w:r>
      <w:r w:rsidR="00494035">
        <w:t> </w:t>
      </w:r>
      <w:r>
        <w:t>335,72</w:t>
      </w:r>
      <w:r w:rsidR="00494035">
        <w:t> </w:t>
      </w:r>
      <w:r>
        <w:t>€ ;</w:t>
      </w:r>
    </w:p>
    <w:p w:rsidR="00DB0752" w:rsidRDefault="00DB0752">
      <w:pPr>
        <w:spacing w:before="0" w:after="0"/>
        <w:ind w:left="0" w:firstLine="0"/>
        <w:jc w:val="left"/>
      </w:pPr>
      <w:r>
        <w:br w:type="page"/>
      </w:r>
    </w:p>
    <w:p w:rsidR="00A60F9E" w:rsidRDefault="00A21C44" w:rsidP="0096600E">
      <w:pPr>
        <w:pStyle w:val="Corpsdetexte"/>
        <w:spacing w:after="240"/>
      </w:pPr>
      <w:r>
        <w:t xml:space="preserve">Que </w:t>
      </w:r>
      <w:r w:rsidR="00A60F9E">
        <w:t>l’a</w:t>
      </w:r>
      <w:r w:rsidR="00A60F9E" w:rsidRPr="00A60F9E">
        <w:t>rticle 1984</w:t>
      </w:r>
      <w:r w:rsidR="00A60F9E">
        <w:t xml:space="preserve"> du code civil précise que </w:t>
      </w:r>
      <w:r w:rsidR="00A60F9E" w:rsidRPr="00A60F9E">
        <w:t xml:space="preserve"> « </w:t>
      </w:r>
      <w:r w:rsidR="00A60F9E" w:rsidRPr="00A60F9E">
        <w:rPr>
          <w:i/>
        </w:rPr>
        <w:t xml:space="preserve">le mandat ou procuration est un acte par lequel une personne donne à une autre le pouvoir de faire quelque chose pour le mandant et en son nom. Le contrat ne se forme que par l'acceptation du mandataire. </w:t>
      </w:r>
      <w:r w:rsidR="00A60F9E" w:rsidRPr="00A60F9E">
        <w:t>»</w:t>
      </w:r>
      <w:r w:rsidR="006429C9">
        <w:t xml:space="preserve"> ; </w:t>
      </w:r>
      <w:r w:rsidR="00A60F9E">
        <w:t>qu’aux termes de l’article 1985 du même code « </w:t>
      </w:r>
      <w:r w:rsidR="006429C9" w:rsidRPr="006429C9">
        <w:rPr>
          <w:i/>
        </w:rPr>
        <w:t>[…] l</w:t>
      </w:r>
      <w:r w:rsidR="00A60F9E" w:rsidRPr="006429C9">
        <w:rPr>
          <w:i/>
        </w:rPr>
        <w:t>'acceptation du mandat peut n'être que tacite et résulter de l'exécution qui lui a été donnée par le mandataire.</w:t>
      </w:r>
      <w:r w:rsidR="00A60F9E">
        <w:t> »</w:t>
      </w:r>
      <w:r w:rsidR="00DB0752">
        <w:t> ;</w:t>
      </w:r>
    </w:p>
    <w:p w:rsidR="0034389B" w:rsidRDefault="00A21C44" w:rsidP="0096600E">
      <w:pPr>
        <w:pStyle w:val="Corpsdetexte"/>
        <w:spacing w:after="240"/>
      </w:pPr>
      <w:r>
        <w:t>Attendu que l</w:t>
      </w:r>
      <w:r w:rsidRPr="00A21C44">
        <w:t xml:space="preserve">e document produit ne répond </w:t>
      </w:r>
      <w:r w:rsidR="000E63A2">
        <w:t>aux</w:t>
      </w:r>
      <w:r w:rsidRPr="00A21C44">
        <w:t xml:space="preserve"> exigences </w:t>
      </w:r>
      <w:r w:rsidR="000E63A2">
        <w:t xml:space="preserve">formelles </w:t>
      </w:r>
      <w:r w:rsidRPr="00A21C44">
        <w:t>qu’en ce qui concerne le montant de la somme payée au « mandataire »</w:t>
      </w:r>
      <w:r>
        <w:t> ; qu’i</w:t>
      </w:r>
      <w:r w:rsidRPr="00A21C44">
        <w:t xml:space="preserve">l ne comporte pas la signature de ce dernier et </w:t>
      </w:r>
      <w:r w:rsidR="0048642E">
        <w:t xml:space="preserve">pourrait ne pas </w:t>
      </w:r>
      <w:r w:rsidR="0034389B">
        <w:t xml:space="preserve">être </w:t>
      </w:r>
      <w:r>
        <w:t>considéré comme un mandat ;</w:t>
      </w:r>
      <w:r w:rsidR="0034389B">
        <w:t xml:space="preserve"> </w:t>
      </w:r>
    </w:p>
    <w:p w:rsidR="00B4397C" w:rsidRPr="00A21C44" w:rsidRDefault="00A21C44" w:rsidP="00B5302F">
      <w:pPr>
        <w:pStyle w:val="Corpsdetexte"/>
        <w:spacing w:after="360"/>
      </w:pPr>
      <w:r>
        <w:t xml:space="preserve">Attendu qu’au cas d’espèce il peut être relevé </w:t>
      </w:r>
      <w:r w:rsidRPr="00A21C44">
        <w:t>que le créancier véritable</w:t>
      </w:r>
      <w:r w:rsidR="00BA4F26">
        <w:t xml:space="preserve"> </w:t>
      </w:r>
      <w:r w:rsidRPr="00A21C44">
        <w:t>n’a</w:t>
      </w:r>
      <w:r w:rsidR="003611AF">
        <w:t xml:space="preserve"> </w:t>
      </w:r>
      <w:bookmarkStart w:id="0" w:name="_GoBack"/>
      <w:bookmarkEnd w:id="0"/>
      <w:r w:rsidRPr="00A21C44">
        <w:t xml:space="preserve">pas </w:t>
      </w:r>
      <w:r w:rsidR="00BA4F26">
        <w:t>contesté le paiement ;</w:t>
      </w:r>
      <w:r w:rsidR="00460B5A">
        <w:t xml:space="preserve"> que la fourniture par la « mandataire » de son relevé</w:t>
      </w:r>
      <w:r w:rsidR="00E147B1">
        <w:t xml:space="preserve"> d’identité</w:t>
      </w:r>
      <w:r w:rsidR="00460B5A">
        <w:t xml:space="preserve"> bancaire à l’effet</w:t>
      </w:r>
      <w:r w:rsidR="00E147B1">
        <w:t xml:space="preserve"> précisément</w:t>
      </w:r>
      <w:r w:rsidR="00460B5A">
        <w:t xml:space="preserve"> d’être créditée du règlement dû au créancier atteste de son acceptation </w:t>
      </w:r>
      <w:r w:rsidR="00E147B1">
        <w:t xml:space="preserve">des modalités convenues entre l’établissement et le créancier ; </w:t>
      </w:r>
      <w:r w:rsidRPr="00A21C44">
        <w:t xml:space="preserve">que l’université ne se trouve pas exposée à payer </w:t>
      </w:r>
      <w:r w:rsidR="00BA4F26">
        <w:t>une deuxième fois la même somme ;</w:t>
      </w:r>
    </w:p>
    <w:p w:rsidR="00BA4F26" w:rsidRDefault="00BA4F26" w:rsidP="0096600E">
      <w:pPr>
        <w:pStyle w:val="Corpsdetexte"/>
        <w:keepNext/>
        <w:spacing w:after="240"/>
      </w:pPr>
      <w:r>
        <w:t>Par ces motifs,</w:t>
      </w:r>
    </w:p>
    <w:p w:rsidR="00B4397C" w:rsidRDefault="00BC2078" w:rsidP="00B5302F">
      <w:pPr>
        <w:pStyle w:val="Corpsdetexte"/>
        <w:numPr>
          <w:ilvl w:val="0"/>
          <w:numId w:val="10"/>
        </w:numPr>
        <w:spacing w:after="360"/>
        <w:ind w:left="2058" w:hanging="357"/>
      </w:pPr>
      <w:r w:rsidRPr="00BC2078">
        <w:t xml:space="preserve">Il n’y a pas lieu de prononcer de charge à l’encontre de </w:t>
      </w:r>
      <w:r w:rsidR="006D1E55">
        <w:t>Mme Z</w:t>
      </w:r>
      <w:r>
        <w:t xml:space="preserve"> au titre de l’exercice 2009.</w:t>
      </w:r>
    </w:p>
    <w:p w:rsidR="00CE0652" w:rsidRDefault="00CE0652" w:rsidP="00B5302F">
      <w:pPr>
        <w:pStyle w:val="Corpsdetexte"/>
        <w:spacing w:after="360"/>
        <w:ind w:firstLine="0"/>
        <w:jc w:val="center"/>
      </w:pPr>
      <w:r w:rsidRPr="00CE0652">
        <w:t>----------</w:t>
      </w:r>
      <w:r w:rsidR="006429C9">
        <w:t>-------</w:t>
      </w:r>
    </w:p>
    <w:p w:rsidR="00332511" w:rsidRDefault="00332511" w:rsidP="00FD4F8C">
      <w:pPr>
        <w:pStyle w:val="Corpsdetexte"/>
        <w:spacing w:after="360"/>
      </w:pPr>
      <w:r>
        <w:t>Attendu qu’aucune charge n’a été pronon</w:t>
      </w:r>
      <w:r w:rsidR="00966D28">
        <w:t>cée sur la gestion</w:t>
      </w:r>
      <w:r w:rsidR="00B5302F">
        <w:t> </w:t>
      </w:r>
      <w:r w:rsidR="00966D28">
        <w:t>2008, au</w:t>
      </w:r>
      <w:r w:rsidR="00DB0752">
        <w:t> </w:t>
      </w:r>
      <w:r w:rsidR="00966D28">
        <w:t>2 </w:t>
      </w:r>
      <w:r>
        <w:t xml:space="preserve">septembre, à l’encontre de </w:t>
      </w:r>
      <w:r w:rsidR="006D1E55">
        <w:t>Mme Y</w:t>
      </w:r>
      <w:r>
        <w:t xml:space="preserve"> et du 3 septembre à l’encontre de </w:t>
      </w:r>
      <w:r w:rsidR="006D1E55">
        <w:t>Mme Z</w:t>
      </w:r>
      <w:r>
        <w:t xml:space="preserve"> ;</w:t>
      </w:r>
    </w:p>
    <w:p w:rsidR="00332511" w:rsidRDefault="00CE0652" w:rsidP="00FD4F8C">
      <w:pPr>
        <w:pStyle w:val="Corpsdetexte"/>
        <w:spacing w:after="360"/>
      </w:pPr>
      <w:r>
        <w:t>Article 1</w:t>
      </w:r>
      <w:r w:rsidR="004475AC">
        <w:rPr>
          <w:vertAlign w:val="superscript"/>
        </w:rPr>
        <w:t> </w:t>
      </w:r>
      <w:r>
        <w:t>:</w:t>
      </w:r>
      <w:r w:rsidR="00F63B5F">
        <w:t> </w:t>
      </w:r>
      <w:r w:rsidR="006D1E55">
        <w:t>Mme Y</w:t>
      </w:r>
      <w:r w:rsidR="00332511">
        <w:t xml:space="preserve"> est déchargée de sa gestion pendant l’année</w:t>
      </w:r>
      <w:r w:rsidR="00B5302F">
        <w:t> </w:t>
      </w:r>
      <w:r w:rsidR="00332511">
        <w:t>2008 au 2 septembre ;</w:t>
      </w:r>
    </w:p>
    <w:p w:rsidR="00332511" w:rsidRDefault="00CE0652" w:rsidP="00FD4F8C">
      <w:pPr>
        <w:pStyle w:val="Corpsdetexte"/>
        <w:spacing w:after="360"/>
      </w:pPr>
      <w:r>
        <w:t>Article 2 :</w:t>
      </w:r>
      <w:r w:rsidR="00F63B5F">
        <w:t> </w:t>
      </w:r>
      <w:r w:rsidR="006D1E55">
        <w:t>Mme Y</w:t>
      </w:r>
      <w:r w:rsidR="00332511" w:rsidRPr="00332511">
        <w:t xml:space="preserve"> est déclarée quitte et libéré</w:t>
      </w:r>
      <w:r w:rsidR="00E147B1">
        <w:t>e</w:t>
      </w:r>
      <w:r w:rsidR="00332511" w:rsidRPr="00332511">
        <w:t xml:space="preserve"> de sa gestion terminée à la date ci-avant indiquée. Mainlevée peut être donnée et radiation peut être faite de toutes oppositions et inscriptions mises ou prises sur ses biens meubles et immeubles ou sur ceux de ses ayants cause pour sûreté desdites gestions et son cautionnement peut être restitué ou sa caution dégagée ;</w:t>
      </w:r>
    </w:p>
    <w:p w:rsidR="0085381C" w:rsidRPr="00332511" w:rsidRDefault="0085381C" w:rsidP="00FD4F8C">
      <w:pPr>
        <w:pStyle w:val="Corpsdetexte"/>
        <w:spacing w:after="360"/>
      </w:pPr>
      <w:r>
        <w:t>Article 3 :</w:t>
      </w:r>
      <w:r w:rsidR="00F63B5F">
        <w:t> </w:t>
      </w:r>
      <w:r w:rsidR="006D1E55">
        <w:t>Mme Z</w:t>
      </w:r>
      <w:r>
        <w:t xml:space="preserve"> est déchargée de sa gestion pendant l’année</w:t>
      </w:r>
      <w:r w:rsidR="00B5302F">
        <w:t> </w:t>
      </w:r>
      <w:r>
        <w:t>2008 au 3 septembre ;</w:t>
      </w:r>
    </w:p>
    <w:p w:rsidR="00DB0752" w:rsidRDefault="00CE0652" w:rsidP="00FD4F8C">
      <w:pPr>
        <w:pStyle w:val="Corpsdetexte"/>
        <w:spacing w:after="360"/>
      </w:pPr>
      <w:r>
        <w:t>Article</w:t>
      </w:r>
      <w:r w:rsidR="004C05E1">
        <w:t> </w:t>
      </w:r>
      <w:r w:rsidR="0085381C">
        <w:t>4</w:t>
      </w:r>
      <w:r w:rsidR="00DB0752">
        <w:t> </w:t>
      </w:r>
      <w:r>
        <w:t>:</w:t>
      </w:r>
      <w:r w:rsidR="00FD4F8C">
        <w:t> </w:t>
      </w:r>
      <w:r>
        <w:t>i</w:t>
      </w:r>
      <w:r w:rsidR="00966D28" w:rsidRPr="00966D28">
        <w:t xml:space="preserve">l est sursis à la décharge de la gestion de </w:t>
      </w:r>
      <w:r w:rsidR="006D1E55">
        <w:t>Mme Z</w:t>
      </w:r>
      <w:r w:rsidR="00966D28" w:rsidRPr="00966D28">
        <w:t xml:space="preserve"> au titre </w:t>
      </w:r>
      <w:r w:rsidR="0085381C">
        <w:t>de l’exercice 2009</w:t>
      </w:r>
      <w:r w:rsidR="000B1166">
        <w:t xml:space="preserve">, jusqu’à constatation de l’exacte reprise des soldes </w:t>
      </w:r>
      <w:r w:rsidR="0085381C">
        <w:t xml:space="preserve">du compte </w:t>
      </w:r>
      <w:r w:rsidR="000B1166">
        <w:t xml:space="preserve">2009 dans </w:t>
      </w:r>
      <w:r w:rsidR="00BF4B61">
        <w:t xml:space="preserve">la balance d’entrée </w:t>
      </w:r>
      <w:r w:rsidR="0085381C">
        <w:t>du compte de l’exercice</w:t>
      </w:r>
      <w:r w:rsidR="00DB0752">
        <w:t> </w:t>
      </w:r>
      <w:r w:rsidR="00BF4B61">
        <w:t>2010</w:t>
      </w:r>
      <w:r w:rsidR="00DB0752">
        <w:t>.</w:t>
      </w:r>
    </w:p>
    <w:p w:rsidR="00E354DC" w:rsidRDefault="006429C9" w:rsidP="00DB0752">
      <w:pPr>
        <w:pStyle w:val="Corpsdetexte"/>
        <w:ind w:firstLine="0"/>
        <w:jc w:val="center"/>
      </w:pPr>
      <w:r w:rsidRPr="006429C9">
        <w:t>-----------------</w:t>
      </w:r>
    </w:p>
    <w:p w:rsidR="001F106E" w:rsidRDefault="001F106E">
      <w:pPr>
        <w:spacing w:before="0" w:after="0"/>
        <w:ind w:left="0" w:firstLine="0"/>
        <w:jc w:val="left"/>
      </w:pPr>
      <w:r>
        <w:br w:type="page"/>
      </w:r>
    </w:p>
    <w:p w:rsidR="00E354DC" w:rsidRPr="007406FF" w:rsidRDefault="00E354DC" w:rsidP="000A5EC9">
      <w:pPr>
        <w:pStyle w:val="Corpsdetexte"/>
        <w:spacing w:after="480"/>
      </w:pPr>
      <w:r>
        <w:t>Fait et jugé en la Cour des comptes, troisième chambre, qu</w:t>
      </w:r>
      <w:r w:rsidR="00BB1A42">
        <w:t>a</w:t>
      </w:r>
      <w:r>
        <w:t xml:space="preserve">trième section, le </w:t>
      </w:r>
      <w:r w:rsidR="00966745">
        <w:t xml:space="preserve">seize octobre </w:t>
      </w:r>
      <w:r>
        <w:t>deux mil douze, présents : M</w:t>
      </w:r>
      <w:r w:rsidR="00966745">
        <w:t>. Lefas</w:t>
      </w:r>
      <w:r>
        <w:t xml:space="preserve">, président, </w:t>
      </w:r>
      <w:r w:rsidR="00966745">
        <w:t xml:space="preserve">Mme Moati, MM. Duchadeuil, </w:t>
      </w:r>
      <w:r w:rsidR="00966745" w:rsidRPr="007406FF">
        <w:t xml:space="preserve">Andréani, Gautier, Mme Seyvet, MM. Sabbe </w:t>
      </w:r>
      <w:r w:rsidR="00DB0752" w:rsidRPr="007406FF">
        <w:t xml:space="preserve">et </w:t>
      </w:r>
      <w:r w:rsidR="00966745" w:rsidRPr="007406FF">
        <w:t xml:space="preserve">Senhaji, </w:t>
      </w:r>
      <w:r w:rsidRPr="007406FF">
        <w:t>conseillers</w:t>
      </w:r>
      <w:r w:rsidR="00342C68">
        <w:t> </w:t>
      </w:r>
      <w:r w:rsidRPr="007406FF">
        <w:t>maîtres.</w:t>
      </w:r>
    </w:p>
    <w:p w:rsidR="00E354DC" w:rsidRDefault="00E354DC" w:rsidP="000A5EC9">
      <w:pPr>
        <w:pStyle w:val="Corpsdetexte"/>
        <w:spacing w:after="480"/>
      </w:pPr>
      <w:r>
        <w:t xml:space="preserve">Signé : </w:t>
      </w:r>
      <w:r w:rsidR="00966745">
        <w:t>Lefas</w:t>
      </w:r>
      <w:r>
        <w:t xml:space="preserve">, président, et </w:t>
      </w:r>
      <w:r w:rsidR="00DB0752">
        <w:t xml:space="preserve">Férez, </w:t>
      </w:r>
      <w:r>
        <w:t>greffier.</w:t>
      </w:r>
    </w:p>
    <w:p w:rsidR="00E354DC" w:rsidRDefault="000A5EC9" w:rsidP="000A5EC9">
      <w:pPr>
        <w:pStyle w:val="Corpsdetexte"/>
        <w:spacing w:after="600"/>
      </w:pPr>
      <w:r>
        <w:t>Collationné, certifié conforme à la minute étant au greffe de la Cour des comptes et d</w:t>
      </w:r>
      <w:r w:rsidR="00E354DC">
        <w:t>élivré par moi, secrétaire général.</w:t>
      </w:r>
    </w:p>
    <w:p w:rsidR="0023678F" w:rsidRPr="00D45135" w:rsidRDefault="0023678F" w:rsidP="00AF72CD">
      <w:pPr>
        <w:pStyle w:val="Corpsdetexte"/>
        <w:spacing w:before="0" w:after="0"/>
        <w:ind w:firstLine="5103"/>
        <w:jc w:val="center"/>
        <w:rPr>
          <w:rFonts w:ascii="Times New Roman Gras" w:hAnsi="Times New Roman Gras"/>
          <w:b/>
          <w:bCs/>
        </w:rPr>
      </w:pPr>
      <w:r w:rsidRPr="00D45135">
        <w:rPr>
          <w:rFonts w:ascii="Times New Roman Gras" w:hAnsi="Times New Roman Gras"/>
          <w:b/>
          <w:bCs/>
        </w:rPr>
        <w:t>Pour le Secrétaire général</w:t>
      </w:r>
    </w:p>
    <w:p w:rsidR="0023678F" w:rsidRPr="00D45135" w:rsidRDefault="0023678F" w:rsidP="00AF72CD">
      <w:pPr>
        <w:pStyle w:val="Corpsdetexte"/>
        <w:spacing w:before="0" w:after="0"/>
        <w:ind w:firstLine="5103"/>
        <w:jc w:val="center"/>
        <w:rPr>
          <w:rFonts w:ascii="Times New Roman Gras" w:hAnsi="Times New Roman Gras"/>
          <w:b/>
          <w:bCs/>
        </w:rPr>
      </w:pPr>
      <w:r w:rsidRPr="00D45135">
        <w:rPr>
          <w:rFonts w:ascii="Times New Roman Gras" w:hAnsi="Times New Roman Gras"/>
          <w:b/>
          <w:bCs/>
        </w:rPr>
        <w:t>et par délégation,</w:t>
      </w:r>
    </w:p>
    <w:p w:rsidR="0023678F" w:rsidRPr="00D45135" w:rsidRDefault="0023678F" w:rsidP="000A5EC9">
      <w:pPr>
        <w:pStyle w:val="Corpsdetexte"/>
        <w:spacing w:before="0" w:after="2040"/>
        <w:ind w:firstLine="5103"/>
        <w:jc w:val="center"/>
        <w:rPr>
          <w:rFonts w:ascii="Times New Roman Gras" w:hAnsi="Times New Roman Gras"/>
          <w:b/>
          <w:bCs/>
        </w:rPr>
      </w:pPr>
      <w:r w:rsidRPr="00D45135">
        <w:rPr>
          <w:rFonts w:ascii="Times New Roman Gras" w:hAnsi="Times New Roman Gras"/>
          <w:b/>
          <w:bCs/>
        </w:rPr>
        <w:t>Le Chef du greffe contentieux</w:t>
      </w:r>
    </w:p>
    <w:p w:rsidR="0023678F" w:rsidRPr="00D45135" w:rsidRDefault="0023678F" w:rsidP="000A5EC9">
      <w:pPr>
        <w:pStyle w:val="Corpsdetexte"/>
        <w:spacing w:after="360"/>
        <w:ind w:firstLine="5387"/>
        <w:jc w:val="center"/>
        <w:rPr>
          <w:rFonts w:ascii="Times New Roman Gras" w:hAnsi="Times New Roman Gras"/>
          <w:b/>
          <w:bCs/>
          <w:vanish/>
        </w:rPr>
      </w:pPr>
      <w:r w:rsidRPr="00D45135">
        <w:rPr>
          <w:rFonts w:ascii="Times New Roman Gras" w:hAnsi="Times New Roman Gras"/>
          <w:b/>
          <w:bCs/>
        </w:rPr>
        <w:t>Daniel FEREZ</w:t>
      </w:r>
    </w:p>
    <w:p w:rsidR="00494035" w:rsidRPr="00E354DC" w:rsidRDefault="00494035" w:rsidP="00E354DC">
      <w:pPr>
        <w:pStyle w:val="Corpsdetexte"/>
      </w:pPr>
    </w:p>
    <w:sectPr w:rsidR="00494035" w:rsidRPr="00E354DC" w:rsidSect="004E2EEC">
      <w:footerReference w:type="even" r:id="rId9"/>
      <w:footerReference w:type="default" r:id="rId10"/>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1D4" w:rsidRDefault="005941D4">
      <w:pPr>
        <w:spacing w:before="0" w:after="0"/>
      </w:pPr>
      <w:r>
        <w:separator/>
      </w:r>
    </w:p>
  </w:endnote>
  <w:endnote w:type="continuationSeparator" w:id="0">
    <w:p w:rsidR="005941D4" w:rsidRDefault="005941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F33" w:rsidRDefault="00820F3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20F33" w:rsidRDefault="00820F3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F33" w:rsidRDefault="00820F33"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3611AF">
      <w:rPr>
        <w:rStyle w:val="Numrodepage"/>
        <w:noProof/>
      </w:rPr>
      <w:t>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1D4" w:rsidRDefault="005941D4">
      <w:pPr>
        <w:spacing w:before="0" w:after="0"/>
      </w:pPr>
      <w:r>
        <w:separator/>
      </w:r>
    </w:p>
  </w:footnote>
  <w:footnote w:type="continuationSeparator" w:id="0">
    <w:p w:rsidR="005941D4" w:rsidRDefault="005941D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2ED"/>
    <w:multiLevelType w:val="hybridMultilevel"/>
    <w:tmpl w:val="14C4EAA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
    <w:nsid w:val="12494042"/>
    <w:multiLevelType w:val="hybridMultilevel"/>
    <w:tmpl w:val="49CEE2DC"/>
    <w:lvl w:ilvl="0" w:tplc="848A27F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
    <w:nsid w:val="267939EC"/>
    <w:multiLevelType w:val="hybridMultilevel"/>
    <w:tmpl w:val="2494CAA4"/>
    <w:lvl w:ilvl="0" w:tplc="2EB2EDE6">
      <w:start w:val="13"/>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3">
    <w:nsid w:val="291416A6"/>
    <w:multiLevelType w:val="hybridMultilevel"/>
    <w:tmpl w:val="DA0447AA"/>
    <w:lvl w:ilvl="0" w:tplc="428C7632">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4">
    <w:nsid w:val="2AB5108D"/>
    <w:multiLevelType w:val="multilevel"/>
    <w:tmpl w:val="23FCECD8"/>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firstLine="0"/>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DD5033"/>
    <w:multiLevelType w:val="hybridMultilevel"/>
    <w:tmpl w:val="CCC8A84A"/>
    <w:lvl w:ilvl="0" w:tplc="79FAE83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6">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hint="default"/>
        <w:b/>
        <w:i w:val="0"/>
        <w:sz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A427C58"/>
    <w:multiLevelType w:val="hybridMultilevel"/>
    <w:tmpl w:val="DC369558"/>
    <w:lvl w:ilvl="0" w:tplc="0DC20A98">
      <w:numFmt w:val="bullet"/>
      <w:lvlText w:val="−"/>
      <w:lvlJc w:val="left"/>
      <w:pPr>
        <w:ind w:left="3261" w:hanging="15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8">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8"/>
  </w:num>
  <w:num w:numId="2">
    <w:abstractNumId w:val="6"/>
  </w:num>
  <w:num w:numId="3">
    <w:abstractNumId w:val="4"/>
  </w:num>
  <w:num w:numId="4">
    <w:abstractNumId w:val="9"/>
  </w:num>
  <w:num w:numId="5">
    <w:abstractNumId w:val="2"/>
  </w:num>
  <w:num w:numId="6">
    <w:abstractNumId w:val="0"/>
  </w:num>
  <w:num w:numId="7">
    <w:abstractNumId w:val="7"/>
  </w:num>
  <w:num w:numId="8">
    <w:abstractNumId w:val="3"/>
  </w:num>
  <w:num w:numId="9">
    <w:abstractNumId w:val="1"/>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activeWritingStyle w:appName="MSWord" w:lang="fr-FR" w:vendorID="9" w:dllVersion="512" w:checkStyle="1"/>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14D9"/>
    <w:rsid w:val="00006A4C"/>
    <w:rsid w:val="00041EDB"/>
    <w:rsid w:val="00043E0F"/>
    <w:rsid w:val="00046B90"/>
    <w:rsid w:val="00046CC1"/>
    <w:rsid w:val="000533C7"/>
    <w:rsid w:val="00066244"/>
    <w:rsid w:val="00067F87"/>
    <w:rsid w:val="00085149"/>
    <w:rsid w:val="00085992"/>
    <w:rsid w:val="00087E49"/>
    <w:rsid w:val="00092B96"/>
    <w:rsid w:val="000933AC"/>
    <w:rsid w:val="000939C1"/>
    <w:rsid w:val="00097100"/>
    <w:rsid w:val="00097D11"/>
    <w:rsid w:val="000A2D3D"/>
    <w:rsid w:val="000A53B5"/>
    <w:rsid w:val="000A5EC9"/>
    <w:rsid w:val="000B022A"/>
    <w:rsid w:val="000B1166"/>
    <w:rsid w:val="000C31C2"/>
    <w:rsid w:val="000D2E32"/>
    <w:rsid w:val="000D3183"/>
    <w:rsid w:val="000D4AC6"/>
    <w:rsid w:val="000E63A2"/>
    <w:rsid w:val="000F4A42"/>
    <w:rsid w:val="00101DB5"/>
    <w:rsid w:val="001210F2"/>
    <w:rsid w:val="001250BD"/>
    <w:rsid w:val="00130CB5"/>
    <w:rsid w:val="001549E6"/>
    <w:rsid w:val="00160E52"/>
    <w:rsid w:val="0016102A"/>
    <w:rsid w:val="00167F20"/>
    <w:rsid w:val="001732E8"/>
    <w:rsid w:val="001808E2"/>
    <w:rsid w:val="001867C1"/>
    <w:rsid w:val="00193D18"/>
    <w:rsid w:val="00193D6E"/>
    <w:rsid w:val="00195205"/>
    <w:rsid w:val="001975AA"/>
    <w:rsid w:val="001A5894"/>
    <w:rsid w:val="001B0416"/>
    <w:rsid w:val="001B2353"/>
    <w:rsid w:val="001D185F"/>
    <w:rsid w:val="001D685B"/>
    <w:rsid w:val="001E7BDA"/>
    <w:rsid w:val="001F106E"/>
    <w:rsid w:val="001F2D4A"/>
    <w:rsid w:val="001F4841"/>
    <w:rsid w:val="001F5238"/>
    <w:rsid w:val="0021488B"/>
    <w:rsid w:val="00216481"/>
    <w:rsid w:val="00217DB3"/>
    <w:rsid w:val="0022234F"/>
    <w:rsid w:val="00230538"/>
    <w:rsid w:val="0023678F"/>
    <w:rsid w:val="0024422B"/>
    <w:rsid w:val="002523FC"/>
    <w:rsid w:val="00275C12"/>
    <w:rsid w:val="00276598"/>
    <w:rsid w:val="002768F1"/>
    <w:rsid w:val="002846CD"/>
    <w:rsid w:val="00285C10"/>
    <w:rsid w:val="002920A1"/>
    <w:rsid w:val="002952FD"/>
    <w:rsid w:val="002A19EB"/>
    <w:rsid w:val="002A1F36"/>
    <w:rsid w:val="002B01CF"/>
    <w:rsid w:val="002B6F27"/>
    <w:rsid w:val="002B79AA"/>
    <w:rsid w:val="002C3915"/>
    <w:rsid w:val="002D1F9A"/>
    <w:rsid w:val="002D54D5"/>
    <w:rsid w:val="002E0349"/>
    <w:rsid w:val="002E31A7"/>
    <w:rsid w:val="002E4705"/>
    <w:rsid w:val="002E5C5B"/>
    <w:rsid w:val="002F1F15"/>
    <w:rsid w:val="002F7062"/>
    <w:rsid w:val="00302A1F"/>
    <w:rsid w:val="003057E5"/>
    <w:rsid w:val="00311F01"/>
    <w:rsid w:val="003176B4"/>
    <w:rsid w:val="00320787"/>
    <w:rsid w:val="00327FBA"/>
    <w:rsid w:val="00332511"/>
    <w:rsid w:val="00342C68"/>
    <w:rsid w:val="0034389B"/>
    <w:rsid w:val="003463A3"/>
    <w:rsid w:val="00351D53"/>
    <w:rsid w:val="003532A8"/>
    <w:rsid w:val="003546F3"/>
    <w:rsid w:val="003611AF"/>
    <w:rsid w:val="003804A4"/>
    <w:rsid w:val="0038213E"/>
    <w:rsid w:val="003969AE"/>
    <w:rsid w:val="003A19BD"/>
    <w:rsid w:val="003A477D"/>
    <w:rsid w:val="003B08CD"/>
    <w:rsid w:val="003B3BCE"/>
    <w:rsid w:val="003F1A9D"/>
    <w:rsid w:val="003F33B7"/>
    <w:rsid w:val="00407DDB"/>
    <w:rsid w:val="00411486"/>
    <w:rsid w:val="004319A8"/>
    <w:rsid w:val="00432E88"/>
    <w:rsid w:val="00442740"/>
    <w:rsid w:val="004475AC"/>
    <w:rsid w:val="00454260"/>
    <w:rsid w:val="00455CC1"/>
    <w:rsid w:val="00460B5A"/>
    <w:rsid w:val="00467F0E"/>
    <w:rsid w:val="0047598D"/>
    <w:rsid w:val="00480568"/>
    <w:rsid w:val="00484FB9"/>
    <w:rsid w:val="0048642E"/>
    <w:rsid w:val="004879D3"/>
    <w:rsid w:val="00494035"/>
    <w:rsid w:val="004A0899"/>
    <w:rsid w:val="004A233E"/>
    <w:rsid w:val="004A6549"/>
    <w:rsid w:val="004B7489"/>
    <w:rsid w:val="004C0300"/>
    <w:rsid w:val="004C05E1"/>
    <w:rsid w:val="004C2CD5"/>
    <w:rsid w:val="004C6274"/>
    <w:rsid w:val="004D4A11"/>
    <w:rsid w:val="004D74D2"/>
    <w:rsid w:val="004E14E3"/>
    <w:rsid w:val="004E2EEC"/>
    <w:rsid w:val="004F2C98"/>
    <w:rsid w:val="004F376A"/>
    <w:rsid w:val="004F5207"/>
    <w:rsid w:val="00542817"/>
    <w:rsid w:val="00545A7A"/>
    <w:rsid w:val="00555985"/>
    <w:rsid w:val="0056364B"/>
    <w:rsid w:val="005671F6"/>
    <w:rsid w:val="005730AE"/>
    <w:rsid w:val="005777D5"/>
    <w:rsid w:val="00591A98"/>
    <w:rsid w:val="0059335A"/>
    <w:rsid w:val="005941D4"/>
    <w:rsid w:val="00596BE6"/>
    <w:rsid w:val="005A7CA3"/>
    <w:rsid w:val="005B0345"/>
    <w:rsid w:val="005B11D6"/>
    <w:rsid w:val="005B284A"/>
    <w:rsid w:val="005B4558"/>
    <w:rsid w:val="005C556C"/>
    <w:rsid w:val="005C6797"/>
    <w:rsid w:val="005D4176"/>
    <w:rsid w:val="005E5571"/>
    <w:rsid w:val="005E6FA5"/>
    <w:rsid w:val="005F1151"/>
    <w:rsid w:val="00600939"/>
    <w:rsid w:val="00601755"/>
    <w:rsid w:val="00602011"/>
    <w:rsid w:val="00605CDE"/>
    <w:rsid w:val="00606B1E"/>
    <w:rsid w:val="0062561B"/>
    <w:rsid w:val="00631F61"/>
    <w:rsid w:val="00640AA8"/>
    <w:rsid w:val="006411AC"/>
    <w:rsid w:val="006429C9"/>
    <w:rsid w:val="0064552C"/>
    <w:rsid w:val="00655051"/>
    <w:rsid w:val="00660CF2"/>
    <w:rsid w:val="00663DF7"/>
    <w:rsid w:val="00673057"/>
    <w:rsid w:val="00687C09"/>
    <w:rsid w:val="00692455"/>
    <w:rsid w:val="00693BE2"/>
    <w:rsid w:val="00694B4B"/>
    <w:rsid w:val="00695EED"/>
    <w:rsid w:val="006B350D"/>
    <w:rsid w:val="006B4B77"/>
    <w:rsid w:val="006C2155"/>
    <w:rsid w:val="006D12BD"/>
    <w:rsid w:val="006D1E55"/>
    <w:rsid w:val="006D6C11"/>
    <w:rsid w:val="006F2195"/>
    <w:rsid w:val="006F336A"/>
    <w:rsid w:val="007129E5"/>
    <w:rsid w:val="00725415"/>
    <w:rsid w:val="00733F35"/>
    <w:rsid w:val="007406FF"/>
    <w:rsid w:val="00740B14"/>
    <w:rsid w:val="00740B64"/>
    <w:rsid w:val="0074254C"/>
    <w:rsid w:val="00746B1B"/>
    <w:rsid w:val="007512F6"/>
    <w:rsid w:val="0075763A"/>
    <w:rsid w:val="00761A48"/>
    <w:rsid w:val="00763C3F"/>
    <w:rsid w:val="0076453C"/>
    <w:rsid w:val="0078290A"/>
    <w:rsid w:val="00782E29"/>
    <w:rsid w:val="00791D85"/>
    <w:rsid w:val="00793B7E"/>
    <w:rsid w:val="00795768"/>
    <w:rsid w:val="007A678F"/>
    <w:rsid w:val="007A6CA2"/>
    <w:rsid w:val="007C16BF"/>
    <w:rsid w:val="007C1945"/>
    <w:rsid w:val="007C3B38"/>
    <w:rsid w:val="007C512F"/>
    <w:rsid w:val="007D10B4"/>
    <w:rsid w:val="007D1BCA"/>
    <w:rsid w:val="007D662C"/>
    <w:rsid w:val="007D7E72"/>
    <w:rsid w:val="007E6CD3"/>
    <w:rsid w:val="007F6A68"/>
    <w:rsid w:val="008015CA"/>
    <w:rsid w:val="008051E1"/>
    <w:rsid w:val="00813CC9"/>
    <w:rsid w:val="008151AC"/>
    <w:rsid w:val="00816BA9"/>
    <w:rsid w:val="00820F33"/>
    <w:rsid w:val="00835046"/>
    <w:rsid w:val="008512F6"/>
    <w:rsid w:val="0085381C"/>
    <w:rsid w:val="00874928"/>
    <w:rsid w:val="00875AB2"/>
    <w:rsid w:val="00876831"/>
    <w:rsid w:val="0088193B"/>
    <w:rsid w:val="008819DA"/>
    <w:rsid w:val="008838A7"/>
    <w:rsid w:val="00885684"/>
    <w:rsid w:val="008934A8"/>
    <w:rsid w:val="008A2307"/>
    <w:rsid w:val="008B1693"/>
    <w:rsid w:val="008F0084"/>
    <w:rsid w:val="008F6D39"/>
    <w:rsid w:val="00912696"/>
    <w:rsid w:val="00915493"/>
    <w:rsid w:val="00930DD8"/>
    <w:rsid w:val="0093160E"/>
    <w:rsid w:val="00942C10"/>
    <w:rsid w:val="009436F0"/>
    <w:rsid w:val="0094790E"/>
    <w:rsid w:val="0095211A"/>
    <w:rsid w:val="0096136B"/>
    <w:rsid w:val="00965540"/>
    <w:rsid w:val="0096600E"/>
    <w:rsid w:val="00966745"/>
    <w:rsid w:val="00966D28"/>
    <w:rsid w:val="00970086"/>
    <w:rsid w:val="00985A01"/>
    <w:rsid w:val="00996A62"/>
    <w:rsid w:val="009A619B"/>
    <w:rsid w:val="009B0304"/>
    <w:rsid w:val="009B5183"/>
    <w:rsid w:val="009B5533"/>
    <w:rsid w:val="009C1FAD"/>
    <w:rsid w:val="009C36CA"/>
    <w:rsid w:val="009C498C"/>
    <w:rsid w:val="009C5235"/>
    <w:rsid w:val="009E4A35"/>
    <w:rsid w:val="009E607D"/>
    <w:rsid w:val="00A11F5F"/>
    <w:rsid w:val="00A20764"/>
    <w:rsid w:val="00A21C44"/>
    <w:rsid w:val="00A22CC3"/>
    <w:rsid w:val="00A35D6D"/>
    <w:rsid w:val="00A55905"/>
    <w:rsid w:val="00A56524"/>
    <w:rsid w:val="00A60F9E"/>
    <w:rsid w:val="00A61F30"/>
    <w:rsid w:val="00A6208F"/>
    <w:rsid w:val="00A71663"/>
    <w:rsid w:val="00A80B76"/>
    <w:rsid w:val="00A86C07"/>
    <w:rsid w:val="00AB16AE"/>
    <w:rsid w:val="00AB488B"/>
    <w:rsid w:val="00AC028A"/>
    <w:rsid w:val="00AD7F66"/>
    <w:rsid w:val="00AE6022"/>
    <w:rsid w:val="00AF415C"/>
    <w:rsid w:val="00AF719C"/>
    <w:rsid w:val="00AF72CD"/>
    <w:rsid w:val="00B050D6"/>
    <w:rsid w:val="00B051E6"/>
    <w:rsid w:val="00B055FA"/>
    <w:rsid w:val="00B07E4C"/>
    <w:rsid w:val="00B273B9"/>
    <w:rsid w:val="00B31423"/>
    <w:rsid w:val="00B321EE"/>
    <w:rsid w:val="00B4397C"/>
    <w:rsid w:val="00B472EF"/>
    <w:rsid w:val="00B50C23"/>
    <w:rsid w:val="00B5302F"/>
    <w:rsid w:val="00B55A11"/>
    <w:rsid w:val="00B561D3"/>
    <w:rsid w:val="00B625DD"/>
    <w:rsid w:val="00B6395B"/>
    <w:rsid w:val="00B70A3F"/>
    <w:rsid w:val="00B7437B"/>
    <w:rsid w:val="00B75748"/>
    <w:rsid w:val="00B76405"/>
    <w:rsid w:val="00B77A5B"/>
    <w:rsid w:val="00B87008"/>
    <w:rsid w:val="00B90772"/>
    <w:rsid w:val="00BA4F26"/>
    <w:rsid w:val="00BA7285"/>
    <w:rsid w:val="00BB1A42"/>
    <w:rsid w:val="00BB4633"/>
    <w:rsid w:val="00BB65C8"/>
    <w:rsid w:val="00BC2078"/>
    <w:rsid w:val="00BD4373"/>
    <w:rsid w:val="00BE51C1"/>
    <w:rsid w:val="00BE53B6"/>
    <w:rsid w:val="00BE5875"/>
    <w:rsid w:val="00BE663D"/>
    <w:rsid w:val="00BE69A2"/>
    <w:rsid w:val="00BF1B3B"/>
    <w:rsid w:val="00BF4B61"/>
    <w:rsid w:val="00C02E1F"/>
    <w:rsid w:val="00C176ED"/>
    <w:rsid w:val="00C42290"/>
    <w:rsid w:val="00C47A9E"/>
    <w:rsid w:val="00C5465D"/>
    <w:rsid w:val="00C620BF"/>
    <w:rsid w:val="00C70883"/>
    <w:rsid w:val="00C73832"/>
    <w:rsid w:val="00C73F9F"/>
    <w:rsid w:val="00C76468"/>
    <w:rsid w:val="00C817EA"/>
    <w:rsid w:val="00C87F7B"/>
    <w:rsid w:val="00C93935"/>
    <w:rsid w:val="00C947E1"/>
    <w:rsid w:val="00CA740D"/>
    <w:rsid w:val="00CB5FA9"/>
    <w:rsid w:val="00CC30ED"/>
    <w:rsid w:val="00CD0316"/>
    <w:rsid w:val="00CD0B05"/>
    <w:rsid w:val="00CD6483"/>
    <w:rsid w:val="00CE05F8"/>
    <w:rsid w:val="00CE0652"/>
    <w:rsid w:val="00CF2A2F"/>
    <w:rsid w:val="00CF40FE"/>
    <w:rsid w:val="00D0518E"/>
    <w:rsid w:val="00D120A1"/>
    <w:rsid w:val="00D211BB"/>
    <w:rsid w:val="00D26EF9"/>
    <w:rsid w:val="00D30EFD"/>
    <w:rsid w:val="00D34E4A"/>
    <w:rsid w:val="00D4514C"/>
    <w:rsid w:val="00D51DCD"/>
    <w:rsid w:val="00D54B47"/>
    <w:rsid w:val="00D574A4"/>
    <w:rsid w:val="00D61F13"/>
    <w:rsid w:val="00D64C6D"/>
    <w:rsid w:val="00D72A7F"/>
    <w:rsid w:val="00D72C47"/>
    <w:rsid w:val="00D731CB"/>
    <w:rsid w:val="00D74415"/>
    <w:rsid w:val="00D76465"/>
    <w:rsid w:val="00D80AC6"/>
    <w:rsid w:val="00D95A88"/>
    <w:rsid w:val="00DA1EDF"/>
    <w:rsid w:val="00DA6E59"/>
    <w:rsid w:val="00DB0752"/>
    <w:rsid w:val="00DB1136"/>
    <w:rsid w:val="00DB158D"/>
    <w:rsid w:val="00DB2454"/>
    <w:rsid w:val="00DB3B5C"/>
    <w:rsid w:val="00DB41BA"/>
    <w:rsid w:val="00DB5243"/>
    <w:rsid w:val="00DC4AF1"/>
    <w:rsid w:val="00DC57B4"/>
    <w:rsid w:val="00DD7183"/>
    <w:rsid w:val="00DD73AC"/>
    <w:rsid w:val="00DE169F"/>
    <w:rsid w:val="00E01570"/>
    <w:rsid w:val="00E02B81"/>
    <w:rsid w:val="00E072D4"/>
    <w:rsid w:val="00E147B1"/>
    <w:rsid w:val="00E354DC"/>
    <w:rsid w:val="00E36C89"/>
    <w:rsid w:val="00E40DA6"/>
    <w:rsid w:val="00E40E76"/>
    <w:rsid w:val="00E42395"/>
    <w:rsid w:val="00E55B2A"/>
    <w:rsid w:val="00E67EC6"/>
    <w:rsid w:val="00E71565"/>
    <w:rsid w:val="00E74A1C"/>
    <w:rsid w:val="00E7528E"/>
    <w:rsid w:val="00E810B5"/>
    <w:rsid w:val="00E812F5"/>
    <w:rsid w:val="00EA38F2"/>
    <w:rsid w:val="00EC0E3C"/>
    <w:rsid w:val="00EC4A61"/>
    <w:rsid w:val="00ED606F"/>
    <w:rsid w:val="00ED7E65"/>
    <w:rsid w:val="00ED7F65"/>
    <w:rsid w:val="00EE5270"/>
    <w:rsid w:val="00EF23B5"/>
    <w:rsid w:val="00EF44B7"/>
    <w:rsid w:val="00F01726"/>
    <w:rsid w:val="00F17767"/>
    <w:rsid w:val="00F24B8E"/>
    <w:rsid w:val="00F30C3C"/>
    <w:rsid w:val="00F620E5"/>
    <w:rsid w:val="00F62F95"/>
    <w:rsid w:val="00F63B5F"/>
    <w:rsid w:val="00F671C8"/>
    <w:rsid w:val="00F714E4"/>
    <w:rsid w:val="00F72312"/>
    <w:rsid w:val="00F72C03"/>
    <w:rsid w:val="00F81F70"/>
    <w:rsid w:val="00F85005"/>
    <w:rsid w:val="00F91D2B"/>
    <w:rsid w:val="00FA2BFF"/>
    <w:rsid w:val="00FC083B"/>
    <w:rsid w:val="00FC2E66"/>
    <w:rsid w:val="00FD2E16"/>
    <w:rsid w:val="00FD4F8C"/>
    <w:rsid w:val="00FE02E5"/>
    <w:rsid w:val="00FE2074"/>
    <w:rsid w:val="00FF2954"/>
    <w:rsid w:val="00FF508B"/>
    <w:rsid w:val="00FF6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714E4"/>
    <w:pPr>
      <w:spacing w:before="200" w:after="200"/>
      <w:ind w:left="567" w:firstLine="1134"/>
      <w:jc w:val="both"/>
    </w:pPr>
    <w:rPr>
      <w:sz w:val="24"/>
      <w:szCs w:val="24"/>
    </w:rPr>
  </w:style>
  <w:style w:type="paragraph" w:styleId="Titre1">
    <w:name w:val="heading 1"/>
    <w:basedOn w:val="Normal"/>
    <w:next w:val="Corpsdetexte"/>
    <w:qFormat/>
    <w:pPr>
      <w:keepNext/>
      <w:numPr>
        <w:numId w:val="2"/>
      </w:numPr>
      <w:spacing w:before="480" w:after="480"/>
      <w:jc w:val="left"/>
      <w:outlineLvl w:val="0"/>
    </w:pPr>
    <w:rPr>
      <w:b/>
      <w:bCs/>
      <w:caps/>
      <w:kern w:val="28"/>
    </w:rPr>
  </w:style>
  <w:style w:type="paragraph" w:styleId="Titre2">
    <w:name w:val="heading 2"/>
    <w:basedOn w:val="Normal"/>
    <w:next w:val="Corpsdetexte"/>
    <w:qFormat/>
    <w:pPr>
      <w:keepNext/>
      <w:keepLines/>
      <w:numPr>
        <w:ilvl w:val="1"/>
        <w:numId w:val="2"/>
      </w:numPr>
      <w:spacing w:before="480"/>
      <w:jc w:val="left"/>
      <w:outlineLvl w:val="1"/>
    </w:pPr>
    <w:rPr>
      <w:b/>
      <w:bCs/>
      <w:caps/>
    </w:rPr>
  </w:style>
  <w:style w:type="paragraph" w:styleId="Titre3">
    <w:name w:val="heading 3"/>
    <w:basedOn w:val="Normal"/>
    <w:next w:val="Corpsdetexte"/>
    <w:qFormat/>
    <w:pPr>
      <w:keepNext/>
      <w:keepLines/>
      <w:numPr>
        <w:ilvl w:val="2"/>
        <w:numId w:val="2"/>
      </w:numPr>
      <w:spacing w:before="600"/>
      <w:jc w:val="left"/>
      <w:outlineLvl w:val="2"/>
    </w:pPr>
    <w:rPr>
      <w:b/>
      <w:bCs/>
      <w:smallCaps/>
    </w:rPr>
  </w:style>
  <w:style w:type="paragraph" w:styleId="Titre4">
    <w:name w:val="heading 4"/>
    <w:basedOn w:val="Normal"/>
    <w:next w:val="Corpsdetexte"/>
    <w:qFormat/>
    <w:pPr>
      <w:keepNext/>
      <w:keepLines/>
      <w:numPr>
        <w:ilvl w:val="3"/>
        <w:numId w:val="2"/>
      </w:numPr>
      <w:spacing w:before="480"/>
      <w:jc w:val="left"/>
      <w:outlineLvl w:val="3"/>
    </w:pPr>
    <w:rPr>
      <w:b/>
      <w:bCs/>
    </w:rPr>
  </w:style>
  <w:style w:type="paragraph" w:styleId="Titre5">
    <w:name w:val="heading 5"/>
    <w:basedOn w:val="Normal"/>
    <w:next w:val="Corpsdetexte"/>
    <w:qFormat/>
    <w:pPr>
      <w:keepNext/>
      <w:keepLines/>
      <w:numPr>
        <w:ilvl w:val="4"/>
        <w:numId w:val="2"/>
      </w:numPr>
      <w:spacing w:before="240"/>
      <w:jc w:val="left"/>
      <w:outlineLvl w:val="4"/>
    </w:pPr>
    <w:rPr>
      <w:u w:val="single"/>
    </w:rPr>
  </w:style>
  <w:style w:type="paragraph" w:styleId="Titre6">
    <w:name w:val="heading 6"/>
    <w:basedOn w:val="Corpsdetexte"/>
    <w:next w:val="Corpsdetexte"/>
    <w:qFormat/>
    <w:pPr>
      <w:keepNext/>
      <w:numPr>
        <w:ilvl w:val="5"/>
        <w:numId w:val="2"/>
      </w:numPr>
      <w:spacing w:before="240" w:after="60"/>
      <w:outlineLvl w:val="5"/>
    </w:pPr>
  </w:style>
  <w:style w:type="paragraph" w:styleId="Titre7">
    <w:name w:val="heading 7"/>
    <w:basedOn w:val="Normal"/>
    <w:next w:val="Corpsdetexte"/>
    <w:qFormat/>
    <w:pPr>
      <w:keepNext/>
      <w:numPr>
        <w:ilvl w:val="6"/>
        <w:numId w:val="3"/>
      </w:numPr>
      <w:jc w:val="left"/>
      <w:outlineLvl w:val="6"/>
    </w:pPr>
  </w:style>
  <w:style w:type="paragraph" w:styleId="Titre8">
    <w:name w:val="heading 8"/>
    <w:basedOn w:val="Normal"/>
    <w:next w:val="Normal"/>
    <w:qFormat/>
    <w:pPr>
      <w:keepNext/>
      <w:spacing w:before="0" w:after="0" w:line="400" w:lineRule="exact"/>
      <w:ind w:firstLine="0"/>
      <w:outlineLvl w:val="7"/>
    </w:pPr>
  </w:style>
  <w:style w:type="paragraph" w:styleId="Titre9">
    <w:name w:val="heading 9"/>
    <w:basedOn w:val="Normal"/>
    <w:next w:val="Normal"/>
    <w:qFormat/>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tyle>
  <w:style w:type="paragraph" w:styleId="En-tte">
    <w:name w:val="header"/>
    <w:basedOn w:val="Normal"/>
    <w:semiHidden/>
    <w:pPr>
      <w:tabs>
        <w:tab w:val="center" w:pos="4536"/>
        <w:tab w:val="right" w:pos="9072"/>
      </w:tabs>
      <w:jc w:val="center"/>
    </w:pPr>
  </w:style>
  <w:style w:type="paragraph" w:styleId="Pieddepage">
    <w:name w:val="footer"/>
    <w:basedOn w:val="Normal"/>
    <w:semiHidden/>
    <w:pPr>
      <w:tabs>
        <w:tab w:val="center" w:pos="4536"/>
        <w:tab w:val="right" w:pos="9072"/>
      </w:tabs>
      <w:jc w:val="center"/>
    </w:pPr>
  </w:style>
  <w:style w:type="character" w:styleId="Numrodepage">
    <w:name w:val="page number"/>
    <w:basedOn w:val="Policepardfaut"/>
    <w:semiHidden/>
  </w:style>
  <w:style w:type="paragraph" w:styleId="TM1">
    <w:name w:val="toc 1"/>
    <w:basedOn w:val="Normal"/>
    <w:next w:val="Corpsdetexte"/>
    <w:semiHidden/>
    <w:pPr>
      <w:spacing w:before="360" w:after="0"/>
      <w:jc w:val="left"/>
    </w:pPr>
    <w:rPr>
      <w:rFonts w:ascii="Arial" w:hAnsi="Arial" w:cs="Arial"/>
      <w:b/>
      <w:bCs/>
      <w:caps/>
    </w:rPr>
  </w:style>
  <w:style w:type="paragraph" w:customStyle="1" w:styleId="Titretableau">
    <w:name w:val="Titre tableau"/>
    <w:basedOn w:val="Corpsdetexte"/>
    <w:next w:val="Corpsdetexte"/>
    <w:semiHidden/>
    <w:pPr>
      <w:numPr>
        <w:numId w:val="1"/>
      </w:numPr>
      <w:spacing w:before="480" w:after="240"/>
      <w:jc w:val="center"/>
    </w:pPr>
    <w:rPr>
      <w:b/>
      <w:bCs/>
    </w:rPr>
  </w:style>
  <w:style w:type="character" w:styleId="Appelnotedebasdep">
    <w:name w:val="footnote reference"/>
    <w:rPr>
      <w:sz w:val="20"/>
      <w:szCs w:val="20"/>
      <w:vertAlign w:val="superscript"/>
    </w:rPr>
  </w:style>
  <w:style w:type="paragraph" w:customStyle="1" w:styleId="Tableau">
    <w:name w:val="Tableau"/>
    <w:basedOn w:val="Normal"/>
    <w:rsid w:val="00F714E4"/>
    <w:pPr>
      <w:widowControl w:val="0"/>
      <w:spacing w:before="0" w:after="0"/>
      <w:ind w:firstLine="0"/>
      <w:jc w:val="right"/>
    </w:pPr>
    <w:rPr>
      <w:color w:val="000000"/>
    </w:rPr>
  </w:style>
  <w:style w:type="paragraph" w:styleId="TM2">
    <w:name w:val="toc 2"/>
    <w:basedOn w:val="Normal"/>
    <w:next w:val="Corpsdetexte"/>
    <w:semiHidden/>
    <w:pPr>
      <w:spacing w:before="240" w:after="0"/>
      <w:jc w:val="left"/>
    </w:pPr>
    <w:rPr>
      <w:b/>
      <w:bCs/>
      <w:sz w:val="20"/>
      <w:szCs w:val="20"/>
    </w:rPr>
  </w:style>
  <w:style w:type="paragraph" w:styleId="TM3">
    <w:name w:val="toc 3"/>
    <w:basedOn w:val="Normal"/>
    <w:next w:val="Corpsdetexte"/>
    <w:semiHidden/>
    <w:pPr>
      <w:spacing w:before="0" w:after="0"/>
      <w:ind w:left="240"/>
      <w:jc w:val="left"/>
    </w:pPr>
    <w:rPr>
      <w:sz w:val="20"/>
      <w:szCs w:val="20"/>
    </w:rPr>
  </w:style>
  <w:style w:type="paragraph" w:styleId="TM4">
    <w:name w:val="toc 4"/>
    <w:basedOn w:val="Normal"/>
    <w:next w:val="Corpsdetexte"/>
    <w:semiHidden/>
    <w:pPr>
      <w:spacing w:before="0" w:after="0"/>
      <w:ind w:left="480"/>
      <w:jc w:val="left"/>
    </w:pPr>
    <w:rPr>
      <w:sz w:val="20"/>
      <w:szCs w:val="20"/>
    </w:rPr>
  </w:style>
  <w:style w:type="paragraph" w:styleId="TM5">
    <w:name w:val="toc 5"/>
    <w:basedOn w:val="Normal"/>
    <w:next w:val="Corpsdetexte"/>
    <w:autoRedefine/>
    <w:semiHidden/>
    <w:pPr>
      <w:spacing w:before="0" w:after="0"/>
      <w:ind w:left="720"/>
      <w:jc w:val="left"/>
    </w:pPr>
    <w:rPr>
      <w:sz w:val="20"/>
      <w:szCs w:val="20"/>
    </w:rPr>
  </w:style>
  <w:style w:type="paragraph" w:styleId="TM6">
    <w:name w:val="toc 6"/>
    <w:basedOn w:val="Normal"/>
    <w:next w:val="Corpsdetexte"/>
    <w:autoRedefine/>
    <w:semiHidden/>
    <w:pPr>
      <w:spacing w:before="0" w:after="0"/>
      <w:ind w:left="960"/>
      <w:jc w:val="left"/>
    </w:pPr>
    <w:rPr>
      <w:sz w:val="20"/>
      <w:szCs w:val="20"/>
    </w:rPr>
  </w:style>
  <w:style w:type="paragraph" w:styleId="TM7">
    <w:name w:val="toc 7"/>
    <w:basedOn w:val="Normal"/>
    <w:next w:val="Corpsdetexte"/>
    <w:autoRedefine/>
    <w:semiHidden/>
    <w:pPr>
      <w:spacing w:before="0" w:after="0"/>
      <w:ind w:left="1200"/>
      <w:jc w:val="left"/>
    </w:pPr>
    <w:rPr>
      <w:sz w:val="20"/>
      <w:szCs w:val="20"/>
    </w:rPr>
  </w:style>
  <w:style w:type="paragraph" w:styleId="TM8">
    <w:name w:val="toc 8"/>
    <w:basedOn w:val="Normal"/>
    <w:next w:val="Corpsdetexte"/>
    <w:autoRedefine/>
    <w:semiHidden/>
    <w:pPr>
      <w:spacing w:before="0" w:after="0"/>
      <w:ind w:left="1440"/>
      <w:jc w:val="left"/>
    </w:pPr>
    <w:rPr>
      <w:sz w:val="20"/>
      <w:szCs w:val="20"/>
    </w:rPr>
  </w:style>
  <w:style w:type="paragraph" w:styleId="TM9">
    <w:name w:val="toc 9"/>
    <w:basedOn w:val="Normal"/>
    <w:next w:val="Corpsdetexte"/>
    <w:autoRedefine/>
    <w:semiHidden/>
    <w:pPr>
      <w:spacing w:before="0" w:after="0"/>
      <w:ind w:left="1680"/>
      <w:jc w:val="left"/>
    </w:pPr>
    <w:rPr>
      <w:sz w:val="20"/>
      <w:szCs w:val="20"/>
    </w:rPr>
  </w:style>
  <w:style w:type="paragraph" w:customStyle="1" w:styleId="1pageChambre">
    <w:name w:val="1°page Chambre"/>
    <w:basedOn w:val="Corpstextegauche"/>
    <w:rsid w:val="00F30C3C"/>
    <w:pPr>
      <w:keepNext/>
      <w:spacing w:before="0" w:after="0"/>
      <w:jc w:val="center"/>
      <w:outlineLvl w:val="5"/>
    </w:pPr>
    <w:rPr>
      <w:b/>
      <w:bCs/>
      <w:smallCaps/>
      <w:spacing w:val="6"/>
    </w:rPr>
  </w:style>
  <w:style w:type="paragraph" w:customStyle="1" w:styleId="Sous-titrerapport">
    <w:name w:val="Sous-titre rapport"/>
    <w:basedOn w:val="Normal"/>
    <w:semiHidden/>
    <w:pPr>
      <w:spacing w:before="160" w:after="160"/>
      <w:ind w:firstLine="0"/>
      <w:jc w:val="center"/>
    </w:pPr>
  </w:style>
  <w:style w:type="paragraph" w:customStyle="1" w:styleId="encadr">
    <w:name w:val="encadré"/>
    <w:basedOn w:val="Normal"/>
    <w:semiHidden/>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semiHidden/>
    <w:pPr>
      <w:tabs>
        <w:tab w:val="right" w:leader="dot" w:pos="9356"/>
      </w:tabs>
      <w:spacing w:before="240" w:after="60"/>
      <w:ind w:left="851" w:hanging="851"/>
    </w:pPr>
    <w:rPr>
      <w:b/>
      <w:bCs/>
      <w:noProof/>
      <w:sz w:val="24"/>
      <w:szCs w:val="24"/>
    </w:rPr>
  </w:style>
  <w:style w:type="paragraph" w:customStyle="1" w:styleId="tabledesobservations2">
    <w:name w:val="table des observations2"/>
    <w:semiHidden/>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Corpsdetexte"/>
    <w:rsid w:val="00C176ED"/>
    <w:pPr>
      <w:spacing w:before="60" w:after="60"/>
      <w:ind w:left="0" w:firstLine="0"/>
    </w:pPr>
  </w:style>
  <w:style w:type="paragraph" w:styleId="Notedebasdepage">
    <w:name w:val="footnote text"/>
    <w:basedOn w:val="Normal"/>
    <w:next w:val="Corpsdetexte"/>
    <w:semiHidden/>
    <w:pPr>
      <w:spacing w:after="0"/>
    </w:pPr>
    <w:rPr>
      <w:sz w:val="20"/>
      <w:szCs w:val="20"/>
    </w:rPr>
  </w:style>
  <w:style w:type="paragraph" w:customStyle="1" w:styleId="Introconclu">
    <w:name w:val="Intro_conclu"/>
    <w:basedOn w:val="Normal"/>
    <w:next w:val="Corpsdetexte"/>
    <w:semiHidden/>
    <w:pPr>
      <w:spacing w:before="480" w:after="240"/>
      <w:ind w:firstLine="0"/>
      <w:jc w:val="center"/>
    </w:pPr>
    <w:rPr>
      <w:b/>
      <w:bCs/>
      <w:caps/>
      <w:sz w:val="28"/>
      <w:szCs w:val="28"/>
    </w:rPr>
  </w:style>
  <w:style w:type="paragraph" w:customStyle="1" w:styleId="Titrenonreprisdanssommaire">
    <w:name w:val="Titre non repris dans sommaire"/>
    <w:next w:val="Corpsdetexte"/>
    <w:semiHidden/>
    <w:pPr>
      <w:spacing w:before="480" w:after="240"/>
      <w:jc w:val="center"/>
    </w:pPr>
    <w:rPr>
      <w:b/>
      <w:bCs/>
      <w:caps/>
      <w:noProof/>
      <w:sz w:val="28"/>
      <w:szCs w:val="28"/>
    </w:rPr>
  </w:style>
  <w:style w:type="paragraph" w:customStyle="1" w:styleId="1pageCour">
    <w:name w:val="1°page Cour"/>
    <w:basedOn w:val="Normal"/>
    <w:rsid w:val="00F30C3C"/>
    <w:pPr>
      <w:spacing w:before="0" w:after="0"/>
      <w:ind w:left="0" w:firstLine="0"/>
      <w:jc w:val="center"/>
    </w:pPr>
    <w:rPr>
      <w:b/>
      <w:bCs/>
      <w:smallCaps/>
      <w:sz w:val="28"/>
      <w:szCs w:val="28"/>
    </w:rPr>
  </w:style>
  <w:style w:type="paragraph" w:styleId="Retraitcorpsdetexte">
    <w:name w:val="Body Text Indent"/>
    <w:basedOn w:val="Normal"/>
    <w:semiHidden/>
    <w:pPr>
      <w:spacing w:before="0" w:after="0" w:line="400" w:lineRule="exact"/>
      <w:ind w:firstLine="1418"/>
    </w:pPr>
  </w:style>
  <w:style w:type="paragraph" w:customStyle="1" w:styleId="Paragraphe1">
    <w:name w:val="Paragraphe 1"/>
    <w:semiHidden/>
    <w:pPr>
      <w:spacing w:line="480" w:lineRule="exact"/>
      <w:ind w:firstLine="1134"/>
      <w:jc w:val="both"/>
    </w:pPr>
    <w:rPr>
      <w:rFonts w:ascii="Tms Rmn" w:hAnsi="Tms Rmn"/>
      <w:sz w:val="24"/>
      <w:szCs w:val="24"/>
    </w:rPr>
  </w:style>
  <w:style w:type="paragraph" w:styleId="Retraitcorpsdetexte2">
    <w:name w:val="Body Text Indent 2"/>
    <w:basedOn w:val="Normal"/>
    <w:semiHidden/>
    <w:pPr>
      <w:spacing w:before="0" w:after="0" w:line="400" w:lineRule="exact"/>
    </w:pPr>
  </w:style>
  <w:style w:type="paragraph" w:styleId="Explorateurdedocuments">
    <w:name w:val="Document Map"/>
    <w:basedOn w:val="Normal"/>
    <w:semiHidden/>
    <w:pPr>
      <w:shd w:val="clear" w:color="auto" w:fill="000080"/>
    </w:pPr>
    <w:rPr>
      <w:rFonts w:ascii="Tahoma" w:hAnsi="Tahoma" w:cs="Tahoma"/>
    </w:rPr>
  </w:style>
  <w:style w:type="paragraph" w:styleId="Retraitnormal">
    <w:name w:val="Normal Indent"/>
    <w:basedOn w:val="Normal"/>
    <w:semiHidden/>
    <w:pPr>
      <w:spacing w:before="0" w:after="0"/>
      <w:ind w:left="708" w:firstLine="0"/>
      <w:jc w:val="left"/>
    </w:pPr>
    <w:rPr>
      <w:sz w:val="20"/>
      <w:szCs w:val="20"/>
    </w:rPr>
  </w:style>
  <w:style w:type="paragraph" w:customStyle="1" w:styleId="0ligneaprs">
    <w:name w:val="0 ligne après"/>
    <w:semiHidden/>
    <w:rsid w:val="006B4B77"/>
    <w:pPr>
      <w:keepLines/>
      <w:spacing w:line="240" w:lineRule="atLeast"/>
      <w:ind w:left="1701" w:firstLine="567"/>
      <w:jc w:val="both"/>
    </w:pPr>
    <w:rPr>
      <w:sz w:val="24"/>
      <w:szCs w:val="24"/>
    </w:rPr>
  </w:style>
  <w:style w:type="paragraph" w:customStyle="1" w:styleId="P0">
    <w:name w:val="P0"/>
    <w:basedOn w:val="Normal"/>
    <w:link w:val="P0Car"/>
    <w:rsid w:val="00C5465D"/>
    <w:pPr>
      <w:spacing w:before="240" w:after="240" w:line="240" w:lineRule="atLeast"/>
      <w:ind w:left="1701" w:firstLine="567"/>
    </w:pPr>
  </w:style>
  <w:style w:type="paragraph" w:customStyle="1" w:styleId="PS">
    <w:name w:val="PS"/>
    <w:basedOn w:val="Normal"/>
    <w:link w:val="PSCar"/>
    <w:rsid w:val="0088193B"/>
    <w:pPr>
      <w:spacing w:before="0" w:after="480"/>
      <w:ind w:left="1701"/>
    </w:pPr>
    <w:rPr>
      <w:rFonts w:ascii="CG Times (WN)" w:hAnsi="CG Times (WN)"/>
      <w:szCs w:val="20"/>
    </w:rPr>
  </w:style>
  <w:style w:type="paragraph" w:styleId="Textedebulles">
    <w:name w:val="Balloon Text"/>
    <w:basedOn w:val="Normal"/>
    <w:semiHidden/>
    <w:rsid w:val="00A11F5F"/>
    <w:rPr>
      <w:rFonts w:ascii="Tahoma" w:hAnsi="Tahoma" w:cs="Tahoma"/>
      <w:sz w:val="16"/>
      <w:szCs w:val="16"/>
    </w:rPr>
  </w:style>
  <w:style w:type="paragraph" w:customStyle="1" w:styleId="Titreobservations">
    <w:name w:val="Titre observations"/>
    <w:basedOn w:val="Titretableau"/>
    <w:next w:val="Corpsdetexte"/>
    <w:semiHidden/>
    <w:rsid w:val="004879D3"/>
    <w:pPr>
      <w:numPr>
        <w:numId w:val="4"/>
      </w:numPr>
      <w:jc w:val="left"/>
    </w:pPr>
    <w:rPr>
      <w:color w:val="000080"/>
      <w:spacing w:val="4"/>
    </w:rPr>
  </w:style>
  <w:style w:type="paragraph" w:customStyle="1" w:styleId="Style">
    <w:name w:val="Style"/>
    <w:semiHidden/>
    <w:rsid w:val="00A6208F"/>
    <w:pPr>
      <w:widowControl w:val="0"/>
      <w:autoSpaceDE w:val="0"/>
      <w:autoSpaceDN w:val="0"/>
      <w:adjustRightInd w:val="0"/>
    </w:pPr>
    <w:rPr>
      <w:sz w:val="24"/>
      <w:szCs w:val="24"/>
    </w:rPr>
  </w:style>
  <w:style w:type="paragraph" w:customStyle="1" w:styleId="paragraphe">
    <w:name w:val="paragraphe"/>
    <w:semiHidden/>
    <w:rsid w:val="005B284A"/>
    <w:pPr>
      <w:spacing w:after="240" w:line="240" w:lineRule="exact"/>
      <w:ind w:left="2268" w:firstLine="1418"/>
      <w:jc w:val="both"/>
    </w:pPr>
    <w:rPr>
      <w:rFonts w:ascii="Tms Rmn" w:hAnsi="Tms Rmn"/>
      <w:sz w:val="24"/>
    </w:rPr>
  </w:style>
  <w:style w:type="character" w:customStyle="1" w:styleId="CharacterStyle1">
    <w:name w:val="Character Style 1"/>
    <w:semiHidden/>
    <w:rsid w:val="00F81F70"/>
    <w:rPr>
      <w:rFonts w:ascii="Arial" w:hAnsi="Arial"/>
      <w:sz w:val="16"/>
    </w:rPr>
  </w:style>
  <w:style w:type="character" w:customStyle="1" w:styleId="PSCar">
    <w:name w:val="PS Car"/>
    <w:link w:val="PS"/>
    <w:rsid w:val="00D64C6D"/>
    <w:rPr>
      <w:rFonts w:ascii="CG Times (WN)" w:hAnsi="CG Times (WN)"/>
      <w:sz w:val="24"/>
      <w:lang w:val="fr-FR" w:eastAsia="fr-FR" w:bidi="ar-SA"/>
    </w:rPr>
  </w:style>
  <w:style w:type="character" w:styleId="Marquedecommentaire">
    <w:name w:val="annotation reference"/>
    <w:semiHidden/>
    <w:rsid w:val="0024422B"/>
    <w:rPr>
      <w:sz w:val="16"/>
      <w:szCs w:val="16"/>
    </w:rPr>
  </w:style>
  <w:style w:type="paragraph" w:styleId="Commentaire">
    <w:name w:val="annotation text"/>
    <w:basedOn w:val="Normal"/>
    <w:semiHidden/>
    <w:rsid w:val="0024422B"/>
    <w:rPr>
      <w:sz w:val="20"/>
      <w:szCs w:val="20"/>
    </w:rPr>
  </w:style>
  <w:style w:type="paragraph" w:styleId="Objetducommentaire">
    <w:name w:val="annotation subject"/>
    <w:basedOn w:val="Commentaire"/>
    <w:next w:val="Commentaire"/>
    <w:semiHidden/>
    <w:rsid w:val="0024422B"/>
    <w:rPr>
      <w:b/>
      <w:bCs/>
    </w:rPr>
  </w:style>
  <w:style w:type="character" w:customStyle="1" w:styleId="CorpsdetexteCar">
    <w:name w:val="Corps de texte Car"/>
    <w:link w:val="Corpsdetexte"/>
    <w:rsid w:val="00CD6483"/>
    <w:rPr>
      <w:sz w:val="24"/>
      <w:szCs w:val="24"/>
      <w:lang w:val="fr-FR" w:eastAsia="fr-FR" w:bidi="ar-SA"/>
    </w:rPr>
  </w:style>
  <w:style w:type="paragraph" w:customStyle="1" w:styleId="CarCar1">
    <w:name w:val="Car Car1"/>
    <w:basedOn w:val="Normal"/>
    <w:rsid w:val="000D4AC6"/>
    <w:pPr>
      <w:widowControl w:val="0"/>
      <w:overflowPunct w:val="0"/>
      <w:autoSpaceDE w:val="0"/>
      <w:autoSpaceDN w:val="0"/>
      <w:adjustRightInd w:val="0"/>
      <w:spacing w:before="0" w:after="160" w:line="240" w:lineRule="exact"/>
      <w:ind w:left="0" w:firstLine="0"/>
      <w:jc w:val="left"/>
    </w:pPr>
    <w:rPr>
      <w:rFonts w:ascii="Tahoma" w:hAnsi="Tahoma"/>
      <w:sz w:val="20"/>
      <w:szCs w:val="20"/>
      <w:lang w:val="en-US" w:eastAsia="en-US"/>
    </w:rPr>
  </w:style>
  <w:style w:type="character" w:customStyle="1" w:styleId="P0Car">
    <w:name w:val="P0 Car"/>
    <w:link w:val="P0"/>
    <w:rsid w:val="0023678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3432">
      <w:bodyDiv w:val="1"/>
      <w:marLeft w:val="0"/>
      <w:marRight w:val="0"/>
      <w:marTop w:val="0"/>
      <w:marBottom w:val="0"/>
      <w:divBdr>
        <w:top w:val="none" w:sz="0" w:space="0" w:color="auto"/>
        <w:left w:val="none" w:sz="0" w:space="0" w:color="auto"/>
        <w:bottom w:val="none" w:sz="0" w:space="0" w:color="auto"/>
        <w:right w:val="none" w:sz="0" w:space="0" w:color="auto"/>
      </w:divBdr>
    </w:div>
    <w:div w:id="15845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senhaji\Application%20Data\Microsoft\Mod&#232;les\Rapports\CCOS_ARRET%20APP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D3011-C6CE-43C8-BB68-FBBC5CAD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CCOS_ARRET APPEL.dot</Template>
  <TotalTime>16</TotalTime>
  <Pages>6</Pages>
  <Words>1886</Words>
  <Characters>10378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Université Caen - Ord. décharge</vt:lpstr>
    </vt:vector>
  </TitlesOfParts>
  <Company>Cour des comptes</Company>
  <LinksUpToDate>false</LinksUpToDate>
  <CharactersWithSpaces>12240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Caen - Ord. décharge</dc:title>
  <dc:subject/>
  <dc:creator>Omar SENHAJI;spoussin@ccomptes.fr</dc:creator>
  <cp:keywords/>
  <cp:lastModifiedBy>jpbonin</cp:lastModifiedBy>
  <cp:revision>3</cp:revision>
  <cp:lastPrinted>2012-11-19T09:32:00Z</cp:lastPrinted>
  <dcterms:created xsi:type="dcterms:W3CDTF">2012-12-19T09:00:00Z</dcterms:created>
  <dcterms:modified xsi:type="dcterms:W3CDTF">2013-01-10T17:18:00Z</dcterms:modified>
</cp:coreProperties>
</file>