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A6C" w:rsidRPr="00742CE3" w:rsidRDefault="00A70A6C" w:rsidP="00A70A6C">
      <w:pPr>
        <w:pStyle w:val="ET"/>
      </w:pPr>
      <w:r>
        <w:t xml:space="preserve">  </w:t>
      </w:r>
      <w:r w:rsidRPr="00742CE3">
        <w:t>COUR DES COMPTES</w:t>
      </w:r>
    </w:p>
    <w:p w:rsidR="00A70A6C" w:rsidRPr="00742CE3" w:rsidRDefault="00A70A6C" w:rsidP="00A70A6C">
      <w:pPr>
        <w:pStyle w:val="ET"/>
      </w:pPr>
      <w:r w:rsidRPr="00742CE3">
        <w:t xml:space="preserve">               -------</w:t>
      </w:r>
    </w:p>
    <w:p w:rsidR="00A70A6C" w:rsidRPr="00742CE3" w:rsidRDefault="00A70A6C" w:rsidP="00A70A6C">
      <w:pPr>
        <w:pStyle w:val="ET"/>
      </w:pPr>
      <w:r w:rsidRPr="00742CE3">
        <w:t>QUATRIEME CHAMBRE</w:t>
      </w:r>
    </w:p>
    <w:p w:rsidR="00A70A6C" w:rsidRPr="00742CE3" w:rsidRDefault="00A70A6C" w:rsidP="00A70A6C">
      <w:pPr>
        <w:pStyle w:val="ET"/>
      </w:pPr>
      <w:r w:rsidRPr="00742CE3">
        <w:t xml:space="preserve">               -------</w:t>
      </w:r>
    </w:p>
    <w:p w:rsidR="00A70A6C" w:rsidRPr="00742CE3" w:rsidRDefault="00A70A6C" w:rsidP="00A70A6C">
      <w:pPr>
        <w:pStyle w:val="ET"/>
      </w:pPr>
      <w:r>
        <w:t xml:space="preserve">  </w:t>
      </w:r>
      <w:r w:rsidRPr="00742CE3">
        <w:t>PREMIERE SECTION</w:t>
      </w:r>
    </w:p>
    <w:p w:rsidR="00A70A6C" w:rsidRPr="00742CE3" w:rsidRDefault="00A70A6C" w:rsidP="00A70A6C">
      <w:pPr>
        <w:pStyle w:val="ET"/>
      </w:pPr>
      <w:r w:rsidRPr="00742CE3">
        <w:tab/>
        <w:t xml:space="preserve">   ----</w:t>
      </w:r>
      <w:r>
        <w:t>-</w:t>
      </w:r>
      <w:r w:rsidRPr="00742CE3">
        <w:t>--</w:t>
      </w:r>
    </w:p>
    <w:p w:rsidR="00A70A6C" w:rsidRPr="00A70A6C" w:rsidRDefault="00A70A6C" w:rsidP="00D7552D">
      <w:pPr>
        <w:spacing w:before="120" w:after="240"/>
        <w:ind w:firstLine="709"/>
        <w:jc w:val="both"/>
        <w:rPr>
          <w:b/>
          <w:i/>
          <w:sz w:val="22"/>
          <w:szCs w:val="22"/>
        </w:rPr>
      </w:pPr>
      <w:r w:rsidRPr="00A70A6C">
        <w:rPr>
          <w:b/>
          <w:i/>
          <w:sz w:val="22"/>
          <w:szCs w:val="22"/>
        </w:rPr>
        <w:t>Arrêt n° 66537</w:t>
      </w:r>
    </w:p>
    <w:p w:rsidR="00A70A6C" w:rsidRDefault="006A52A5" w:rsidP="00A70A6C">
      <w:pPr>
        <w:pStyle w:val="OR"/>
        <w:ind w:left="5387"/>
      </w:pPr>
      <w:r>
        <w:t xml:space="preserve">INSTITUT LOUIS </w:t>
      </w:r>
      <w:r w:rsidR="00A70A6C" w:rsidRPr="00360477">
        <w:t>MALARD</w:t>
      </w:r>
      <w:r w:rsidR="009431DF">
        <w:rPr>
          <w:caps/>
        </w:rPr>
        <w:t>É</w:t>
      </w:r>
      <w:r w:rsidR="00A70A6C">
        <w:t xml:space="preserve"> (ILM)</w:t>
      </w:r>
    </w:p>
    <w:p w:rsidR="00A70A6C" w:rsidRPr="00360477" w:rsidRDefault="00A70A6C" w:rsidP="00A70A6C">
      <w:pPr>
        <w:pStyle w:val="OR"/>
        <w:ind w:left="5387"/>
      </w:pPr>
      <w:r w:rsidRPr="00360477">
        <w:t>(POLYN</w:t>
      </w:r>
      <w:r w:rsidR="008B147E">
        <w:rPr>
          <w:caps/>
        </w:rPr>
        <w:t>É</w:t>
      </w:r>
      <w:r w:rsidRPr="00360477">
        <w:t>SIE FRAN</w:t>
      </w:r>
      <w:r w:rsidR="008B147E">
        <w:t>Ç</w:t>
      </w:r>
      <w:r w:rsidRPr="00360477">
        <w:t xml:space="preserve">AISE) </w:t>
      </w:r>
    </w:p>
    <w:p w:rsidR="00A70A6C" w:rsidRDefault="00A70A6C" w:rsidP="00A70A6C">
      <w:pPr>
        <w:pStyle w:val="OR"/>
        <w:ind w:left="5387"/>
      </w:pPr>
    </w:p>
    <w:p w:rsidR="00A70A6C" w:rsidRPr="00742CE3" w:rsidRDefault="00A70A6C" w:rsidP="00A70A6C">
      <w:pPr>
        <w:pStyle w:val="OR"/>
        <w:ind w:left="5387"/>
      </w:pPr>
    </w:p>
    <w:p w:rsidR="00A70A6C" w:rsidRPr="00742CE3" w:rsidRDefault="00A70A6C" w:rsidP="00A70A6C">
      <w:pPr>
        <w:pStyle w:val="OR"/>
        <w:ind w:left="5387"/>
      </w:pPr>
      <w:r w:rsidRPr="00742CE3">
        <w:t xml:space="preserve">Appel d’un jugement de la chambre </w:t>
      </w:r>
      <w:r>
        <w:t>territoriale</w:t>
      </w:r>
      <w:r w:rsidRPr="00742CE3">
        <w:t xml:space="preserve"> des comptes d</w:t>
      </w:r>
      <w:r>
        <w:t>e Polynésie française</w:t>
      </w:r>
    </w:p>
    <w:p w:rsidR="00A70A6C" w:rsidRPr="00742CE3" w:rsidRDefault="00A70A6C" w:rsidP="00A70A6C">
      <w:pPr>
        <w:pStyle w:val="OR"/>
        <w:ind w:left="5387"/>
      </w:pPr>
    </w:p>
    <w:p w:rsidR="00A70A6C" w:rsidRPr="00742CE3" w:rsidRDefault="00A70A6C" w:rsidP="00A70A6C">
      <w:pPr>
        <w:pStyle w:val="OR"/>
        <w:ind w:left="5387"/>
      </w:pPr>
      <w:r w:rsidRPr="00742CE3">
        <w:t>Rapport n°</w:t>
      </w:r>
      <w:r>
        <w:t> </w:t>
      </w:r>
      <w:r w:rsidRPr="00742CE3">
        <w:t>201</w:t>
      </w:r>
      <w:r>
        <w:t>3</w:t>
      </w:r>
      <w:r w:rsidRPr="00742CE3">
        <w:t>-</w:t>
      </w:r>
      <w:r>
        <w:t>127-0</w:t>
      </w:r>
    </w:p>
    <w:p w:rsidR="00A70A6C" w:rsidRPr="00742CE3" w:rsidRDefault="00A70A6C" w:rsidP="00A70A6C">
      <w:pPr>
        <w:pStyle w:val="OR"/>
        <w:ind w:left="5387"/>
        <w:rPr>
          <w:b/>
        </w:rPr>
      </w:pPr>
    </w:p>
    <w:p w:rsidR="00A70A6C" w:rsidRPr="00742CE3" w:rsidRDefault="00A70A6C" w:rsidP="00A70A6C">
      <w:pPr>
        <w:pStyle w:val="OR"/>
        <w:ind w:left="5387"/>
      </w:pPr>
      <w:r w:rsidRPr="00742CE3">
        <w:t xml:space="preserve">Audience publique et délibéré du </w:t>
      </w:r>
      <w:r>
        <w:t>21 mars 2013</w:t>
      </w:r>
    </w:p>
    <w:p w:rsidR="00A70A6C" w:rsidRPr="00742CE3" w:rsidRDefault="00A70A6C" w:rsidP="00A70A6C">
      <w:pPr>
        <w:pStyle w:val="OR"/>
        <w:ind w:left="5387"/>
      </w:pPr>
    </w:p>
    <w:p w:rsidR="00A70A6C" w:rsidRDefault="00A70A6C" w:rsidP="005F099A">
      <w:pPr>
        <w:pStyle w:val="OR"/>
        <w:spacing w:after="720"/>
        <w:ind w:left="5387"/>
      </w:pPr>
      <w:r w:rsidRPr="00742CE3">
        <w:t xml:space="preserve">Lecture publique du </w:t>
      </w:r>
      <w:r w:rsidR="004C0468">
        <w:t>25 avril 2013</w:t>
      </w:r>
    </w:p>
    <w:p w:rsidR="005F099A" w:rsidRDefault="005F099A" w:rsidP="005F099A">
      <w:pPr>
        <w:spacing w:after="480"/>
        <w:ind w:left="1701" w:firstLine="1134"/>
        <w:jc w:val="both"/>
        <w:rPr>
          <w:sz w:val="24"/>
          <w:szCs w:val="24"/>
        </w:rPr>
      </w:pPr>
      <w:r>
        <w:rPr>
          <w:sz w:val="24"/>
          <w:szCs w:val="24"/>
        </w:rPr>
        <w:t>LA COUR DES COMPTES a rendu l’arrêt suivant :</w:t>
      </w:r>
    </w:p>
    <w:p w:rsidR="00A70A6C" w:rsidRPr="00742CE3" w:rsidRDefault="00A70A6C" w:rsidP="00A70A6C">
      <w:pPr>
        <w:spacing w:after="360"/>
        <w:ind w:left="1701" w:firstLine="1134"/>
        <w:jc w:val="both"/>
        <w:rPr>
          <w:sz w:val="24"/>
          <w:szCs w:val="24"/>
        </w:rPr>
      </w:pPr>
      <w:r w:rsidRPr="00742CE3">
        <w:rPr>
          <w:sz w:val="24"/>
          <w:szCs w:val="24"/>
        </w:rPr>
        <w:t>LA COUR,</w:t>
      </w:r>
    </w:p>
    <w:p w:rsidR="00A70A6C" w:rsidRDefault="00A70A6C" w:rsidP="00A70A6C">
      <w:pPr>
        <w:spacing w:after="360"/>
        <w:ind w:left="1701" w:firstLine="1134"/>
        <w:jc w:val="both"/>
        <w:rPr>
          <w:sz w:val="24"/>
          <w:szCs w:val="24"/>
        </w:rPr>
      </w:pPr>
      <w:r w:rsidRPr="00A149AC">
        <w:rPr>
          <w:sz w:val="24"/>
          <w:szCs w:val="24"/>
        </w:rPr>
        <w:t xml:space="preserve">Vu la requête, enregistrée le </w:t>
      </w:r>
      <w:r w:rsidRPr="00360477">
        <w:rPr>
          <w:sz w:val="24"/>
          <w:szCs w:val="24"/>
        </w:rPr>
        <w:t>22 novembre 2011 au greffe de la chambre territoriale des comptes de Polynésie française</w:t>
      </w:r>
      <w:r w:rsidRPr="00A149AC">
        <w:rPr>
          <w:sz w:val="24"/>
          <w:szCs w:val="24"/>
        </w:rPr>
        <w:t>, par laquelle</w:t>
      </w:r>
      <w:r>
        <w:rPr>
          <w:sz w:val="24"/>
          <w:szCs w:val="24"/>
        </w:rPr>
        <w:t xml:space="preserve"> </w:t>
      </w:r>
      <w:r w:rsidRPr="00360477">
        <w:rPr>
          <w:sz w:val="24"/>
          <w:szCs w:val="24"/>
        </w:rPr>
        <w:t>M.</w:t>
      </w:r>
      <w:r>
        <w:rPr>
          <w:sz w:val="24"/>
          <w:szCs w:val="24"/>
        </w:rPr>
        <w:t> </w:t>
      </w:r>
      <w:r w:rsidR="006E0C9E">
        <w:rPr>
          <w:sz w:val="24"/>
          <w:szCs w:val="24"/>
        </w:rPr>
        <w:t>X</w:t>
      </w:r>
      <w:r w:rsidRPr="00360477">
        <w:rPr>
          <w:sz w:val="24"/>
          <w:szCs w:val="24"/>
        </w:rPr>
        <w:t>, agent</w:t>
      </w:r>
      <w:r w:rsidR="00472E8C">
        <w:rPr>
          <w:sz w:val="24"/>
          <w:szCs w:val="24"/>
        </w:rPr>
        <w:t xml:space="preserve"> </w:t>
      </w:r>
      <w:r w:rsidRPr="00360477">
        <w:rPr>
          <w:sz w:val="24"/>
          <w:szCs w:val="24"/>
        </w:rPr>
        <w:t xml:space="preserve">comptable de </w:t>
      </w:r>
      <w:r>
        <w:rPr>
          <w:sz w:val="24"/>
          <w:szCs w:val="24"/>
        </w:rPr>
        <w:t>l</w:t>
      </w:r>
      <w:r w:rsidR="006A52A5">
        <w:rPr>
          <w:caps/>
          <w:sz w:val="24"/>
          <w:szCs w:val="24"/>
        </w:rPr>
        <w:t xml:space="preserve">’Institut Louis </w:t>
      </w:r>
      <w:r w:rsidRPr="00A70A6C">
        <w:rPr>
          <w:caps/>
          <w:sz w:val="24"/>
          <w:szCs w:val="24"/>
        </w:rPr>
        <w:t>Malard</w:t>
      </w:r>
      <w:r>
        <w:rPr>
          <w:caps/>
          <w:sz w:val="24"/>
          <w:szCs w:val="24"/>
        </w:rPr>
        <w:t>É</w:t>
      </w:r>
      <w:r w:rsidRPr="00360477">
        <w:rPr>
          <w:sz w:val="24"/>
          <w:szCs w:val="24"/>
        </w:rPr>
        <w:t xml:space="preserve"> (ILM) du 2 novembre 2005 au 31</w:t>
      </w:r>
      <w:r w:rsidR="00472E8C">
        <w:rPr>
          <w:sz w:val="24"/>
          <w:szCs w:val="24"/>
        </w:rPr>
        <w:t xml:space="preserve"> </w:t>
      </w:r>
      <w:r w:rsidRPr="00360477">
        <w:rPr>
          <w:sz w:val="24"/>
          <w:szCs w:val="24"/>
        </w:rPr>
        <w:t>décembre</w:t>
      </w:r>
      <w:r w:rsidR="00472E8C">
        <w:rPr>
          <w:sz w:val="24"/>
          <w:szCs w:val="24"/>
        </w:rPr>
        <w:t xml:space="preserve"> </w:t>
      </w:r>
      <w:r w:rsidRPr="00360477">
        <w:rPr>
          <w:sz w:val="24"/>
          <w:szCs w:val="24"/>
        </w:rPr>
        <w:t>2008</w:t>
      </w:r>
      <w:r>
        <w:rPr>
          <w:sz w:val="24"/>
          <w:szCs w:val="24"/>
        </w:rPr>
        <w:t xml:space="preserve">, </w:t>
      </w:r>
      <w:r w:rsidRPr="00A149AC">
        <w:rPr>
          <w:sz w:val="24"/>
          <w:szCs w:val="24"/>
        </w:rPr>
        <w:t>a élevé appel du jugement n° </w:t>
      </w:r>
      <w:r w:rsidRPr="00A149AC">
        <w:rPr>
          <w:rStyle w:val="CorpsdetexteCarCar"/>
        </w:rPr>
        <w:t>201</w:t>
      </w:r>
      <w:r>
        <w:rPr>
          <w:rStyle w:val="CorpsdetexteCarCar"/>
        </w:rPr>
        <w:t>1</w:t>
      </w:r>
      <w:r w:rsidRPr="00A149AC">
        <w:rPr>
          <w:rStyle w:val="CorpsdetexteCarCar"/>
        </w:rPr>
        <w:t>-00</w:t>
      </w:r>
      <w:r>
        <w:rPr>
          <w:rStyle w:val="CorpsdetexteCarCar"/>
        </w:rPr>
        <w:t>02</w:t>
      </w:r>
      <w:r w:rsidRPr="00A149AC">
        <w:rPr>
          <w:rStyle w:val="CorpsdetexteCarCar"/>
        </w:rPr>
        <w:t xml:space="preserve"> du </w:t>
      </w:r>
      <w:r>
        <w:rPr>
          <w:rStyle w:val="CorpsdetexteCarCar"/>
        </w:rPr>
        <w:t>21 septembre</w:t>
      </w:r>
      <w:r w:rsidRPr="00A149AC">
        <w:rPr>
          <w:rStyle w:val="CorpsdetexteCarCar"/>
        </w:rPr>
        <w:t xml:space="preserve"> 201</w:t>
      </w:r>
      <w:r>
        <w:rPr>
          <w:rStyle w:val="CorpsdetexteCarCar"/>
        </w:rPr>
        <w:t>1</w:t>
      </w:r>
      <w:r w:rsidRPr="00A149AC">
        <w:rPr>
          <w:rStyle w:val="CorpsdetexteCarCar"/>
        </w:rPr>
        <w:t xml:space="preserve"> </w:t>
      </w:r>
      <w:r w:rsidRPr="00A149AC">
        <w:rPr>
          <w:sz w:val="24"/>
          <w:szCs w:val="24"/>
        </w:rPr>
        <w:t>par</w:t>
      </w:r>
      <w:r w:rsidR="00472E8C">
        <w:rPr>
          <w:sz w:val="24"/>
          <w:szCs w:val="24"/>
        </w:rPr>
        <w:t xml:space="preserve"> </w:t>
      </w:r>
      <w:r w:rsidRPr="00A149AC">
        <w:rPr>
          <w:sz w:val="24"/>
          <w:szCs w:val="24"/>
        </w:rPr>
        <w:t>lequel cette juridiction l’</w:t>
      </w:r>
      <w:r w:rsidRPr="00A149AC">
        <w:rPr>
          <w:rStyle w:val="CorpsdetexteCarCar"/>
        </w:rPr>
        <w:t xml:space="preserve">a constitué débiteur de </w:t>
      </w:r>
      <w:r>
        <w:rPr>
          <w:rStyle w:val="CorpsdetexteCarCar"/>
        </w:rPr>
        <w:t>l’Institut</w:t>
      </w:r>
      <w:r w:rsidRPr="00A149AC">
        <w:rPr>
          <w:rStyle w:val="CorpsdetexteCarCar"/>
        </w:rPr>
        <w:t xml:space="preserve"> </w:t>
      </w:r>
      <w:r>
        <w:rPr>
          <w:rStyle w:val="CorpsdetexteCarCar"/>
        </w:rPr>
        <w:t>de</w:t>
      </w:r>
      <w:r w:rsidRPr="00A149AC">
        <w:rPr>
          <w:rStyle w:val="CorpsdetexteCarCar"/>
        </w:rPr>
        <w:t xml:space="preserve"> l</w:t>
      </w:r>
      <w:r>
        <w:rPr>
          <w:rStyle w:val="CorpsdetexteCarCar"/>
        </w:rPr>
        <w:t>a</w:t>
      </w:r>
      <w:r w:rsidRPr="00A149AC">
        <w:rPr>
          <w:rStyle w:val="CorpsdetexteCarCar"/>
        </w:rPr>
        <w:t xml:space="preserve"> somme de </w:t>
      </w:r>
      <w:r>
        <w:rPr>
          <w:rStyle w:val="CorpsdetexteCarCar"/>
        </w:rPr>
        <w:t>15 767 300 F CFP</w:t>
      </w:r>
      <w:r w:rsidRPr="00A149AC">
        <w:rPr>
          <w:rStyle w:val="CorpsdetexteCarCar"/>
        </w:rPr>
        <w:t xml:space="preserve">, augmentées des intérêts de droit </w:t>
      </w:r>
      <w:r>
        <w:rPr>
          <w:rStyle w:val="CorpsdetexteCarCar"/>
        </w:rPr>
        <w:t xml:space="preserve">calculés </w:t>
      </w:r>
      <w:r w:rsidRPr="00A149AC">
        <w:rPr>
          <w:rStyle w:val="CorpsdetexteCarCar"/>
        </w:rPr>
        <w:t xml:space="preserve">à compter du </w:t>
      </w:r>
      <w:r>
        <w:rPr>
          <w:rStyle w:val="CorpsdetexteCarCar"/>
        </w:rPr>
        <w:t>10 février</w:t>
      </w:r>
      <w:r w:rsidRPr="00A149AC">
        <w:rPr>
          <w:rStyle w:val="CorpsdetexteCarCar"/>
        </w:rPr>
        <w:t xml:space="preserve"> 2011</w:t>
      </w:r>
      <w:r w:rsidRPr="000F552F">
        <w:rPr>
          <w:rStyle w:val="CorpsdetexteCarCar"/>
        </w:rPr>
        <w:t> ;</w:t>
      </w:r>
    </w:p>
    <w:p w:rsidR="00A70A6C" w:rsidRPr="00742CE3" w:rsidRDefault="00A70A6C" w:rsidP="00A70A6C">
      <w:pPr>
        <w:spacing w:after="360"/>
        <w:ind w:left="1701" w:firstLine="1134"/>
        <w:jc w:val="both"/>
        <w:rPr>
          <w:sz w:val="24"/>
          <w:szCs w:val="24"/>
        </w:rPr>
      </w:pPr>
      <w:r w:rsidRPr="00742CE3">
        <w:rPr>
          <w:sz w:val="24"/>
          <w:szCs w:val="24"/>
        </w:rPr>
        <w:t xml:space="preserve">Vu le réquisitoire du Procureur général </w:t>
      </w:r>
      <w:r>
        <w:rPr>
          <w:sz w:val="24"/>
          <w:szCs w:val="24"/>
        </w:rPr>
        <w:t xml:space="preserve">près la Cour des comptes </w:t>
      </w:r>
      <w:r w:rsidRPr="0011378B">
        <w:rPr>
          <w:sz w:val="24"/>
          <w:szCs w:val="24"/>
        </w:rPr>
        <w:t>n° 2012-</w:t>
      </w:r>
      <w:r>
        <w:rPr>
          <w:sz w:val="24"/>
          <w:szCs w:val="24"/>
        </w:rPr>
        <w:t>21</w:t>
      </w:r>
      <w:r w:rsidRPr="0011378B">
        <w:rPr>
          <w:sz w:val="24"/>
          <w:szCs w:val="24"/>
        </w:rPr>
        <w:t xml:space="preserve"> du </w:t>
      </w:r>
      <w:r>
        <w:rPr>
          <w:sz w:val="24"/>
          <w:szCs w:val="24"/>
        </w:rPr>
        <w:t>16 avril</w:t>
      </w:r>
      <w:r w:rsidRPr="0011378B">
        <w:rPr>
          <w:sz w:val="24"/>
          <w:szCs w:val="24"/>
        </w:rPr>
        <w:t xml:space="preserve"> 2012</w:t>
      </w:r>
      <w:r w:rsidRPr="00742CE3">
        <w:rPr>
          <w:sz w:val="24"/>
          <w:szCs w:val="24"/>
        </w:rPr>
        <w:t xml:space="preserve"> transmettant </w:t>
      </w:r>
      <w:r>
        <w:rPr>
          <w:sz w:val="24"/>
          <w:szCs w:val="24"/>
        </w:rPr>
        <w:t xml:space="preserve">à la Cour </w:t>
      </w:r>
      <w:r w:rsidRPr="00742CE3">
        <w:rPr>
          <w:sz w:val="24"/>
          <w:szCs w:val="24"/>
        </w:rPr>
        <w:t>la requête précitée ;</w:t>
      </w:r>
    </w:p>
    <w:p w:rsidR="00A70A6C" w:rsidRDefault="00A70A6C" w:rsidP="00A70A6C">
      <w:pPr>
        <w:spacing w:after="360"/>
        <w:ind w:left="1701" w:firstLine="1134"/>
        <w:jc w:val="both"/>
        <w:rPr>
          <w:sz w:val="24"/>
          <w:szCs w:val="24"/>
        </w:rPr>
      </w:pPr>
      <w:r w:rsidRPr="00742CE3">
        <w:rPr>
          <w:sz w:val="24"/>
          <w:szCs w:val="24"/>
        </w:rPr>
        <w:t>Vu le réquisitoire du procureur financier</w:t>
      </w:r>
      <w:r w:rsidR="00472E8C">
        <w:rPr>
          <w:sz w:val="24"/>
          <w:szCs w:val="24"/>
        </w:rPr>
        <w:t xml:space="preserve"> </w:t>
      </w:r>
      <w:r>
        <w:rPr>
          <w:sz w:val="24"/>
          <w:szCs w:val="24"/>
        </w:rPr>
        <w:t xml:space="preserve">près la chambre </w:t>
      </w:r>
      <w:r w:rsidRPr="00360477">
        <w:rPr>
          <w:sz w:val="24"/>
          <w:szCs w:val="24"/>
        </w:rPr>
        <w:t>territoriale des comptes de Polynésie française</w:t>
      </w:r>
      <w:r>
        <w:rPr>
          <w:sz w:val="24"/>
          <w:szCs w:val="24"/>
        </w:rPr>
        <w:t xml:space="preserve"> </w:t>
      </w:r>
      <w:r w:rsidRPr="00360477">
        <w:rPr>
          <w:sz w:val="24"/>
          <w:szCs w:val="24"/>
        </w:rPr>
        <w:t xml:space="preserve">n° 2011-002 du 19 janvier 2011 </w:t>
      </w:r>
      <w:r>
        <w:rPr>
          <w:rStyle w:val="CorpsdetexteCarCar"/>
        </w:rPr>
        <w:t>par lequel ladite chambre a été saisie d’éléments concernant les comptes de l’ILM</w:t>
      </w:r>
      <w:r w:rsidRPr="00CA3619">
        <w:rPr>
          <w:rStyle w:val="CorpsdetexteCarCar"/>
        </w:rPr>
        <w:t xml:space="preserve"> </w:t>
      </w:r>
      <w:r>
        <w:rPr>
          <w:rStyle w:val="CorpsdetexteCarCar"/>
        </w:rPr>
        <w:t>au cours des exercices</w:t>
      </w:r>
      <w:r w:rsidR="00472E8C">
        <w:rPr>
          <w:rStyle w:val="CorpsdetexteCarCar"/>
        </w:rPr>
        <w:t xml:space="preserve"> </w:t>
      </w:r>
      <w:r>
        <w:rPr>
          <w:rStyle w:val="CorpsdetexteCarCar"/>
        </w:rPr>
        <w:t>2005 à 2008, aux fins de statuer sur la responsabilité personnelle et pécuniaire de M. </w:t>
      </w:r>
      <w:r w:rsidR="006E0C9E">
        <w:rPr>
          <w:rStyle w:val="CorpsdetexteCarCar"/>
        </w:rPr>
        <w:t>X</w:t>
      </w:r>
      <w:r>
        <w:rPr>
          <w:rStyle w:val="CorpsdetexteCarCar"/>
        </w:rPr>
        <w:t xml:space="preserve"> </w:t>
      </w:r>
      <w:r w:rsidRPr="00742CE3">
        <w:rPr>
          <w:sz w:val="24"/>
          <w:szCs w:val="24"/>
        </w:rPr>
        <w:t>;</w:t>
      </w:r>
    </w:p>
    <w:p w:rsidR="006E761A" w:rsidRDefault="006E761A" w:rsidP="006E761A">
      <w:pPr>
        <w:spacing w:after="360"/>
        <w:ind w:left="1701" w:firstLine="1134"/>
        <w:jc w:val="both"/>
        <w:rPr>
          <w:sz w:val="24"/>
          <w:szCs w:val="24"/>
        </w:rPr>
      </w:pPr>
      <w:r w:rsidRPr="00742CE3">
        <w:rPr>
          <w:sz w:val="24"/>
          <w:szCs w:val="24"/>
        </w:rPr>
        <w:t>Vu les pièces de la procédure suivie en première instance ;</w:t>
      </w:r>
    </w:p>
    <w:p w:rsidR="006E761A" w:rsidRPr="0028489A" w:rsidRDefault="006E761A" w:rsidP="006E761A">
      <w:pPr>
        <w:spacing w:after="360"/>
        <w:ind w:left="1701" w:firstLine="1134"/>
        <w:jc w:val="both"/>
        <w:rPr>
          <w:sz w:val="24"/>
          <w:szCs w:val="24"/>
        </w:rPr>
      </w:pPr>
      <w:r>
        <w:rPr>
          <w:sz w:val="24"/>
          <w:szCs w:val="24"/>
        </w:rPr>
        <w:t>Vu le code civil ;</w:t>
      </w:r>
    </w:p>
    <w:p w:rsidR="00F94E8E" w:rsidRDefault="00F94E8E">
      <w:pPr>
        <w:pStyle w:val="P0"/>
        <w:sectPr w:rsidR="00F94E8E">
          <w:pgSz w:w="11907" w:h="16840"/>
          <w:pgMar w:top="1134" w:right="1134" w:bottom="1134" w:left="567" w:header="720" w:footer="720" w:gutter="0"/>
          <w:cols w:space="720"/>
        </w:sectPr>
      </w:pPr>
    </w:p>
    <w:p w:rsidR="00A70A6C" w:rsidRDefault="00A70A6C" w:rsidP="00A70A6C">
      <w:pPr>
        <w:spacing w:after="360"/>
        <w:ind w:left="1701" w:firstLine="1134"/>
        <w:jc w:val="both"/>
        <w:rPr>
          <w:sz w:val="24"/>
          <w:szCs w:val="24"/>
        </w:rPr>
      </w:pPr>
      <w:r w:rsidRPr="00742CE3">
        <w:rPr>
          <w:sz w:val="24"/>
          <w:szCs w:val="24"/>
        </w:rPr>
        <w:lastRenderedPageBreak/>
        <w:t>Vu le code des juridictions financières ;</w:t>
      </w:r>
    </w:p>
    <w:p w:rsidR="00A70A6C" w:rsidRDefault="00A70A6C" w:rsidP="00A70A6C">
      <w:pPr>
        <w:spacing w:after="360"/>
        <w:ind w:left="1701" w:firstLine="1134"/>
        <w:jc w:val="both"/>
        <w:rPr>
          <w:sz w:val="24"/>
          <w:szCs w:val="24"/>
        </w:rPr>
      </w:pPr>
      <w:r w:rsidRPr="00360477">
        <w:rPr>
          <w:sz w:val="24"/>
          <w:szCs w:val="24"/>
        </w:rPr>
        <w:t>Vu le code des impôts de la Polynésie française, notamment son article</w:t>
      </w:r>
      <w:r w:rsidR="00472E8C">
        <w:rPr>
          <w:sz w:val="24"/>
          <w:szCs w:val="24"/>
        </w:rPr>
        <w:t xml:space="preserve"> </w:t>
      </w:r>
      <w:r w:rsidRPr="00360477">
        <w:rPr>
          <w:sz w:val="24"/>
          <w:szCs w:val="24"/>
        </w:rPr>
        <w:t>719</w:t>
      </w:r>
      <w:r w:rsidR="00472E8C">
        <w:rPr>
          <w:sz w:val="24"/>
          <w:szCs w:val="24"/>
        </w:rPr>
        <w:noBreakHyphen/>
      </w:r>
      <w:r w:rsidRPr="00360477">
        <w:rPr>
          <w:sz w:val="24"/>
          <w:szCs w:val="24"/>
        </w:rPr>
        <w:t>1 ;</w:t>
      </w:r>
    </w:p>
    <w:p w:rsidR="00A70A6C" w:rsidRDefault="00A70A6C" w:rsidP="00A70A6C">
      <w:pPr>
        <w:spacing w:after="360"/>
        <w:ind w:left="1701" w:firstLine="1134"/>
        <w:jc w:val="both"/>
        <w:rPr>
          <w:sz w:val="24"/>
          <w:szCs w:val="24"/>
        </w:rPr>
      </w:pPr>
      <w:r w:rsidRPr="00742CE3">
        <w:rPr>
          <w:sz w:val="24"/>
          <w:szCs w:val="24"/>
        </w:rPr>
        <w:fldChar w:fldCharType="begin"/>
      </w:r>
      <w:r w:rsidRPr="00742CE3">
        <w:rPr>
          <w:sz w:val="24"/>
          <w:szCs w:val="24"/>
        </w:rPr>
        <w:fldChar w:fldCharType="end"/>
      </w:r>
      <w:r w:rsidRPr="00742CE3">
        <w:rPr>
          <w:sz w:val="24"/>
          <w:szCs w:val="24"/>
        </w:rPr>
        <w:t>Vu l’article 60 de la loi de finances n° 63-156 du 23 février 1963 modifiée</w:t>
      </w:r>
      <w:r w:rsidR="00472E8C">
        <w:rPr>
          <w:sz w:val="24"/>
          <w:szCs w:val="24"/>
        </w:rPr>
        <w:t> </w:t>
      </w:r>
      <w:r w:rsidRPr="00742CE3">
        <w:rPr>
          <w:sz w:val="24"/>
          <w:szCs w:val="24"/>
        </w:rPr>
        <w:t>;</w:t>
      </w:r>
    </w:p>
    <w:p w:rsidR="00A70A6C" w:rsidRPr="00715506" w:rsidRDefault="00A70A6C" w:rsidP="00A70A6C">
      <w:pPr>
        <w:spacing w:after="360"/>
        <w:ind w:left="1701" w:firstLine="1134"/>
        <w:jc w:val="both"/>
        <w:rPr>
          <w:sz w:val="24"/>
          <w:szCs w:val="24"/>
        </w:rPr>
      </w:pPr>
      <w:r w:rsidRPr="00742CE3">
        <w:rPr>
          <w:sz w:val="24"/>
          <w:szCs w:val="24"/>
        </w:rPr>
        <w:t xml:space="preserve">Vu le décret n° 62-1587 du 29 décembre 1962 modifié portant règlement général </w:t>
      </w:r>
      <w:r w:rsidRPr="00715506">
        <w:rPr>
          <w:sz w:val="24"/>
          <w:szCs w:val="24"/>
        </w:rPr>
        <w:t>sur la comptabilité publique, en vigueur au moment des faits ;</w:t>
      </w:r>
    </w:p>
    <w:p w:rsidR="00A70A6C" w:rsidRPr="0028489A" w:rsidRDefault="00A70A6C" w:rsidP="00A70A6C">
      <w:pPr>
        <w:spacing w:after="360"/>
        <w:ind w:left="1701" w:firstLine="1134"/>
        <w:jc w:val="both"/>
        <w:rPr>
          <w:sz w:val="24"/>
          <w:szCs w:val="24"/>
        </w:rPr>
      </w:pPr>
      <w:r w:rsidRPr="00360477">
        <w:rPr>
          <w:sz w:val="24"/>
          <w:szCs w:val="24"/>
        </w:rPr>
        <w:t>Vu la délibération n°</w:t>
      </w:r>
      <w:r>
        <w:rPr>
          <w:sz w:val="24"/>
          <w:szCs w:val="24"/>
        </w:rPr>
        <w:t> </w:t>
      </w:r>
      <w:r w:rsidRPr="00360477">
        <w:rPr>
          <w:sz w:val="24"/>
          <w:szCs w:val="24"/>
        </w:rPr>
        <w:t xml:space="preserve">95-205 AT du 23 novembre 1995 </w:t>
      </w:r>
      <w:r>
        <w:rPr>
          <w:sz w:val="24"/>
          <w:szCs w:val="24"/>
        </w:rPr>
        <w:t xml:space="preserve">modifiée </w:t>
      </w:r>
      <w:r w:rsidRPr="00360477">
        <w:rPr>
          <w:sz w:val="24"/>
          <w:szCs w:val="24"/>
        </w:rPr>
        <w:t>portant adoption de la réglementation budgétaire, comptable et financière de la Polynésie française et de ses établissements publics ;</w:t>
      </w:r>
    </w:p>
    <w:p w:rsidR="00A70A6C" w:rsidRPr="00742CE3" w:rsidRDefault="00A70A6C" w:rsidP="00A70A6C">
      <w:pPr>
        <w:spacing w:after="360"/>
        <w:ind w:left="1701" w:firstLine="1134"/>
        <w:jc w:val="both"/>
        <w:rPr>
          <w:sz w:val="24"/>
          <w:szCs w:val="24"/>
        </w:rPr>
      </w:pPr>
      <w:r w:rsidRPr="00742CE3">
        <w:rPr>
          <w:sz w:val="24"/>
          <w:szCs w:val="24"/>
        </w:rPr>
        <w:t xml:space="preserve">Vu le rapport </w:t>
      </w:r>
      <w:r>
        <w:rPr>
          <w:sz w:val="24"/>
          <w:szCs w:val="24"/>
        </w:rPr>
        <w:t xml:space="preserve">d’instruction </w:t>
      </w:r>
      <w:r w:rsidRPr="00742CE3">
        <w:rPr>
          <w:sz w:val="24"/>
          <w:szCs w:val="24"/>
        </w:rPr>
        <w:t xml:space="preserve">de </w:t>
      </w:r>
      <w:r w:rsidR="00472E8C" w:rsidRPr="00472E8C">
        <w:rPr>
          <w:sz w:val="24"/>
          <w:szCs w:val="24"/>
        </w:rPr>
        <w:t>M</w:t>
      </w:r>
      <w:r w:rsidR="00472E8C" w:rsidRPr="00472E8C">
        <w:rPr>
          <w:sz w:val="24"/>
          <w:szCs w:val="24"/>
          <w:vertAlign w:val="superscript"/>
        </w:rPr>
        <w:t>me</w:t>
      </w:r>
      <w:r w:rsidR="00472E8C">
        <w:rPr>
          <w:sz w:val="24"/>
          <w:szCs w:val="24"/>
        </w:rPr>
        <w:t xml:space="preserve"> </w:t>
      </w:r>
      <w:r w:rsidRPr="00360477">
        <w:rPr>
          <w:sz w:val="24"/>
          <w:szCs w:val="24"/>
        </w:rPr>
        <w:t>Stéphanie</w:t>
      </w:r>
      <w:r w:rsidR="00472E8C">
        <w:rPr>
          <w:sz w:val="24"/>
          <w:szCs w:val="24"/>
        </w:rPr>
        <w:t xml:space="preserve"> </w:t>
      </w:r>
      <w:r w:rsidRPr="00360477">
        <w:rPr>
          <w:sz w:val="24"/>
          <w:szCs w:val="24"/>
        </w:rPr>
        <w:t xml:space="preserve">Oltra-Oro, </w:t>
      </w:r>
      <w:r>
        <w:rPr>
          <w:sz w:val="24"/>
          <w:szCs w:val="24"/>
        </w:rPr>
        <w:t>conseillère référendaire</w:t>
      </w:r>
      <w:r w:rsidRPr="00742CE3">
        <w:rPr>
          <w:sz w:val="24"/>
          <w:szCs w:val="24"/>
        </w:rPr>
        <w:t> ;</w:t>
      </w:r>
    </w:p>
    <w:p w:rsidR="00A70A6C" w:rsidRPr="00742CE3" w:rsidRDefault="00A70A6C" w:rsidP="00A70A6C">
      <w:pPr>
        <w:spacing w:after="360"/>
        <w:ind w:left="1701" w:firstLine="1134"/>
        <w:jc w:val="both"/>
        <w:rPr>
          <w:sz w:val="24"/>
          <w:szCs w:val="24"/>
        </w:rPr>
      </w:pPr>
      <w:r w:rsidRPr="00742CE3">
        <w:rPr>
          <w:sz w:val="24"/>
          <w:szCs w:val="24"/>
        </w:rPr>
        <w:t>Vu les conclusions n°</w:t>
      </w:r>
      <w:r>
        <w:rPr>
          <w:sz w:val="24"/>
          <w:szCs w:val="24"/>
        </w:rPr>
        <w:t> 195</w:t>
      </w:r>
      <w:r w:rsidRPr="00742CE3">
        <w:rPr>
          <w:sz w:val="24"/>
          <w:szCs w:val="24"/>
        </w:rPr>
        <w:t xml:space="preserve"> du Procureur général du </w:t>
      </w:r>
      <w:r>
        <w:rPr>
          <w:sz w:val="24"/>
          <w:szCs w:val="24"/>
        </w:rPr>
        <w:t>13 mars 2013</w:t>
      </w:r>
      <w:r w:rsidR="00472E8C">
        <w:rPr>
          <w:sz w:val="24"/>
          <w:szCs w:val="24"/>
        </w:rPr>
        <w:t> </w:t>
      </w:r>
      <w:r w:rsidRPr="00742CE3">
        <w:rPr>
          <w:sz w:val="24"/>
          <w:szCs w:val="24"/>
        </w:rPr>
        <w:t>;</w:t>
      </w:r>
    </w:p>
    <w:p w:rsidR="00A70A6C" w:rsidRPr="00742CE3" w:rsidRDefault="00A70A6C" w:rsidP="00A70A6C">
      <w:pPr>
        <w:spacing w:after="360"/>
        <w:ind w:left="1701" w:firstLine="1134"/>
        <w:jc w:val="both"/>
        <w:rPr>
          <w:sz w:val="24"/>
          <w:szCs w:val="24"/>
        </w:rPr>
      </w:pPr>
      <w:r w:rsidRPr="00742CE3">
        <w:rPr>
          <w:sz w:val="24"/>
          <w:szCs w:val="24"/>
        </w:rPr>
        <w:t xml:space="preserve">Entendu, lors de l’audience publique de ce jour, </w:t>
      </w:r>
      <w:r w:rsidRPr="00360477">
        <w:rPr>
          <w:sz w:val="24"/>
          <w:szCs w:val="24"/>
        </w:rPr>
        <w:t>M</w:t>
      </w:r>
      <w:r w:rsidRPr="00472E8C">
        <w:rPr>
          <w:sz w:val="24"/>
          <w:szCs w:val="24"/>
          <w:vertAlign w:val="superscript"/>
        </w:rPr>
        <w:t>me</w:t>
      </w:r>
      <w:r w:rsidRPr="00360477">
        <w:rPr>
          <w:sz w:val="24"/>
          <w:szCs w:val="24"/>
        </w:rPr>
        <w:t xml:space="preserve"> Stéphanie Oltra-Oro, </w:t>
      </w:r>
      <w:r>
        <w:rPr>
          <w:sz w:val="24"/>
          <w:szCs w:val="24"/>
        </w:rPr>
        <w:t>conseillère référendaire,</w:t>
      </w:r>
      <w:r w:rsidRPr="00742CE3">
        <w:rPr>
          <w:sz w:val="24"/>
          <w:szCs w:val="24"/>
        </w:rPr>
        <w:t xml:space="preserve"> en son rapport, M</w:t>
      </w:r>
      <w:r>
        <w:rPr>
          <w:sz w:val="24"/>
          <w:szCs w:val="24"/>
        </w:rPr>
        <w:t>. Christian Michaut</w:t>
      </w:r>
      <w:r w:rsidRPr="00742CE3">
        <w:rPr>
          <w:sz w:val="24"/>
          <w:szCs w:val="24"/>
        </w:rPr>
        <w:t xml:space="preserve">, </w:t>
      </w:r>
      <w:r>
        <w:rPr>
          <w:sz w:val="24"/>
          <w:szCs w:val="24"/>
        </w:rPr>
        <w:t xml:space="preserve">avocat général, </w:t>
      </w:r>
      <w:r w:rsidRPr="00742CE3">
        <w:rPr>
          <w:sz w:val="24"/>
          <w:szCs w:val="24"/>
        </w:rPr>
        <w:t xml:space="preserve">en les conclusions du </w:t>
      </w:r>
      <w:r>
        <w:rPr>
          <w:sz w:val="24"/>
          <w:szCs w:val="24"/>
        </w:rPr>
        <w:t>ministère public</w:t>
      </w:r>
      <w:r w:rsidRPr="00742CE3">
        <w:rPr>
          <w:sz w:val="24"/>
          <w:szCs w:val="24"/>
        </w:rPr>
        <w:t xml:space="preserve">, l’appelant, </w:t>
      </w:r>
      <w:r>
        <w:rPr>
          <w:sz w:val="24"/>
          <w:szCs w:val="24"/>
        </w:rPr>
        <w:t>informé de l’audience, n’étant ni présent ni</w:t>
      </w:r>
      <w:r w:rsidR="00472E8C">
        <w:rPr>
          <w:sz w:val="24"/>
          <w:szCs w:val="24"/>
        </w:rPr>
        <w:t xml:space="preserve"> </w:t>
      </w:r>
      <w:r>
        <w:rPr>
          <w:sz w:val="24"/>
          <w:szCs w:val="24"/>
        </w:rPr>
        <w:t xml:space="preserve">représenté </w:t>
      </w:r>
      <w:r w:rsidRPr="00742CE3">
        <w:rPr>
          <w:sz w:val="24"/>
          <w:szCs w:val="24"/>
        </w:rPr>
        <w:t>;</w:t>
      </w:r>
    </w:p>
    <w:p w:rsidR="00A70A6C" w:rsidRDefault="00A70A6C" w:rsidP="00A70A6C">
      <w:pPr>
        <w:spacing w:after="360"/>
        <w:ind w:left="1701" w:firstLine="1134"/>
        <w:jc w:val="both"/>
        <w:rPr>
          <w:sz w:val="24"/>
          <w:szCs w:val="24"/>
        </w:rPr>
      </w:pPr>
      <w:r w:rsidRPr="00742CE3">
        <w:rPr>
          <w:sz w:val="24"/>
          <w:szCs w:val="24"/>
        </w:rPr>
        <w:t>Après avoir entendu, en délibéré, M</w:t>
      </w:r>
      <w:r>
        <w:rPr>
          <w:sz w:val="24"/>
          <w:szCs w:val="24"/>
        </w:rPr>
        <w:t>. Roch-Olivier Maistre</w:t>
      </w:r>
      <w:r w:rsidRPr="00742CE3">
        <w:rPr>
          <w:sz w:val="24"/>
          <w:szCs w:val="24"/>
        </w:rPr>
        <w:t>, conseill</w:t>
      </w:r>
      <w:r>
        <w:rPr>
          <w:sz w:val="24"/>
          <w:szCs w:val="24"/>
        </w:rPr>
        <w:t>er</w:t>
      </w:r>
      <w:r w:rsidRPr="00742CE3">
        <w:rPr>
          <w:sz w:val="24"/>
          <w:szCs w:val="24"/>
        </w:rPr>
        <w:t xml:space="preserve"> maître, en ses observations ;</w:t>
      </w:r>
    </w:p>
    <w:p w:rsidR="00A70A6C" w:rsidRPr="0028489A" w:rsidRDefault="00A70A6C" w:rsidP="00A70A6C">
      <w:pPr>
        <w:spacing w:after="360"/>
        <w:ind w:left="1701" w:firstLine="1134"/>
        <w:jc w:val="both"/>
        <w:rPr>
          <w:sz w:val="24"/>
          <w:szCs w:val="24"/>
        </w:rPr>
      </w:pPr>
      <w:r>
        <w:rPr>
          <w:sz w:val="24"/>
          <w:szCs w:val="24"/>
        </w:rPr>
        <w:t xml:space="preserve">Attendu </w:t>
      </w:r>
      <w:r w:rsidRPr="00360477">
        <w:rPr>
          <w:sz w:val="24"/>
          <w:szCs w:val="24"/>
        </w:rPr>
        <w:t xml:space="preserve">que </w:t>
      </w:r>
      <w:r>
        <w:rPr>
          <w:sz w:val="24"/>
          <w:szCs w:val="24"/>
        </w:rPr>
        <w:t xml:space="preserve">par le jugement susvisé, </w:t>
      </w:r>
      <w:r w:rsidRPr="00360477">
        <w:rPr>
          <w:sz w:val="24"/>
          <w:szCs w:val="24"/>
        </w:rPr>
        <w:t>la chambre territoriale des comptes de Polynésie française a constitué M.</w:t>
      </w:r>
      <w:r>
        <w:rPr>
          <w:sz w:val="24"/>
          <w:szCs w:val="24"/>
        </w:rPr>
        <w:t> </w:t>
      </w:r>
      <w:r w:rsidR="006E0C9E">
        <w:rPr>
          <w:sz w:val="24"/>
          <w:szCs w:val="24"/>
        </w:rPr>
        <w:t>X</w:t>
      </w:r>
      <w:r w:rsidRPr="00360477">
        <w:rPr>
          <w:sz w:val="24"/>
          <w:szCs w:val="24"/>
        </w:rPr>
        <w:t xml:space="preserve"> débiteur de l’Institut Louis</w:t>
      </w:r>
      <w:r w:rsidR="006A52A5">
        <w:rPr>
          <w:sz w:val="24"/>
          <w:szCs w:val="24"/>
        </w:rPr>
        <w:t xml:space="preserve"> </w:t>
      </w:r>
      <w:r w:rsidRPr="00360477">
        <w:rPr>
          <w:sz w:val="24"/>
          <w:szCs w:val="24"/>
        </w:rPr>
        <w:t xml:space="preserve">Malardé </w:t>
      </w:r>
      <w:r>
        <w:rPr>
          <w:sz w:val="24"/>
          <w:szCs w:val="24"/>
        </w:rPr>
        <w:t xml:space="preserve">de la somme de 15 767 300 F CFP </w:t>
      </w:r>
      <w:r w:rsidRPr="00360477">
        <w:rPr>
          <w:sz w:val="24"/>
          <w:szCs w:val="24"/>
        </w:rPr>
        <w:t>pour défaut de recouvrement d</w:t>
      </w:r>
      <w:r>
        <w:rPr>
          <w:sz w:val="24"/>
          <w:szCs w:val="24"/>
        </w:rPr>
        <w:t>’une part, d</w:t>
      </w:r>
      <w:r w:rsidRPr="00360477">
        <w:rPr>
          <w:sz w:val="24"/>
          <w:szCs w:val="24"/>
        </w:rPr>
        <w:t xml:space="preserve">e titres </w:t>
      </w:r>
      <w:r>
        <w:rPr>
          <w:sz w:val="24"/>
          <w:szCs w:val="24"/>
        </w:rPr>
        <w:t>émis entre</w:t>
      </w:r>
      <w:r w:rsidR="00472E8C">
        <w:rPr>
          <w:sz w:val="24"/>
          <w:szCs w:val="24"/>
        </w:rPr>
        <w:t xml:space="preserve"> </w:t>
      </w:r>
      <w:r>
        <w:rPr>
          <w:sz w:val="24"/>
          <w:szCs w:val="24"/>
        </w:rPr>
        <w:t>1993 et 2002 et dus par la Caisse de prévoyance sociale (CPS) et d’autre part, de titres émis en 2003 et</w:t>
      </w:r>
      <w:r w:rsidR="00472E8C">
        <w:rPr>
          <w:sz w:val="24"/>
          <w:szCs w:val="24"/>
        </w:rPr>
        <w:t xml:space="preserve"> </w:t>
      </w:r>
      <w:r>
        <w:rPr>
          <w:sz w:val="24"/>
          <w:szCs w:val="24"/>
        </w:rPr>
        <w:t>2004 et dus par divers débiteurs particuliers ;</w:t>
      </w:r>
    </w:p>
    <w:p w:rsidR="00A70A6C" w:rsidRPr="00F9234D" w:rsidRDefault="00A70A6C" w:rsidP="00A70A6C">
      <w:pPr>
        <w:autoSpaceDE w:val="0"/>
        <w:autoSpaceDN w:val="0"/>
        <w:adjustRightInd w:val="0"/>
        <w:spacing w:after="360"/>
        <w:ind w:firstLine="2835"/>
        <w:jc w:val="both"/>
        <w:rPr>
          <w:b/>
          <w:sz w:val="24"/>
          <w:szCs w:val="24"/>
          <w:u w:val="single"/>
        </w:rPr>
      </w:pPr>
      <w:r w:rsidRPr="00F9234D">
        <w:rPr>
          <w:b/>
          <w:sz w:val="24"/>
          <w:szCs w:val="24"/>
          <w:u w:val="single"/>
        </w:rPr>
        <w:t>Sur la forme :</w:t>
      </w:r>
    </w:p>
    <w:p w:rsidR="00A70A6C" w:rsidRDefault="00A70A6C" w:rsidP="00A70A6C">
      <w:pPr>
        <w:pStyle w:val="NormalWeb"/>
        <w:spacing w:before="0" w:beforeAutospacing="0" w:after="360" w:afterAutospacing="0"/>
        <w:ind w:left="1701" w:firstLine="1134"/>
        <w:jc w:val="both"/>
      </w:pPr>
      <w:r w:rsidRPr="00832F35">
        <w:t>Attendu qu’à l’appui de sa requête</w:t>
      </w:r>
      <w:r>
        <w:t xml:space="preserve">, </w:t>
      </w:r>
      <w:r w:rsidRPr="00832F35">
        <w:t>l’appelant fait valoir que la juridiction</w:t>
      </w:r>
      <w:r w:rsidR="00472E8C">
        <w:t xml:space="preserve"> </w:t>
      </w:r>
      <w:r>
        <w:t>s’est bornée « </w:t>
      </w:r>
      <w:r w:rsidRPr="009F279A">
        <w:rPr>
          <w:i/>
        </w:rPr>
        <w:t>à affirmer que la prescription de l’action en recouvrement est intervenue « au plus tard » le 1</w:t>
      </w:r>
      <w:r w:rsidRPr="009F279A">
        <w:rPr>
          <w:i/>
          <w:vertAlign w:val="superscript"/>
        </w:rPr>
        <w:t>er</w:t>
      </w:r>
      <w:r>
        <w:rPr>
          <w:i/>
          <w:vertAlign w:val="superscript"/>
        </w:rPr>
        <w:t> </w:t>
      </w:r>
      <w:r w:rsidRPr="009F279A">
        <w:rPr>
          <w:i/>
        </w:rPr>
        <w:t>octobre 2007 sans dire, année après année, à quelle date les titres avaient été atteints par la prescription </w:t>
      </w:r>
      <w:r w:rsidRPr="003923F5">
        <w:t>»</w:t>
      </w:r>
      <w:r w:rsidRPr="009F279A">
        <w:rPr>
          <w:i/>
        </w:rPr>
        <w:t> </w:t>
      </w:r>
      <w:r w:rsidRPr="00832F35">
        <w:t xml:space="preserve">; </w:t>
      </w:r>
      <w:r>
        <w:t>qu’ainsi la chambre territoriale des comptes n’aurait pas suffisamment motivé sa décision ;</w:t>
      </w:r>
    </w:p>
    <w:p w:rsidR="00A70A6C" w:rsidRPr="00360477" w:rsidRDefault="00A70A6C" w:rsidP="00A70A6C">
      <w:pPr>
        <w:pStyle w:val="NormalWeb"/>
        <w:spacing w:before="0" w:beforeAutospacing="0" w:after="360" w:afterAutospacing="0"/>
        <w:ind w:left="1701" w:firstLine="1134"/>
        <w:jc w:val="both"/>
      </w:pPr>
      <w:r>
        <w:t>Considérant que le jugement attaqué établit que les titres en cause ont été atteints par la prescription durant la gestion du comptable</w:t>
      </w:r>
      <w:r w:rsidR="00472E8C">
        <w:t xml:space="preserve"> </w:t>
      </w:r>
      <w:r>
        <w:t>et qu’ils sont devenus irrécouvrables du fait de l’inaction du comptable</w:t>
      </w:r>
      <w:r w:rsidR="00472E8C">
        <w:t> </w:t>
      </w:r>
      <w:r>
        <w:t xml:space="preserve">; qu’ainsi le défaut de motivation du jugement allégué est sans fondement et que le moyen manque en fait et en droit ; </w:t>
      </w:r>
    </w:p>
    <w:p w:rsidR="00A70A6C" w:rsidRDefault="00A70A6C" w:rsidP="00A70A6C">
      <w:pPr>
        <w:autoSpaceDE w:val="0"/>
        <w:autoSpaceDN w:val="0"/>
        <w:adjustRightInd w:val="0"/>
        <w:spacing w:after="360"/>
        <w:ind w:firstLine="2835"/>
        <w:jc w:val="both"/>
        <w:rPr>
          <w:b/>
          <w:sz w:val="24"/>
          <w:szCs w:val="24"/>
          <w:u w:val="single"/>
        </w:rPr>
      </w:pPr>
      <w:r w:rsidRPr="00360477">
        <w:rPr>
          <w:b/>
          <w:sz w:val="24"/>
          <w:szCs w:val="24"/>
          <w:u w:val="single"/>
        </w:rPr>
        <w:lastRenderedPageBreak/>
        <w:t xml:space="preserve">Sur le fond : </w:t>
      </w:r>
    </w:p>
    <w:p w:rsidR="00A70A6C" w:rsidRPr="00C2356F" w:rsidRDefault="00A70A6C" w:rsidP="00A70A6C">
      <w:pPr>
        <w:pStyle w:val="Corpsdetexte"/>
        <w:spacing w:after="360"/>
        <w:ind w:left="1701" w:firstLine="1134"/>
        <w:rPr>
          <w:i/>
          <w:lang w:val="fr-FR"/>
        </w:rPr>
      </w:pPr>
      <w:r w:rsidRPr="00B635D7">
        <w:rPr>
          <w:i/>
        </w:rPr>
        <w:t>Sur l’effet des décharges par la chambre territoriale des comptes</w:t>
      </w:r>
    </w:p>
    <w:p w:rsidR="00A70A6C" w:rsidRDefault="00A70A6C" w:rsidP="00A70A6C">
      <w:pPr>
        <w:pStyle w:val="NormalWeb"/>
        <w:spacing w:before="0" w:beforeAutospacing="0" w:after="360" w:afterAutospacing="0"/>
        <w:ind w:left="1701" w:firstLine="1134"/>
        <w:jc w:val="both"/>
      </w:pPr>
      <w:r w:rsidRPr="00832F35">
        <w:t>Attendu qu’à l’appui de sa requête</w:t>
      </w:r>
      <w:r>
        <w:t xml:space="preserve">, </w:t>
      </w:r>
      <w:r w:rsidRPr="00832F35">
        <w:t>l’appelant fait valoir que la juridiction</w:t>
      </w:r>
      <w:r w:rsidR="00472E8C">
        <w:t xml:space="preserve"> </w:t>
      </w:r>
      <w:r>
        <w:t xml:space="preserve">avait précédemment rendu des décisions de décharge sur les comptes de l’ILM des exercices 1993 à 2005 ; que, selon lui, </w:t>
      </w:r>
      <w:r w:rsidRPr="00B635D7">
        <w:rPr>
          <w:i/>
        </w:rPr>
        <w:t>« même si la prescription de l’action en recouvrement du comptable pouvait être de trente ans</w:t>
      </w:r>
      <w:r>
        <w:rPr>
          <w:i/>
        </w:rPr>
        <w:t> </w:t>
      </w:r>
      <w:r w:rsidRPr="00105E0C">
        <w:t>»</w:t>
      </w:r>
      <w:r w:rsidRPr="00B635D7">
        <w:rPr>
          <w:i/>
        </w:rPr>
        <w:t>,</w:t>
      </w:r>
      <w:r>
        <w:rPr>
          <w:i/>
        </w:rPr>
        <w:t xml:space="preserve"> </w:t>
      </w:r>
      <w:r>
        <w:t>le recouvrement des créances prises en charge entre 1993 et 1999 était définitivement compromis avant le</w:t>
      </w:r>
      <w:r w:rsidR="00472E8C">
        <w:t xml:space="preserve"> </w:t>
      </w:r>
      <w:r>
        <w:t>2 novembre 2005, date à laquelle débute la période sous revue ; qu’en conséquence il</w:t>
      </w:r>
      <w:r w:rsidR="00472E8C">
        <w:t xml:space="preserve"> </w:t>
      </w:r>
      <w:r>
        <w:t>estime que la juridiction avait épuisé sa juridiction pour les faits survenus avant cette</w:t>
      </w:r>
      <w:r w:rsidR="00472E8C">
        <w:t xml:space="preserve"> </w:t>
      </w:r>
      <w:r>
        <w:t>date ;</w:t>
      </w:r>
    </w:p>
    <w:p w:rsidR="00A70A6C" w:rsidRDefault="00A70A6C" w:rsidP="00A70A6C">
      <w:pPr>
        <w:pStyle w:val="NormalWeb"/>
        <w:spacing w:before="0" w:beforeAutospacing="0" w:after="360" w:afterAutospacing="0"/>
        <w:ind w:left="1701" w:firstLine="1134"/>
        <w:jc w:val="both"/>
      </w:pPr>
      <w:r>
        <w:t>Considérant, en premier lieu, que l’article 165.2 de la délibération</w:t>
      </w:r>
      <w:r w:rsidR="006E0C9E">
        <w:t xml:space="preserve"> </w:t>
      </w:r>
      <w:r>
        <w:t>n° 65-205</w:t>
      </w:r>
      <w:r w:rsidR="00E85039">
        <w:t> </w:t>
      </w:r>
      <w:r>
        <w:t>AT du 23 novembre 1995 modifiée portant adoption de la réglementation budgétaire, comptable et financière des établissements publics de la Polynésie française dispose qu’</w:t>
      </w:r>
      <w:r w:rsidRPr="00746EE5">
        <w:rPr>
          <w:i/>
        </w:rPr>
        <w:t>«en l’absence de dispositions particulières,</w:t>
      </w:r>
      <w:r>
        <w:rPr>
          <w:i/>
        </w:rPr>
        <w:t xml:space="preserve"> </w:t>
      </w:r>
      <w:r w:rsidRPr="00746EE5">
        <w:rPr>
          <w:i/>
        </w:rPr>
        <w:t>les produits des établissements publics sont recouvrés comme en matière d’impôts directs de la Polynésie française. » </w:t>
      </w:r>
      <w:r w:rsidRPr="001D1F39">
        <w:t>;</w:t>
      </w:r>
      <w:r>
        <w:rPr>
          <w:i/>
        </w:rPr>
        <w:t xml:space="preserve"> </w:t>
      </w:r>
      <w:r w:rsidRPr="00746EE5">
        <w:t>que l’article</w:t>
      </w:r>
      <w:r w:rsidR="00472E8C">
        <w:t xml:space="preserve"> </w:t>
      </w:r>
      <w:r w:rsidRPr="00746EE5">
        <w:t>719-1 du code des impôts de la Polynésie française</w:t>
      </w:r>
      <w:r>
        <w:t>,</w:t>
      </w:r>
      <w:r w:rsidRPr="00746EE5">
        <w:t xml:space="preserve"> </w:t>
      </w:r>
      <w:r>
        <w:t>dans sa rédaction issue</w:t>
      </w:r>
      <w:r w:rsidRPr="00F9234D">
        <w:t xml:space="preserve"> </w:t>
      </w:r>
      <w:r>
        <w:t xml:space="preserve">de la </w:t>
      </w:r>
      <w:r w:rsidRPr="00F9234D">
        <w:t>délibération n° 2003-3 APF du 9 janvier 2003</w:t>
      </w:r>
      <w:r>
        <w:t>,</w:t>
      </w:r>
      <w:r w:rsidRPr="00F9234D">
        <w:t xml:space="preserve"> </w:t>
      </w:r>
      <w:r>
        <w:t>précise</w:t>
      </w:r>
      <w:r w:rsidRPr="00746EE5">
        <w:t xml:space="preserve"> </w:t>
      </w:r>
      <w:r w:rsidR="00472E8C" w:rsidRPr="00472E8C">
        <w:t>que</w:t>
      </w:r>
      <w:r w:rsidR="00472E8C" w:rsidRPr="00746EE5">
        <w:rPr>
          <w:i/>
        </w:rPr>
        <w:t xml:space="preserve"> </w:t>
      </w:r>
      <w:r w:rsidRPr="00472E8C">
        <w:t>« </w:t>
      </w:r>
      <w:r w:rsidRPr="00746EE5">
        <w:rPr>
          <w:i/>
        </w:rPr>
        <w:t>les comptables chargés du recouvrement qui n’ont fait aucune poursuite contre un contribuable retardataire dans un délai de 4 années consécutives à partir du jour de la date de mise en recouvrement perdent leur recours et sont déchus de tout droit et de toute action contre le redevable </w:t>
      </w:r>
      <w:r w:rsidRPr="00472E8C">
        <w:t>»</w:t>
      </w:r>
      <w:r>
        <w:rPr>
          <w:i/>
        </w:rPr>
        <w:t> </w:t>
      </w:r>
      <w:r w:rsidRPr="001D1F39">
        <w:t>;</w:t>
      </w:r>
      <w:r>
        <w:t xml:space="preserve"> </w:t>
      </w:r>
      <w:r w:rsidRPr="00C2356F">
        <w:t>qu</w:t>
      </w:r>
      <w:r>
        <w:t>’aux termes de l’article</w:t>
      </w:r>
      <w:r w:rsidR="001C473A">
        <w:t> </w:t>
      </w:r>
      <w:r>
        <w:t>25 de la délibération précitée</w:t>
      </w:r>
      <w:r w:rsidRPr="00C2356F">
        <w:t xml:space="preserve"> ce nouveau délai de prescription </w:t>
      </w:r>
      <w:r>
        <w:t xml:space="preserve">a pris effet </w:t>
      </w:r>
      <w:r w:rsidRPr="00C2356F">
        <w:t>à la date d’entrée en vigueur de la délibération, soit le 1</w:t>
      </w:r>
      <w:r w:rsidRPr="00C2356F">
        <w:rPr>
          <w:vertAlign w:val="superscript"/>
        </w:rPr>
        <w:t>er </w:t>
      </w:r>
      <w:r>
        <w:t>octobre</w:t>
      </w:r>
      <w:r w:rsidR="001C473A">
        <w:t> </w:t>
      </w:r>
      <w:r>
        <w:t>2003</w:t>
      </w:r>
      <w:r w:rsidRPr="00C2356F">
        <w:t> ;</w:t>
      </w:r>
      <w:r>
        <w:rPr>
          <w:i/>
        </w:rPr>
        <w:t xml:space="preserve"> </w:t>
      </w:r>
      <w:r w:rsidRPr="00105E0C">
        <w:t>qu’il résulte des dispositions ainsi rappelées que</w:t>
      </w:r>
      <w:r>
        <w:t>,</w:t>
      </w:r>
      <w:r w:rsidRPr="00105E0C">
        <w:t xml:space="preserve"> pour</w:t>
      </w:r>
      <w:r w:rsidRPr="00C2356F">
        <w:t xml:space="preserve"> tous les titres de recettes antérieurs au 1</w:t>
      </w:r>
      <w:r w:rsidRPr="00C2356F">
        <w:rPr>
          <w:vertAlign w:val="superscript"/>
        </w:rPr>
        <w:t>er</w:t>
      </w:r>
      <w:r w:rsidRPr="00C2356F">
        <w:t xml:space="preserve"> octobre 2003 </w:t>
      </w:r>
      <w:r>
        <w:t xml:space="preserve">et </w:t>
      </w:r>
      <w:r w:rsidRPr="00C2356F">
        <w:t>qui n’avaient pas fait l’objet d’actes de poursuites ou de règlement partiel avant cette date, la date de prescription est devenue le 2</w:t>
      </w:r>
      <w:r w:rsidR="001C473A">
        <w:t> </w:t>
      </w:r>
      <w:r w:rsidRPr="00C2356F">
        <w:t>octobre</w:t>
      </w:r>
      <w:r w:rsidR="001C473A">
        <w:t> </w:t>
      </w:r>
      <w:r w:rsidRPr="00C2356F">
        <w:t>2007</w:t>
      </w:r>
      <w:r>
        <w:t xml:space="preserve"> ; </w:t>
      </w:r>
      <w:r w:rsidRPr="00C2356F">
        <w:t>qu</w:t>
      </w:r>
      <w:r>
        <w:t>’en conséquenc</w:t>
      </w:r>
      <w:r w:rsidRPr="00C2356F">
        <w:t>e c</w:t>
      </w:r>
      <w:r>
        <w:t>’est à tort que le comptable</w:t>
      </w:r>
      <w:r w:rsidRPr="00C2356F">
        <w:t xml:space="preserve"> fonde son argumentaire sur l’application de la prescription trentenaire</w:t>
      </w:r>
      <w:r w:rsidR="00472E8C">
        <w:t> </w:t>
      </w:r>
      <w:r w:rsidRPr="00C2356F">
        <w:t>;</w:t>
      </w:r>
    </w:p>
    <w:p w:rsidR="00A70A6C" w:rsidRPr="00105E0C" w:rsidRDefault="00A70A6C" w:rsidP="00A70A6C">
      <w:pPr>
        <w:pStyle w:val="NormalWeb"/>
        <w:spacing w:before="0" w:beforeAutospacing="0" w:after="360" w:afterAutospacing="0"/>
        <w:ind w:left="1701" w:firstLine="1134"/>
        <w:jc w:val="both"/>
      </w:pPr>
      <w:r>
        <w:t>Considérant, en second lieu, que les décisions de décharge rendues par la juridiction ont pour conséquence d’empêcher la mise en jeu de la responsabilité du comptable à raison de faits générateurs survenus pendant les exercices jugés ; qu’en</w:t>
      </w:r>
      <w:r w:rsidR="00472E8C">
        <w:t xml:space="preserve"> </w:t>
      </w:r>
      <w:r>
        <w:t>matière de recette, la date du fait générateur de la responsabilité du comptable n’est pas celle de la prise en charge du titre mais celle à laquelle la créance est devenue irrécouvrable du fait de l’inaction du comptable ; qu’en l’espèce il est constant que les titres en cause ont été atteints par la prescription au cours de la période sous revue et non de celle pour laquelle les comptables avaient été déchargés ; qu’en conséquence le</w:t>
      </w:r>
      <w:r w:rsidR="00472E8C">
        <w:t xml:space="preserve"> </w:t>
      </w:r>
      <w:r>
        <w:t>moyen manque en droit ;</w:t>
      </w:r>
    </w:p>
    <w:p w:rsidR="00A70A6C" w:rsidRPr="00301039" w:rsidRDefault="006E761A" w:rsidP="006E761A">
      <w:pPr>
        <w:pStyle w:val="NormalWeb"/>
        <w:spacing w:before="0" w:beforeAutospacing="0" w:after="480" w:afterAutospacing="0"/>
        <w:ind w:left="1701" w:firstLine="1134"/>
        <w:jc w:val="both"/>
        <w:rPr>
          <w:i/>
        </w:rPr>
      </w:pPr>
      <w:r>
        <w:rPr>
          <w:i/>
        </w:rPr>
        <w:br w:type="page"/>
      </w:r>
      <w:r w:rsidR="00A70A6C" w:rsidRPr="00B367F8">
        <w:rPr>
          <w:i/>
        </w:rPr>
        <w:lastRenderedPageBreak/>
        <w:t>Sur les réserves effectuées</w:t>
      </w:r>
      <w:r w:rsidR="00A70A6C">
        <w:rPr>
          <w:i/>
        </w:rPr>
        <w:t xml:space="preserve"> au moment de la prise de fonction</w:t>
      </w:r>
    </w:p>
    <w:p w:rsidR="00A70A6C" w:rsidRDefault="00A70A6C" w:rsidP="006E761A">
      <w:pPr>
        <w:pStyle w:val="Corpsdetexte"/>
        <w:spacing w:after="480"/>
        <w:ind w:left="1701" w:firstLine="1134"/>
      </w:pPr>
      <w:r>
        <w:rPr>
          <w:lang w:val="fr-FR"/>
        </w:rPr>
        <w:t>Attendu que le requérant fait valoir qu’il a émis</w:t>
      </w:r>
      <w:r>
        <w:t xml:space="preserve"> des réserves s</w:t>
      </w:r>
      <w:r>
        <w:rPr>
          <w:lang w:val="fr-FR"/>
        </w:rPr>
        <w:t xml:space="preserve">ur </w:t>
      </w:r>
      <w:r>
        <w:t>la gestion de son prédécesseur lors de sa prise de fonctions</w:t>
      </w:r>
      <w:r w:rsidR="00472E8C">
        <w:rPr>
          <w:lang w:val="fr-FR"/>
        </w:rPr>
        <w:t> </w:t>
      </w:r>
      <w:r>
        <w:t>;</w:t>
      </w:r>
    </w:p>
    <w:p w:rsidR="00A70A6C" w:rsidRDefault="00A70A6C" w:rsidP="006E761A">
      <w:pPr>
        <w:pStyle w:val="Corpsdetexte"/>
        <w:spacing w:after="480"/>
        <w:ind w:left="1701" w:firstLine="1134"/>
      </w:pPr>
      <w:r>
        <w:t xml:space="preserve">Considérant que </w:t>
      </w:r>
      <w:r>
        <w:rPr>
          <w:lang w:val="fr-FR"/>
        </w:rPr>
        <w:t>la formulation de réserves, même à les supposer suffisamment motivées, n’est pas de nature à dispenser le comptable de son obligation d’agir pour obtenir le recouvrement des créances dès lors que celui-ci n’était pas manifestement compromis à la date de sa prise de fonction ; qu’il est constant, en</w:t>
      </w:r>
      <w:r w:rsidR="00472E8C">
        <w:rPr>
          <w:lang w:val="fr-FR"/>
        </w:rPr>
        <w:t xml:space="preserve"> </w:t>
      </w:r>
      <w:r>
        <w:rPr>
          <w:lang w:val="fr-FR"/>
        </w:rPr>
        <w:t>l’espèce, que lesdites créances n’étaient pas alors atteintes par la prescription ; qu’ainsi le moyen manque en droit ;</w:t>
      </w:r>
    </w:p>
    <w:p w:rsidR="00A70A6C" w:rsidRPr="00EF71F8" w:rsidRDefault="00A70A6C" w:rsidP="006E761A">
      <w:pPr>
        <w:pStyle w:val="Corpsdetexte"/>
        <w:spacing w:after="480"/>
        <w:ind w:firstLine="2835"/>
        <w:rPr>
          <w:i/>
          <w:lang w:val="fr-FR"/>
        </w:rPr>
      </w:pPr>
      <w:r w:rsidRPr="00746EE5">
        <w:rPr>
          <w:i/>
        </w:rPr>
        <w:t xml:space="preserve">Sur </w:t>
      </w:r>
      <w:r>
        <w:rPr>
          <w:i/>
          <w:lang w:val="fr-FR"/>
        </w:rPr>
        <w:t>les démarches effectuées</w:t>
      </w:r>
    </w:p>
    <w:p w:rsidR="00A70A6C" w:rsidRDefault="00A70A6C" w:rsidP="006E761A">
      <w:pPr>
        <w:pStyle w:val="Corpsdetexte"/>
        <w:spacing w:after="480"/>
        <w:ind w:left="1701" w:firstLine="1134"/>
        <w:rPr>
          <w:lang w:val="fr-FR"/>
        </w:rPr>
      </w:pPr>
      <w:r>
        <w:rPr>
          <w:lang w:val="fr-FR"/>
        </w:rPr>
        <w:t>Attendu que le requérant fait valoir qu’il n’est pas demeuré inactif et qu’il</w:t>
      </w:r>
      <w:r w:rsidR="00472E8C">
        <w:rPr>
          <w:lang w:val="fr-FR"/>
        </w:rPr>
        <w:t xml:space="preserve"> </w:t>
      </w:r>
      <w:r>
        <w:rPr>
          <w:lang w:val="fr-FR"/>
        </w:rPr>
        <w:t>a</w:t>
      </w:r>
      <w:r w:rsidR="00472E8C">
        <w:rPr>
          <w:lang w:val="fr-FR"/>
        </w:rPr>
        <w:t xml:space="preserve"> </w:t>
      </w:r>
      <w:r>
        <w:rPr>
          <w:lang w:val="fr-FR"/>
        </w:rPr>
        <w:t>en particulier alerté le trésorier-payeur général de la situation des titres dont la</w:t>
      </w:r>
      <w:r w:rsidR="00472E8C">
        <w:rPr>
          <w:lang w:val="fr-FR"/>
        </w:rPr>
        <w:t xml:space="preserve"> </w:t>
      </w:r>
      <w:r>
        <w:rPr>
          <w:lang w:val="fr-FR"/>
        </w:rPr>
        <w:t>Caisse de prévoyance sociale était débitrice ;</w:t>
      </w:r>
    </w:p>
    <w:p w:rsidR="00A70A6C" w:rsidRDefault="00A70A6C" w:rsidP="006E761A">
      <w:pPr>
        <w:spacing w:after="480"/>
        <w:ind w:left="1701" w:firstLine="1134"/>
        <w:jc w:val="both"/>
        <w:rPr>
          <w:sz w:val="24"/>
          <w:szCs w:val="24"/>
        </w:rPr>
      </w:pPr>
      <w:r>
        <w:rPr>
          <w:sz w:val="24"/>
          <w:szCs w:val="24"/>
        </w:rPr>
        <w:t>Considérant que la démarche invoquée par le comptable ne constitue pas l’un des actes d’exécution forcée interruptifs de prescription prévus par l’article</w:t>
      </w:r>
      <w:r w:rsidR="00472E8C">
        <w:rPr>
          <w:sz w:val="24"/>
          <w:szCs w:val="24"/>
        </w:rPr>
        <w:t xml:space="preserve"> </w:t>
      </w:r>
      <w:r>
        <w:rPr>
          <w:sz w:val="24"/>
          <w:szCs w:val="24"/>
        </w:rPr>
        <w:t>2244 du</w:t>
      </w:r>
      <w:r w:rsidR="001C473A">
        <w:rPr>
          <w:sz w:val="24"/>
          <w:szCs w:val="24"/>
        </w:rPr>
        <w:t xml:space="preserve"> </w:t>
      </w:r>
      <w:r>
        <w:rPr>
          <w:sz w:val="24"/>
          <w:szCs w:val="24"/>
        </w:rPr>
        <w:t>code civil, applicables, comme en l’espèce, aux personnes de droit privé ; qu’au surplus cette démarche est postérieure à la date de prescription</w:t>
      </w:r>
      <w:r w:rsidR="00472E8C">
        <w:rPr>
          <w:sz w:val="24"/>
          <w:szCs w:val="24"/>
        </w:rPr>
        <w:t xml:space="preserve"> </w:t>
      </w:r>
      <w:r>
        <w:rPr>
          <w:sz w:val="24"/>
          <w:szCs w:val="24"/>
        </w:rPr>
        <w:t>et n’a pas été adressée au</w:t>
      </w:r>
      <w:r w:rsidR="00472E8C">
        <w:rPr>
          <w:sz w:val="24"/>
          <w:szCs w:val="24"/>
        </w:rPr>
        <w:t xml:space="preserve"> </w:t>
      </w:r>
      <w:r>
        <w:rPr>
          <w:sz w:val="24"/>
          <w:szCs w:val="24"/>
        </w:rPr>
        <w:t>redevable ; qu’ainsi elle ne saurait tenir lieu de diligence adéquate, complète et</w:t>
      </w:r>
      <w:r w:rsidR="00472E8C">
        <w:rPr>
          <w:sz w:val="24"/>
          <w:szCs w:val="24"/>
        </w:rPr>
        <w:t xml:space="preserve"> </w:t>
      </w:r>
      <w:bookmarkStart w:id="0" w:name="_GoBack"/>
      <w:bookmarkEnd w:id="0"/>
      <w:r>
        <w:rPr>
          <w:sz w:val="24"/>
          <w:szCs w:val="24"/>
        </w:rPr>
        <w:t xml:space="preserve">rapide ; que le moyen manque donc en droit ; </w:t>
      </w:r>
    </w:p>
    <w:p w:rsidR="00A70A6C" w:rsidRPr="00742CE3" w:rsidRDefault="00A70A6C" w:rsidP="00A70A6C">
      <w:pPr>
        <w:spacing w:after="480"/>
        <w:ind w:left="1701" w:firstLine="1134"/>
        <w:jc w:val="both"/>
        <w:rPr>
          <w:sz w:val="24"/>
          <w:szCs w:val="24"/>
        </w:rPr>
      </w:pPr>
      <w:r w:rsidRPr="00742CE3">
        <w:rPr>
          <w:sz w:val="24"/>
          <w:szCs w:val="24"/>
        </w:rPr>
        <w:t>Par ces motifs,</w:t>
      </w:r>
    </w:p>
    <w:p w:rsidR="00A70A6C" w:rsidRPr="00742CE3" w:rsidRDefault="00A70A6C" w:rsidP="00A70A6C">
      <w:pPr>
        <w:spacing w:after="480"/>
        <w:ind w:left="1701"/>
        <w:jc w:val="center"/>
        <w:rPr>
          <w:sz w:val="24"/>
          <w:szCs w:val="24"/>
        </w:rPr>
      </w:pPr>
      <w:r>
        <w:rPr>
          <w:sz w:val="24"/>
          <w:szCs w:val="24"/>
        </w:rPr>
        <w:t>DECIDE</w:t>
      </w:r>
      <w:r w:rsidRPr="00742CE3">
        <w:rPr>
          <w:sz w:val="24"/>
          <w:szCs w:val="24"/>
        </w:rPr>
        <w:t> :</w:t>
      </w:r>
    </w:p>
    <w:p w:rsidR="00A70A6C" w:rsidRPr="00D30A15" w:rsidRDefault="00A70A6C" w:rsidP="006E761A">
      <w:pPr>
        <w:spacing w:after="600"/>
        <w:ind w:left="1701" w:firstLine="1134"/>
        <w:jc w:val="both"/>
        <w:rPr>
          <w:sz w:val="24"/>
          <w:szCs w:val="24"/>
        </w:rPr>
      </w:pPr>
      <w:r w:rsidRPr="00AA4D03">
        <w:rPr>
          <w:sz w:val="24"/>
          <w:szCs w:val="24"/>
        </w:rPr>
        <w:t>Article </w:t>
      </w:r>
      <w:r>
        <w:rPr>
          <w:sz w:val="24"/>
          <w:szCs w:val="24"/>
        </w:rPr>
        <w:t>unique.</w:t>
      </w:r>
      <w:r w:rsidR="001C473A">
        <w:rPr>
          <w:sz w:val="24"/>
          <w:szCs w:val="24"/>
        </w:rPr>
        <w:t> </w:t>
      </w:r>
      <w:r>
        <w:rPr>
          <w:sz w:val="24"/>
          <w:szCs w:val="24"/>
        </w:rPr>
        <w:t>–</w:t>
      </w:r>
      <w:r w:rsidR="001C473A">
        <w:rPr>
          <w:sz w:val="24"/>
          <w:szCs w:val="24"/>
        </w:rPr>
        <w:t> </w:t>
      </w:r>
      <w:r w:rsidRPr="00C06CF0">
        <w:rPr>
          <w:sz w:val="24"/>
        </w:rPr>
        <w:t xml:space="preserve">La requête </w:t>
      </w:r>
      <w:r>
        <w:rPr>
          <w:sz w:val="24"/>
        </w:rPr>
        <w:t>de M.</w:t>
      </w:r>
      <w:r w:rsidR="001C473A">
        <w:rPr>
          <w:sz w:val="24"/>
        </w:rPr>
        <w:t> </w:t>
      </w:r>
      <w:r w:rsidR="006E0C9E">
        <w:rPr>
          <w:sz w:val="24"/>
        </w:rPr>
        <w:t>X</w:t>
      </w:r>
      <w:r>
        <w:rPr>
          <w:sz w:val="24"/>
        </w:rPr>
        <w:t xml:space="preserve"> </w:t>
      </w:r>
      <w:r w:rsidRPr="00C06CF0">
        <w:rPr>
          <w:sz w:val="24"/>
        </w:rPr>
        <w:t>est rejetée.</w:t>
      </w:r>
    </w:p>
    <w:p w:rsidR="00A70A6C" w:rsidRPr="00742CE3" w:rsidRDefault="00A70A6C" w:rsidP="00A70A6C">
      <w:pPr>
        <w:spacing w:after="480"/>
        <w:ind w:left="1701"/>
        <w:jc w:val="center"/>
        <w:rPr>
          <w:sz w:val="24"/>
          <w:szCs w:val="24"/>
        </w:rPr>
      </w:pPr>
      <w:r w:rsidRPr="00742CE3">
        <w:rPr>
          <w:sz w:val="24"/>
          <w:szCs w:val="24"/>
        </w:rPr>
        <w:t>-----------</w:t>
      </w:r>
    </w:p>
    <w:p w:rsidR="00A70A6C" w:rsidRDefault="00B419CF" w:rsidP="00692334">
      <w:pPr>
        <w:spacing w:after="480"/>
        <w:ind w:left="1701" w:firstLine="1134"/>
        <w:jc w:val="both"/>
        <w:rPr>
          <w:sz w:val="24"/>
          <w:szCs w:val="24"/>
        </w:rPr>
      </w:pPr>
      <w:r>
        <w:rPr>
          <w:sz w:val="24"/>
          <w:szCs w:val="24"/>
        </w:rPr>
        <w:br w:type="page"/>
      </w:r>
      <w:r w:rsidR="00A70A6C" w:rsidRPr="00742CE3">
        <w:rPr>
          <w:sz w:val="24"/>
          <w:szCs w:val="24"/>
        </w:rPr>
        <w:lastRenderedPageBreak/>
        <w:t>Fait et jugé en la Cour des comptes, quatrième c</w:t>
      </w:r>
      <w:r w:rsidR="00E85039">
        <w:rPr>
          <w:sz w:val="24"/>
          <w:szCs w:val="24"/>
        </w:rPr>
        <w:t>hambre, première section. Présents :</w:t>
      </w:r>
      <w:r w:rsidR="001C473A">
        <w:rPr>
          <w:sz w:val="24"/>
          <w:szCs w:val="24"/>
        </w:rPr>
        <w:t> </w:t>
      </w:r>
      <w:r w:rsidR="00E85039">
        <w:rPr>
          <w:sz w:val="24"/>
          <w:szCs w:val="24"/>
        </w:rPr>
        <w:t>M</w:t>
      </w:r>
      <w:r w:rsidR="00A70A6C">
        <w:rPr>
          <w:sz w:val="24"/>
          <w:szCs w:val="24"/>
        </w:rPr>
        <w:t>M.</w:t>
      </w:r>
      <w:r w:rsidR="00E85039">
        <w:rPr>
          <w:sz w:val="24"/>
          <w:szCs w:val="24"/>
        </w:rPr>
        <w:t> </w:t>
      </w:r>
      <w:r w:rsidR="00A70A6C">
        <w:rPr>
          <w:sz w:val="24"/>
          <w:szCs w:val="24"/>
        </w:rPr>
        <w:t xml:space="preserve">Bayle, président, </w:t>
      </w:r>
      <w:r w:rsidR="00E85039">
        <w:rPr>
          <w:sz w:val="24"/>
          <w:szCs w:val="24"/>
        </w:rPr>
        <w:t xml:space="preserve">Maistre, président de section, Ganser, Lafaure, Vachia, Mmes Dos Reis, Gadriot-Renard et M. Geoffroy, </w:t>
      </w:r>
      <w:r w:rsidR="00A70A6C" w:rsidRPr="00742CE3">
        <w:rPr>
          <w:sz w:val="24"/>
          <w:szCs w:val="24"/>
        </w:rPr>
        <w:t>conseillers maîtres.</w:t>
      </w:r>
    </w:p>
    <w:p w:rsidR="00A70A6C" w:rsidRPr="00742CE3" w:rsidRDefault="00A70A6C" w:rsidP="00A70A6C">
      <w:pPr>
        <w:spacing w:after="480"/>
        <w:ind w:left="1701" w:firstLine="1134"/>
        <w:jc w:val="both"/>
        <w:rPr>
          <w:sz w:val="24"/>
          <w:szCs w:val="24"/>
        </w:rPr>
      </w:pPr>
      <w:r w:rsidRPr="00742CE3">
        <w:rPr>
          <w:sz w:val="24"/>
          <w:szCs w:val="24"/>
        </w:rPr>
        <w:t xml:space="preserve">Signé : </w:t>
      </w:r>
      <w:r>
        <w:rPr>
          <w:sz w:val="24"/>
          <w:szCs w:val="24"/>
        </w:rPr>
        <w:t xml:space="preserve">Bayle, président, </w:t>
      </w:r>
      <w:r w:rsidRPr="00742CE3">
        <w:rPr>
          <w:sz w:val="24"/>
          <w:szCs w:val="24"/>
        </w:rPr>
        <w:t xml:space="preserve">et </w:t>
      </w:r>
      <w:r w:rsidR="00E85039">
        <w:rPr>
          <w:sz w:val="24"/>
          <w:szCs w:val="24"/>
        </w:rPr>
        <w:t>Le Baron</w:t>
      </w:r>
      <w:r w:rsidRPr="00742CE3">
        <w:rPr>
          <w:sz w:val="24"/>
          <w:szCs w:val="24"/>
        </w:rPr>
        <w:t>, greffier.</w:t>
      </w:r>
    </w:p>
    <w:p w:rsidR="00A70A6C" w:rsidRPr="00742CE3" w:rsidRDefault="00A70A6C" w:rsidP="00A70A6C">
      <w:pPr>
        <w:spacing w:after="480"/>
        <w:ind w:left="1701" w:firstLine="1134"/>
        <w:jc w:val="both"/>
        <w:rPr>
          <w:sz w:val="24"/>
          <w:szCs w:val="24"/>
        </w:rPr>
      </w:pPr>
      <w:r w:rsidRPr="00742CE3">
        <w:rPr>
          <w:sz w:val="24"/>
          <w:szCs w:val="24"/>
        </w:rPr>
        <w:t>Collationné, certifié conforme à la minute étant au greffe de la Cour des comptes et délivré par moi, secrétaire général.</w:t>
      </w:r>
    </w:p>
    <w:p w:rsidR="00A70A6C" w:rsidRPr="00742CE3" w:rsidRDefault="00A70A6C" w:rsidP="00E85039">
      <w:pPr>
        <w:ind w:left="540" w:firstLine="5130"/>
        <w:jc w:val="center"/>
        <w:rPr>
          <w:rFonts w:ascii="Times New Roman Gras" w:hAnsi="Times New Roman Gras"/>
          <w:b/>
          <w:bCs/>
          <w:sz w:val="24"/>
        </w:rPr>
      </w:pPr>
      <w:r w:rsidRPr="00742CE3">
        <w:rPr>
          <w:rFonts w:ascii="Times New Roman Gras" w:hAnsi="Times New Roman Gras"/>
          <w:b/>
          <w:bCs/>
          <w:sz w:val="24"/>
        </w:rPr>
        <w:t>Pour le Secrétaire général</w:t>
      </w:r>
    </w:p>
    <w:p w:rsidR="00A70A6C" w:rsidRPr="00742CE3" w:rsidRDefault="00A70A6C" w:rsidP="00E85039">
      <w:pPr>
        <w:ind w:left="540" w:firstLine="5130"/>
        <w:jc w:val="center"/>
        <w:rPr>
          <w:rFonts w:ascii="Times New Roman Gras" w:hAnsi="Times New Roman Gras"/>
          <w:b/>
          <w:bCs/>
          <w:sz w:val="24"/>
        </w:rPr>
      </w:pPr>
      <w:r w:rsidRPr="00742CE3">
        <w:rPr>
          <w:rFonts w:ascii="Times New Roman Gras" w:hAnsi="Times New Roman Gras"/>
          <w:b/>
          <w:bCs/>
          <w:sz w:val="24"/>
        </w:rPr>
        <w:t>et par délégation,</w:t>
      </w:r>
    </w:p>
    <w:p w:rsidR="00A70A6C" w:rsidRPr="00742CE3" w:rsidRDefault="00A70A6C" w:rsidP="001C473A">
      <w:pPr>
        <w:spacing w:after="2160"/>
        <w:ind w:left="539" w:firstLine="5131"/>
        <w:jc w:val="center"/>
        <w:rPr>
          <w:rFonts w:ascii="Times New Roman Gras" w:hAnsi="Times New Roman Gras"/>
          <w:b/>
          <w:bCs/>
          <w:sz w:val="24"/>
        </w:rPr>
      </w:pPr>
      <w:r>
        <w:rPr>
          <w:rFonts w:ascii="Times New Roman Gras" w:hAnsi="Times New Roman Gras"/>
          <w:b/>
          <w:bCs/>
          <w:sz w:val="24"/>
        </w:rPr>
        <w:t xml:space="preserve">Le Chef du Greffe </w:t>
      </w:r>
      <w:r w:rsidRPr="00742CE3">
        <w:rPr>
          <w:rFonts w:ascii="Times New Roman Gras" w:hAnsi="Times New Roman Gras"/>
          <w:b/>
          <w:bCs/>
          <w:sz w:val="24"/>
        </w:rPr>
        <w:t>contentieux</w:t>
      </w:r>
    </w:p>
    <w:p w:rsidR="00A70A6C" w:rsidRPr="00742CE3" w:rsidRDefault="00A70A6C" w:rsidP="00692334">
      <w:pPr>
        <w:spacing w:before="120" w:after="360"/>
        <w:ind w:left="1809" w:firstLine="4145"/>
        <w:jc w:val="center"/>
        <w:rPr>
          <w:rFonts w:ascii="Times New Roman Gras" w:hAnsi="Times New Roman Gras"/>
          <w:b/>
          <w:bCs/>
          <w:sz w:val="24"/>
        </w:rPr>
      </w:pPr>
      <w:r w:rsidRPr="00742CE3">
        <w:rPr>
          <w:rFonts w:ascii="Times New Roman Gras" w:hAnsi="Times New Roman Gras"/>
          <w:b/>
          <w:bCs/>
          <w:sz w:val="24"/>
        </w:rPr>
        <w:t>Daniel FEREZ</w:t>
      </w:r>
    </w:p>
    <w:sectPr w:rsidR="00A70A6C" w:rsidRPr="00742CE3">
      <w:headerReference w:type="default" r:id="rId8"/>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1834" w:rsidRDefault="00DF1834">
      <w:r>
        <w:separator/>
      </w:r>
    </w:p>
  </w:endnote>
  <w:endnote w:type="continuationSeparator" w:id="0">
    <w:p w:rsidR="00DF1834" w:rsidRDefault="00DF1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 New Roman Gras">
    <w:panose1 w:val="02020803070505020304"/>
    <w:charset w:val="00"/>
    <w:family w:val="roman"/>
    <w:notTrueType/>
    <w:pitch w:val="default"/>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1834" w:rsidRDefault="00DF1834">
      <w:r>
        <w:separator/>
      </w:r>
    </w:p>
  </w:footnote>
  <w:footnote w:type="continuationSeparator" w:id="0">
    <w:p w:rsidR="00DF1834" w:rsidRDefault="00DF18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E8E" w:rsidRDefault="00F94E8E">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472E8C">
      <w:rPr>
        <w:rFonts w:ascii="CG Times (WN)" w:hAnsi="CG Times (WN)"/>
        <w:noProof/>
        <w:sz w:val="24"/>
      </w:rPr>
      <w:t>5</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intFractionalCharacterWidth/>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D7FDF"/>
    <w:rsid w:val="00142E8B"/>
    <w:rsid w:val="001C473A"/>
    <w:rsid w:val="00365405"/>
    <w:rsid w:val="003807E1"/>
    <w:rsid w:val="003A6F98"/>
    <w:rsid w:val="003A7FFC"/>
    <w:rsid w:val="00447713"/>
    <w:rsid w:val="00472E8C"/>
    <w:rsid w:val="004C0468"/>
    <w:rsid w:val="00502A2E"/>
    <w:rsid w:val="00530700"/>
    <w:rsid w:val="005F099A"/>
    <w:rsid w:val="00605E37"/>
    <w:rsid w:val="00612649"/>
    <w:rsid w:val="00632AC0"/>
    <w:rsid w:val="00692334"/>
    <w:rsid w:val="006A52A5"/>
    <w:rsid w:val="006E0C9E"/>
    <w:rsid w:val="006E761A"/>
    <w:rsid w:val="00703A18"/>
    <w:rsid w:val="007C5A15"/>
    <w:rsid w:val="008637CA"/>
    <w:rsid w:val="008B147E"/>
    <w:rsid w:val="008E29B4"/>
    <w:rsid w:val="009431DF"/>
    <w:rsid w:val="00A70A6C"/>
    <w:rsid w:val="00B3278F"/>
    <w:rsid w:val="00B33935"/>
    <w:rsid w:val="00B419CF"/>
    <w:rsid w:val="00BE2C4B"/>
    <w:rsid w:val="00D7552D"/>
    <w:rsid w:val="00DA7020"/>
    <w:rsid w:val="00DF1834"/>
    <w:rsid w:val="00E823A2"/>
    <w:rsid w:val="00E85039"/>
    <w:rsid w:val="00F94E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character" w:customStyle="1" w:styleId="CorpsdetexteCarCar">
    <w:name w:val="Corps de texte Car Car"/>
    <w:aliases w:val="Corps de texte Car2 Car Car,Corps de texte Car1 Car Car1 Car,Corps de texte Car Car Car Car1 Car,Corps de texte Car2 Car Car Car Car,Corps de texte Car1 Car Car Car Car Car Car Car,Car Car Car Car"/>
    <w:rsid w:val="00A70A6C"/>
    <w:rPr>
      <w:sz w:val="24"/>
      <w:lang w:val="fr-FR" w:eastAsia="fr-FR" w:bidi="ar-SA"/>
    </w:rPr>
  </w:style>
  <w:style w:type="paragraph" w:styleId="NormalWeb">
    <w:name w:val="Normal (Web)"/>
    <w:basedOn w:val="Normal"/>
    <w:uiPriority w:val="99"/>
    <w:unhideWhenUsed/>
    <w:rsid w:val="00A70A6C"/>
    <w:pPr>
      <w:spacing w:before="100" w:beforeAutospacing="1" w:after="100" w:afterAutospacing="1"/>
    </w:pPr>
    <w:rPr>
      <w:sz w:val="24"/>
      <w:szCs w:val="24"/>
    </w:rPr>
  </w:style>
  <w:style w:type="paragraph" w:styleId="Corpsdetexte">
    <w:name w:val="Body Text"/>
    <w:aliases w:val="Corps de texte Car2 Car,Corps de texte Car1 Car Car1,Corps de texte Car Car Car Car1,Corps de texte Car2 Car Car Car,Corps de texte Car1 Car Car Car Car Car Car,Corps de texte Car Car Car Car Car Car Car Car,Car Car Car"/>
    <w:basedOn w:val="Normal"/>
    <w:link w:val="CorpsdetexteCar"/>
    <w:unhideWhenUsed/>
    <w:rsid w:val="00A70A6C"/>
    <w:pPr>
      <w:spacing w:before="120" w:after="120"/>
      <w:ind w:firstLine="709"/>
      <w:jc w:val="both"/>
    </w:pPr>
    <w:rPr>
      <w:sz w:val="24"/>
      <w:lang w:val="x-none" w:eastAsia="x-none"/>
    </w:rPr>
  </w:style>
  <w:style w:type="character" w:customStyle="1" w:styleId="CorpsdetexteCar">
    <w:name w:val="Corps de texte Car"/>
    <w:aliases w:val="Corps de texte Car2 Car Car1,Corps de texte Car1 Car Car1 Car1,Corps de texte Car Car Car Car1 Car1,Corps de texte Car2 Car Car Car Car1,Corps de texte Car1 Car Car Car Car Car Car Car1,Car Car Car Car1"/>
    <w:link w:val="Corpsdetexte"/>
    <w:rsid w:val="00A70A6C"/>
    <w:rPr>
      <w:sz w:val="24"/>
      <w:lang w:val="x-none" w:eastAsia="x-none"/>
    </w:rPr>
  </w:style>
  <w:style w:type="character" w:customStyle="1" w:styleId="PSCar">
    <w:name w:val="PS Car"/>
    <w:link w:val="PS"/>
    <w:rsid w:val="00632AC0"/>
    <w:rPr>
      <w:sz w:val="24"/>
      <w:szCs w:val="24"/>
    </w:rPr>
  </w:style>
  <w:style w:type="character" w:customStyle="1" w:styleId="P0Car">
    <w:name w:val="P0 Car"/>
    <w:link w:val="P0"/>
    <w:locked/>
    <w:rsid w:val="00632AC0"/>
    <w:rPr>
      <w:sz w:val="24"/>
      <w:szCs w:val="24"/>
    </w:rPr>
  </w:style>
  <w:style w:type="paragraph" w:styleId="Textedebulles">
    <w:name w:val="Balloon Text"/>
    <w:basedOn w:val="Normal"/>
    <w:link w:val="TextedebullesCar"/>
    <w:uiPriority w:val="99"/>
    <w:semiHidden/>
    <w:unhideWhenUsed/>
    <w:rsid w:val="006A52A5"/>
    <w:rPr>
      <w:rFonts w:ascii="Tahoma" w:hAnsi="Tahoma" w:cs="Tahoma"/>
      <w:sz w:val="16"/>
      <w:szCs w:val="16"/>
    </w:rPr>
  </w:style>
  <w:style w:type="character" w:customStyle="1" w:styleId="TextedebullesCar">
    <w:name w:val="Texte de bulles Car"/>
    <w:link w:val="Textedebulles"/>
    <w:uiPriority w:val="99"/>
    <w:semiHidden/>
    <w:rsid w:val="006A52A5"/>
    <w:rPr>
      <w:rFonts w:ascii="Tahoma" w:hAnsi="Tahoma" w:cs="Tahoma"/>
      <w:sz w:val="16"/>
      <w:szCs w:val="16"/>
    </w:rPr>
  </w:style>
  <w:style w:type="character" w:styleId="Marquedecommentaire">
    <w:name w:val="annotation reference"/>
    <w:uiPriority w:val="99"/>
    <w:semiHidden/>
    <w:unhideWhenUsed/>
    <w:rsid w:val="003A6F98"/>
    <w:rPr>
      <w:sz w:val="16"/>
      <w:szCs w:val="16"/>
    </w:rPr>
  </w:style>
  <w:style w:type="paragraph" w:styleId="Commentaire">
    <w:name w:val="annotation text"/>
    <w:basedOn w:val="Normal"/>
    <w:link w:val="CommentaireCar"/>
    <w:uiPriority w:val="99"/>
    <w:semiHidden/>
    <w:unhideWhenUsed/>
    <w:rsid w:val="003A6F98"/>
  </w:style>
  <w:style w:type="character" w:customStyle="1" w:styleId="CommentaireCar">
    <w:name w:val="Commentaire Car"/>
    <w:basedOn w:val="Policepardfaut"/>
    <w:link w:val="Commentaire"/>
    <w:uiPriority w:val="99"/>
    <w:semiHidden/>
    <w:rsid w:val="003A6F98"/>
  </w:style>
  <w:style w:type="paragraph" w:styleId="Objetducommentaire">
    <w:name w:val="annotation subject"/>
    <w:basedOn w:val="Commentaire"/>
    <w:next w:val="Commentaire"/>
    <w:link w:val="ObjetducommentaireCar"/>
    <w:uiPriority w:val="99"/>
    <w:semiHidden/>
    <w:unhideWhenUsed/>
    <w:rsid w:val="003A6F98"/>
    <w:rPr>
      <w:b/>
      <w:bCs/>
    </w:rPr>
  </w:style>
  <w:style w:type="character" w:customStyle="1" w:styleId="ObjetducommentaireCar">
    <w:name w:val="Objet du commentaire Car"/>
    <w:link w:val="Objetducommentaire"/>
    <w:uiPriority w:val="99"/>
    <w:semiHidden/>
    <w:rsid w:val="003A6F98"/>
    <w:rPr>
      <w:b/>
      <w:bCs/>
    </w:rPr>
  </w:style>
  <w:style w:type="paragraph" w:styleId="Rvision">
    <w:name w:val="Revision"/>
    <w:hidden/>
    <w:uiPriority w:val="99"/>
    <w:semiHidden/>
    <w:rsid w:val="003A6F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8C146F-6B05-4C28-89F7-C982338B2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Arrêt.dot</Template>
  <TotalTime>15</TotalTime>
  <Pages>5</Pages>
  <Words>1282</Words>
  <Characters>7057</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8323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Jean-Pierre Bonin</cp:lastModifiedBy>
  <cp:revision>3</cp:revision>
  <cp:lastPrinted>2013-04-11T12:52:00Z</cp:lastPrinted>
  <dcterms:created xsi:type="dcterms:W3CDTF">2013-04-25T14:39:00Z</dcterms:created>
  <dcterms:modified xsi:type="dcterms:W3CDTF">2013-05-09T18:07:00Z</dcterms:modified>
</cp:coreProperties>
</file>