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B02" w:rsidRPr="00E71E67" w:rsidRDefault="009A4B02" w:rsidP="009A4B02">
      <w:pPr>
        <w:pStyle w:val="ET"/>
      </w:pPr>
      <w:r>
        <w:t xml:space="preserve">  </w:t>
      </w:r>
      <w:r w:rsidRPr="00E71E67">
        <w:t>COUR DES COMPTES</w:t>
      </w:r>
    </w:p>
    <w:p w:rsidR="009A4B02" w:rsidRPr="00E71E67" w:rsidRDefault="009A4B02" w:rsidP="009A4B02">
      <w:pPr>
        <w:pStyle w:val="ET"/>
      </w:pPr>
      <w:r w:rsidRPr="00E71E67">
        <w:t xml:space="preserve">               -------</w:t>
      </w:r>
    </w:p>
    <w:p w:rsidR="009A4B02" w:rsidRPr="00E71E67" w:rsidRDefault="009A4B02" w:rsidP="009A4B02">
      <w:pPr>
        <w:pStyle w:val="ET"/>
      </w:pPr>
      <w:r w:rsidRPr="00E71E67">
        <w:t>QUATRIEME CHAMBRE</w:t>
      </w:r>
    </w:p>
    <w:p w:rsidR="009A4B02" w:rsidRPr="00E71E67" w:rsidRDefault="009A4B02" w:rsidP="009A4B02">
      <w:pPr>
        <w:pStyle w:val="ET"/>
      </w:pPr>
      <w:r w:rsidRPr="00E71E67">
        <w:t xml:space="preserve">               -------</w:t>
      </w:r>
    </w:p>
    <w:p w:rsidR="009A4B02" w:rsidRDefault="009A4B02" w:rsidP="009A4B02">
      <w:pPr>
        <w:pStyle w:val="ET"/>
      </w:pPr>
      <w:r>
        <w:t xml:space="preserve">  </w:t>
      </w:r>
      <w:r w:rsidRPr="00E71E67">
        <w:t>PREMIERE SECTION</w:t>
      </w:r>
    </w:p>
    <w:p w:rsidR="009A4B02" w:rsidRPr="00E71E67" w:rsidRDefault="009A4B02" w:rsidP="009A4B02">
      <w:pPr>
        <w:pStyle w:val="ET"/>
        <w:spacing w:after="120"/>
      </w:pPr>
      <w:r>
        <w:t xml:space="preserve">      </w:t>
      </w:r>
      <w:r w:rsidR="007D436B">
        <w:t xml:space="preserve"> </w:t>
      </w:r>
      <w:r>
        <w:t xml:space="preserve">        -------</w:t>
      </w:r>
    </w:p>
    <w:p w:rsidR="009A4B02" w:rsidRPr="009A4B02" w:rsidRDefault="009A4B02" w:rsidP="009A4B02">
      <w:pPr>
        <w:pStyle w:val="En-tte"/>
        <w:rPr>
          <w:b/>
          <w:i/>
          <w:sz w:val="22"/>
          <w:szCs w:val="22"/>
        </w:rPr>
      </w:pPr>
      <w:r>
        <w:t xml:space="preserve">       </w:t>
      </w:r>
      <w:r w:rsidR="007D436B">
        <w:t xml:space="preserve"> </w:t>
      </w:r>
      <w:r>
        <w:t xml:space="preserve">     </w:t>
      </w:r>
      <w:r w:rsidRPr="009A4B02">
        <w:rPr>
          <w:b/>
          <w:i/>
          <w:sz w:val="22"/>
          <w:szCs w:val="22"/>
        </w:rPr>
        <w:t>Arrêt n° 66591</w:t>
      </w:r>
    </w:p>
    <w:p w:rsidR="009A4B02" w:rsidRDefault="009A4B02" w:rsidP="009A4B02">
      <w:pPr>
        <w:pStyle w:val="OR"/>
        <w:rPr>
          <w:caps/>
        </w:rPr>
      </w:pPr>
      <w:r w:rsidRPr="009A4B02">
        <w:rPr>
          <w:caps/>
        </w:rPr>
        <w:t>Commune de MONT-SAINT-MARTIN</w:t>
      </w:r>
    </w:p>
    <w:p w:rsidR="009A4B02" w:rsidRDefault="009A4B02" w:rsidP="009A4B02">
      <w:pPr>
        <w:pStyle w:val="OR"/>
        <w:rPr>
          <w:caps/>
        </w:rPr>
      </w:pPr>
      <w:r>
        <w:rPr>
          <w:caps/>
        </w:rPr>
        <w:t>(MEURTHE-et-MOSELLE)</w:t>
      </w:r>
    </w:p>
    <w:p w:rsidR="009A4B02" w:rsidRDefault="009A4B02" w:rsidP="009A4B02">
      <w:pPr>
        <w:pStyle w:val="OR"/>
        <w:rPr>
          <w:caps/>
        </w:rPr>
      </w:pPr>
    </w:p>
    <w:p w:rsidR="009A4B02" w:rsidRPr="009A4B02" w:rsidRDefault="009A4B02" w:rsidP="009A4B02">
      <w:pPr>
        <w:pStyle w:val="OR"/>
        <w:rPr>
          <w:caps/>
        </w:rPr>
      </w:pPr>
    </w:p>
    <w:p w:rsidR="009A4B02" w:rsidRPr="009A4B02" w:rsidRDefault="009A4B02" w:rsidP="009A4B02">
      <w:pPr>
        <w:pStyle w:val="OR"/>
      </w:pPr>
      <w:r w:rsidRPr="009A4B02">
        <w:t>Appel d’un jugement de la chambre régionale des comptes de Lorraine</w:t>
      </w:r>
    </w:p>
    <w:p w:rsidR="009A4B02" w:rsidRDefault="009A4B02" w:rsidP="009A4B02">
      <w:pPr>
        <w:pStyle w:val="OR"/>
        <w:rPr>
          <w:b/>
        </w:rPr>
      </w:pPr>
    </w:p>
    <w:p w:rsidR="009A4B02" w:rsidRDefault="009A4B02" w:rsidP="009A4B02">
      <w:pPr>
        <w:pStyle w:val="OR"/>
      </w:pPr>
      <w:r>
        <w:t xml:space="preserve">Exercice 2008 </w:t>
      </w:r>
    </w:p>
    <w:p w:rsidR="009A4B02" w:rsidRPr="00D53EFA" w:rsidRDefault="009A4B02" w:rsidP="009A4B02">
      <w:pPr>
        <w:pStyle w:val="OR"/>
      </w:pPr>
    </w:p>
    <w:p w:rsidR="009A4B02" w:rsidRPr="009A4B02" w:rsidRDefault="009A4B02" w:rsidP="009A4B02">
      <w:pPr>
        <w:pStyle w:val="OR"/>
      </w:pPr>
      <w:r w:rsidRPr="009A4B02">
        <w:t>Rapport n° 2013-074-0</w:t>
      </w:r>
    </w:p>
    <w:p w:rsidR="009A4B02" w:rsidRPr="001B3D87" w:rsidRDefault="009A4B02" w:rsidP="009A4B02">
      <w:pPr>
        <w:pStyle w:val="OR"/>
        <w:rPr>
          <w:b/>
        </w:rPr>
      </w:pPr>
    </w:p>
    <w:p w:rsidR="00200FC9" w:rsidRDefault="009A4B02" w:rsidP="009A4B02">
      <w:pPr>
        <w:pStyle w:val="OR"/>
      </w:pPr>
      <w:r w:rsidRPr="00D53EFA">
        <w:t>Audience du 7 mars 2013</w:t>
      </w:r>
      <w:r w:rsidR="00200FC9">
        <w:t xml:space="preserve"> et délibéré </w:t>
      </w:r>
    </w:p>
    <w:p w:rsidR="00200FC9" w:rsidRDefault="00200FC9" w:rsidP="009A4B02">
      <w:pPr>
        <w:pStyle w:val="OR"/>
      </w:pPr>
      <w:r>
        <w:t>du 21 mars 2013</w:t>
      </w:r>
    </w:p>
    <w:p w:rsidR="009A4B02" w:rsidRPr="00D53EFA" w:rsidRDefault="009A4B02" w:rsidP="009A4B02">
      <w:pPr>
        <w:pStyle w:val="OR"/>
      </w:pPr>
    </w:p>
    <w:p w:rsidR="009A4B02" w:rsidRDefault="009A4B02" w:rsidP="00045B42">
      <w:pPr>
        <w:pStyle w:val="OR"/>
        <w:spacing w:after="720"/>
      </w:pPr>
      <w:r>
        <w:t>Lecture publique du 25 avril 2013</w:t>
      </w:r>
    </w:p>
    <w:p w:rsidR="00045B42" w:rsidRDefault="00045B42" w:rsidP="00045B42">
      <w:pPr>
        <w:pStyle w:val="PS"/>
        <w:spacing w:after="600"/>
      </w:pPr>
      <w:r>
        <w:t>LA COUR DES COMPTES a rendu l’arrêt suivant :</w:t>
      </w:r>
    </w:p>
    <w:p w:rsidR="009A4B02" w:rsidRPr="00ED0DB2" w:rsidRDefault="009A4B02" w:rsidP="009A4B02">
      <w:pPr>
        <w:pStyle w:val="PS"/>
      </w:pPr>
      <w:r w:rsidRPr="00ED0DB2">
        <w:t>L</w:t>
      </w:r>
      <w:r>
        <w:t>A</w:t>
      </w:r>
      <w:r w:rsidRPr="00ED0DB2">
        <w:t xml:space="preserve"> COUR,</w:t>
      </w:r>
    </w:p>
    <w:p w:rsidR="009A4B02" w:rsidRPr="00ED0DB2" w:rsidRDefault="009A4B02" w:rsidP="009A4B02">
      <w:pPr>
        <w:pStyle w:val="PS"/>
      </w:pPr>
      <w:r w:rsidRPr="00ED0DB2">
        <w:t>Vu la requête, enregistrée le 2</w:t>
      </w:r>
      <w:r>
        <w:t xml:space="preserve"> avril</w:t>
      </w:r>
      <w:r w:rsidRPr="00ED0DB2">
        <w:t xml:space="preserve"> 2012 au greffe de la chambre régionale des comptes de Lorraine, par laquelle M.</w:t>
      </w:r>
      <w:r>
        <w:t> </w:t>
      </w:r>
      <w:r w:rsidR="00A7070C">
        <w:t>X</w:t>
      </w:r>
      <w:r w:rsidRPr="00ED0DB2">
        <w:t xml:space="preserve">, comptable de la </w:t>
      </w:r>
      <w:r w:rsidRPr="009A4B02">
        <w:rPr>
          <w:caps/>
        </w:rPr>
        <w:t>commune de Mont-Saint-Martin</w:t>
      </w:r>
      <w:r w:rsidRPr="00ED0DB2">
        <w:t xml:space="preserve">, a élevé appel du jugement </w:t>
      </w:r>
      <w:r>
        <w:t xml:space="preserve">n° 2011-012 </w:t>
      </w:r>
      <w:r w:rsidRPr="00ED0DB2">
        <w:t xml:space="preserve">du 2 février 2012 par lequel </w:t>
      </w:r>
      <w:r>
        <w:t>il a été</w:t>
      </w:r>
      <w:r w:rsidRPr="00ED0DB2">
        <w:t xml:space="preserve"> constitué débiteur de </w:t>
      </w:r>
      <w:r>
        <w:t xml:space="preserve">cette commune </w:t>
      </w:r>
      <w:r w:rsidRPr="00ED0DB2">
        <w:t>de</w:t>
      </w:r>
      <w:r w:rsidR="00655EF9">
        <w:t xml:space="preserve"> </w:t>
      </w:r>
      <w:r w:rsidRPr="00ED0DB2">
        <w:t>la somme de 6</w:t>
      </w:r>
      <w:r>
        <w:t> </w:t>
      </w:r>
      <w:r w:rsidRPr="00ED0DB2">
        <w:t>553,05</w:t>
      </w:r>
      <w:r>
        <w:t> </w:t>
      </w:r>
      <w:r w:rsidRPr="00ED0DB2">
        <w:t>€, augmentée des intérêts de droit calculés à compter du</w:t>
      </w:r>
      <w:r w:rsidR="00655EF9">
        <w:t xml:space="preserve"> </w:t>
      </w:r>
      <w:r w:rsidRPr="00ED0DB2">
        <w:t>13</w:t>
      </w:r>
      <w:r>
        <w:t> </w:t>
      </w:r>
      <w:r w:rsidRPr="00ED0DB2">
        <w:t>avril</w:t>
      </w:r>
      <w:r>
        <w:t> </w:t>
      </w:r>
      <w:r w:rsidRPr="00ED0DB2">
        <w:t>2011 ;</w:t>
      </w:r>
    </w:p>
    <w:p w:rsidR="009A4B02" w:rsidRDefault="009A4B02" w:rsidP="009A4B02">
      <w:pPr>
        <w:pStyle w:val="PS"/>
      </w:pPr>
      <w:r w:rsidRPr="00ED0DB2">
        <w:t>Vu le réquisitoire du Procureur général près la Cour des comptes n°</w:t>
      </w:r>
      <w:r>
        <w:t xml:space="preserve"> 2012-48 </w:t>
      </w:r>
      <w:r w:rsidRPr="00ED0DB2">
        <w:t>du 17 juillet 2012 transmettant à la Cour la requête précitée ;</w:t>
      </w:r>
    </w:p>
    <w:p w:rsidR="009A4B02" w:rsidRPr="009A4B02" w:rsidRDefault="009A4B02" w:rsidP="009A4B02">
      <w:pPr>
        <w:pStyle w:val="PS"/>
      </w:pPr>
      <w:r w:rsidRPr="00D53EFA">
        <w:t>Vu le réquisitoire du procureur financier</w:t>
      </w:r>
      <w:r w:rsidR="00655EF9">
        <w:t xml:space="preserve"> </w:t>
      </w:r>
      <w:r w:rsidRPr="00D53EFA">
        <w:t xml:space="preserve">près la chambre régionale des comptes </w:t>
      </w:r>
      <w:r>
        <w:t>de Lorraine</w:t>
      </w:r>
      <w:r w:rsidRPr="00D53EFA">
        <w:t xml:space="preserve"> </w:t>
      </w:r>
      <w:r>
        <w:t xml:space="preserve">n° 2011-07 </w:t>
      </w:r>
      <w:r w:rsidRPr="009A4B02">
        <w:rPr>
          <w:rStyle w:val="CorpsdetexteCarCar"/>
        </w:rPr>
        <w:t>du 13 avril 2011 par lequel cette chambre a été saisie d’opérations susceptibles de conduire à</w:t>
      </w:r>
      <w:r w:rsidRPr="00D53EFA">
        <w:rPr>
          <w:color w:val="000000"/>
          <w:lang w:val="fr"/>
        </w:rPr>
        <w:t xml:space="preserve"> </w:t>
      </w:r>
      <w:r w:rsidRPr="009A4B02">
        <w:rPr>
          <w:lang w:val="fr"/>
        </w:rPr>
        <w:t>la mise en jeu de la responsabilité personnelle et pécuniaire de M. </w:t>
      </w:r>
      <w:r w:rsidR="00A7070C">
        <w:rPr>
          <w:lang w:val="fr"/>
        </w:rPr>
        <w:t>X</w:t>
      </w:r>
      <w:r w:rsidRPr="009A4B02">
        <w:rPr>
          <w:lang w:val="fr"/>
        </w:rPr>
        <w:t xml:space="preserve"> à raison de paiements irréguliers au titre de l’exercice</w:t>
      </w:r>
      <w:r w:rsidR="00F52F06">
        <w:rPr>
          <w:lang w:val="fr"/>
        </w:rPr>
        <w:t> </w:t>
      </w:r>
      <w:r w:rsidRPr="009A4B02">
        <w:rPr>
          <w:lang w:val="fr"/>
        </w:rPr>
        <w:t>2008</w:t>
      </w:r>
      <w:r w:rsidR="00655EF9">
        <w:rPr>
          <w:lang w:val="fr"/>
        </w:rPr>
        <w:t> </w:t>
      </w:r>
      <w:r w:rsidR="00655EF9">
        <w:t>;</w:t>
      </w:r>
    </w:p>
    <w:p w:rsidR="009A4B02" w:rsidRDefault="009A4B02" w:rsidP="009A4B02">
      <w:pPr>
        <w:pStyle w:val="PS"/>
      </w:pPr>
      <w:r w:rsidRPr="00ED0DB2">
        <w:t>Vu les pièces de la procédure suivie en première instance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9A4B02" w:rsidRDefault="009A4B02" w:rsidP="009A4B02">
      <w:pPr>
        <w:pStyle w:val="PS"/>
      </w:pPr>
      <w:r w:rsidRPr="00D53EFA">
        <w:lastRenderedPageBreak/>
        <w:t>Vu le code des juridictions financières ;</w:t>
      </w:r>
    </w:p>
    <w:p w:rsidR="009A4B02" w:rsidRDefault="009A4B02" w:rsidP="009A4B02">
      <w:pPr>
        <w:pStyle w:val="PS"/>
      </w:pPr>
      <w:r w:rsidRPr="00ED0DB2">
        <w:t>Vu le code général de</w:t>
      </w:r>
      <w:r w:rsidR="00655EF9">
        <w:t>s collectivités territoriales ;</w:t>
      </w:r>
    </w:p>
    <w:p w:rsidR="009A4B02" w:rsidRDefault="009A4B02" w:rsidP="009A4B02">
      <w:pPr>
        <w:pStyle w:val="PS"/>
      </w:pPr>
      <w:r w:rsidRPr="00ED0DB2">
        <w:t>Vu l’article 60 de la loi de finances n°</w:t>
      </w:r>
      <w:r>
        <w:t> </w:t>
      </w:r>
      <w:r w:rsidRPr="00ED0DB2">
        <w:t>63-156 du 23 février 1963 modifiée ;</w:t>
      </w:r>
    </w:p>
    <w:p w:rsidR="009A4B02" w:rsidRDefault="009A4B02" w:rsidP="009A4B02">
      <w:pPr>
        <w:pStyle w:val="PS"/>
      </w:pPr>
      <w:r w:rsidRPr="00ED0DB2">
        <w:t>Vu le décret n°</w:t>
      </w:r>
      <w:r>
        <w:t> </w:t>
      </w:r>
      <w:r w:rsidRPr="00ED0DB2">
        <w:t>62-1587 du 29 décembre 1962 modifié portant règlement général sur la comptabilité publique</w:t>
      </w:r>
      <w:r w:rsidRPr="00D53EFA">
        <w:t xml:space="preserve">, </w:t>
      </w:r>
      <w:r>
        <w:t>en vigueur au moment des faits</w:t>
      </w:r>
      <w:r w:rsidRPr="00ED0DB2">
        <w:t> ;</w:t>
      </w:r>
    </w:p>
    <w:p w:rsidR="009A4B02" w:rsidRDefault="009A4B02" w:rsidP="009A4B02">
      <w:pPr>
        <w:pStyle w:val="PS"/>
      </w:pPr>
      <w:r w:rsidRPr="00ED0DB2">
        <w:t>Vu la circulaire du 15 avril 1992 relative aux conditions d'exercice des mandats locaux - Régime indemnitaire des élus locaux</w:t>
      </w:r>
      <w:r w:rsidR="00655EF9">
        <w:t> ;</w:t>
      </w:r>
    </w:p>
    <w:p w:rsidR="009A4B02" w:rsidRDefault="009A4B02" w:rsidP="009A4B02">
      <w:pPr>
        <w:pStyle w:val="PS"/>
      </w:pPr>
      <w:r w:rsidRPr="00ED0DB2">
        <w:t>Vu l’instruction codificatrice n°</w:t>
      </w:r>
      <w:r>
        <w:t> </w:t>
      </w:r>
      <w:r w:rsidRPr="00ED0DB2">
        <w:t>06-021-M14 du 5 avril 2006 applicable aux</w:t>
      </w:r>
      <w:r w:rsidR="00655EF9">
        <w:t xml:space="preserve"> </w:t>
      </w:r>
      <w:r w:rsidRPr="00ED0DB2">
        <w:t>communes et aux établi</w:t>
      </w:r>
      <w:r>
        <w:t>ssements publics intercommunaux ;</w:t>
      </w:r>
    </w:p>
    <w:p w:rsidR="009A4B02" w:rsidRDefault="009A4B02" w:rsidP="009A4B02">
      <w:pPr>
        <w:pStyle w:val="PS"/>
      </w:pPr>
      <w:r w:rsidRPr="00ED0DB2">
        <w:t>Vu le rapport de M</w:t>
      </w:r>
      <w:r w:rsidRPr="00655EF9">
        <w:rPr>
          <w:vertAlign w:val="superscript"/>
        </w:rPr>
        <w:t>me</w:t>
      </w:r>
      <w:r w:rsidRPr="00ED0DB2">
        <w:t xml:space="preserve"> </w:t>
      </w:r>
      <w:r>
        <w:t xml:space="preserve">Adeline </w:t>
      </w:r>
      <w:r w:rsidRPr="00ED0DB2">
        <w:t>Baldacchino, conseillère référendaire ;</w:t>
      </w:r>
    </w:p>
    <w:p w:rsidR="009A4B02" w:rsidRDefault="009A4B02" w:rsidP="009A4B02">
      <w:pPr>
        <w:pStyle w:val="PS"/>
      </w:pPr>
      <w:r w:rsidRPr="00ED0DB2">
        <w:t xml:space="preserve">Vu les conclusions </w:t>
      </w:r>
      <w:r>
        <w:t xml:space="preserve">n° 155 </w:t>
      </w:r>
      <w:r w:rsidRPr="00ED0DB2">
        <w:t>du Procureur général</w:t>
      </w:r>
      <w:r w:rsidR="00655EF9">
        <w:t xml:space="preserve"> </w:t>
      </w:r>
      <w:r>
        <w:t>du 5 mars 2013</w:t>
      </w:r>
      <w:r w:rsidR="00655EF9">
        <w:t> </w:t>
      </w:r>
      <w:r w:rsidRPr="00ED0DB2">
        <w:t>;</w:t>
      </w:r>
    </w:p>
    <w:p w:rsidR="009A4B02" w:rsidRDefault="009A4B02" w:rsidP="009A4B02">
      <w:pPr>
        <w:pStyle w:val="PS"/>
      </w:pPr>
      <w:r w:rsidRPr="00ED0DB2">
        <w:t>Entendu, lors de l’audience publique de ce jour, M</w:t>
      </w:r>
      <w:r w:rsidRPr="00655EF9">
        <w:rPr>
          <w:vertAlign w:val="superscript"/>
        </w:rPr>
        <w:t>me</w:t>
      </w:r>
      <w:r w:rsidRPr="00ED0DB2">
        <w:t xml:space="preserve"> Baldacchino, rapporteure, en son rapport, M.</w:t>
      </w:r>
      <w:r>
        <w:t> </w:t>
      </w:r>
      <w:r w:rsidRPr="00ED0DB2">
        <w:t>Miller</w:t>
      </w:r>
      <w:r>
        <w:t>, avocat général, en l</w:t>
      </w:r>
      <w:r w:rsidRPr="00ED0DB2">
        <w:t>es conclusions</w:t>
      </w:r>
      <w:r>
        <w:t xml:space="preserve"> du</w:t>
      </w:r>
      <w:r w:rsidR="00655EF9">
        <w:t xml:space="preserve"> </w:t>
      </w:r>
      <w:r>
        <w:t>ministère public</w:t>
      </w:r>
      <w:r w:rsidRPr="00ED0DB2">
        <w:t>, l’appelant,</w:t>
      </w:r>
      <w:r>
        <w:t xml:space="preserve"> </w:t>
      </w:r>
      <w:r w:rsidRPr="00ED0DB2">
        <w:t xml:space="preserve">présent </w:t>
      </w:r>
      <w:r>
        <w:t>à l’audience étant</w:t>
      </w:r>
      <w:r w:rsidRPr="00ED0DB2">
        <w:t xml:space="preserve"> intervenu en dernier ;</w:t>
      </w:r>
    </w:p>
    <w:p w:rsidR="009A4B02" w:rsidRDefault="009A4B02" w:rsidP="009A4B02">
      <w:pPr>
        <w:pStyle w:val="PS"/>
      </w:pPr>
      <w:r w:rsidRPr="00ED0DB2">
        <w:t>Entendu, en délibéré, M.</w:t>
      </w:r>
      <w:r>
        <w:t xml:space="preserve"> Roch-Olivier </w:t>
      </w:r>
      <w:r w:rsidRPr="00ED0DB2">
        <w:t>Maistre</w:t>
      </w:r>
      <w:r>
        <w:t xml:space="preserve">, conseiller </w:t>
      </w:r>
      <w:r w:rsidRPr="00ED0DB2">
        <w:t>maître, en</w:t>
      </w:r>
      <w:r w:rsidR="00655EF9">
        <w:t xml:space="preserve"> </w:t>
      </w:r>
      <w:r w:rsidRPr="00ED0DB2">
        <w:t>ses</w:t>
      </w:r>
      <w:r w:rsidR="00655EF9">
        <w:t xml:space="preserve"> </w:t>
      </w:r>
      <w:r w:rsidRPr="00ED0DB2">
        <w:t>observations ;</w:t>
      </w:r>
    </w:p>
    <w:p w:rsidR="009A4B02" w:rsidRDefault="009A4B02" w:rsidP="009A4B02">
      <w:pPr>
        <w:pStyle w:val="PS"/>
      </w:pPr>
      <w:r w:rsidRPr="00ED0DB2">
        <w:t>Attendu que</w:t>
      </w:r>
      <w:r>
        <w:t>,</w:t>
      </w:r>
      <w:r w:rsidRPr="00ED0DB2">
        <w:t xml:space="preserve"> par </w:t>
      </w:r>
      <w:r>
        <w:t>le jugement susvisé</w:t>
      </w:r>
      <w:r w:rsidRPr="00ED0DB2">
        <w:t>, la chambre régionale des comptes de Lorraine a constitué M.</w:t>
      </w:r>
      <w:r>
        <w:t> </w:t>
      </w:r>
      <w:r w:rsidR="00A7070C">
        <w:t>X</w:t>
      </w:r>
      <w:r w:rsidRPr="00ED0DB2">
        <w:t xml:space="preserve"> débiteur de la commun</w:t>
      </w:r>
      <w:r>
        <w:t>e de Mont-Saint-Martin de</w:t>
      </w:r>
      <w:r w:rsidRPr="00ED0DB2">
        <w:t xml:space="preserve"> la</w:t>
      </w:r>
      <w:r>
        <w:t xml:space="preserve"> </w:t>
      </w:r>
      <w:r w:rsidRPr="00ED0DB2">
        <w:t>somme de 6</w:t>
      </w:r>
      <w:r>
        <w:t> 553,05 €, major</w:t>
      </w:r>
      <w:r w:rsidRPr="00ED0DB2">
        <w:t xml:space="preserve">ée des intérêts de droit </w:t>
      </w:r>
      <w:r>
        <w:t xml:space="preserve">calculés </w:t>
      </w:r>
      <w:r w:rsidRPr="00ED0DB2">
        <w:t xml:space="preserve">à compter du 13 avril 2011, </w:t>
      </w:r>
      <w:r>
        <w:t>pour avoir procédé au paiement, au titre de l’exercice</w:t>
      </w:r>
      <w:r w:rsidR="00655EF9">
        <w:t xml:space="preserve"> </w:t>
      </w:r>
      <w:r>
        <w:t>2008, de 26</w:t>
      </w:r>
      <w:r w:rsidR="00655EF9">
        <w:t xml:space="preserve"> </w:t>
      </w:r>
      <w:r>
        <w:t>mandats, imputés au compte</w:t>
      </w:r>
      <w:r w:rsidR="00655EF9">
        <w:t xml:space="preserve"> </w:t>
      </w:r>
      <w:r>
        <w:t>6232 « fêtes et cérémonies » et appuyés de factures ou de notes de restaurant</w:t>
      </w:r>
      <w:r w:rsidR="00655EF9">
        <w:t xml:space="preserve"> </w:t>
      </w:r>
      <w:r>
        <w:t xml:space="preserve">établies au nom de la commune, sans </w:t>
      </w:r>
      <w:r w:rsidRPr="00EA5C3E">
        <w:t xml:space="preserve">avoir procédé </w:t>
      </w:r>
      <w:r>
        <w:t xml:space="preserve">ni </w:t>
      </w:r>
      <w:r w:rsidRPr="00EA5C3E">
        <w:t>au contrôle de</w:t>
      </w:r>
      <w:r w:rsidRPr="00EA5C3E">
        <w:rPr>
          <w:rFonts w:cs="Arial"/>
          <w:szCs w:val="22"/>
        </w:rPr>
        <w:t xml:space="preserve"> l'exacte imputation des dépenses aux chapitres qu'elles concernent </w:t>
      </w:r>
      <w:r>
        <w:rPr>
          <w:rFonts w:cs="Arial"/>
          <w:szCs w:val="22"/>
        </w:rPr>
        <w:t>ni</w:t>
      </w:r>
      <w:r w:rsidRPr="00EA5C3E">
        <w:t>, compte tenu de l’imputation à</w:t>
      </w:r>
      <w:r>
        <w:t xml:space="preserve"> retenir, de </w:t>
      </w:r>
      <w:r w:rsidRPr="00EA5C3E">
        <w:t>la production des justificati</w:t>
      </w:r>
      <w:r>
        <w:t>ons</w:t>
      </w:r>
      <w:r w:rsidRPr="00EA5C3E">
        <w:t xml:space="preserve"> </w:t>
      </w:r>
      <w:r>
        <w:t>prévues</w:t>
      </w:r>
      <w:r w:rsidRPr="00EA5C3E">
        <w:t xml:space="preserve"> par la nomenclature ;</w:t>
      </w:r>
    </w:p>
    <w:p w:rsidR="009A4B02" w:rsidRDefault="009A4B02" w:rsidP="009A4B02">
      <w:pPr>
        <w:pStyle w:val="PS"/>
      </w:pPr>
      <w:r w:rsidRPr="00ED0DB2">
        <w:t>Attendu que le requérant fait</w:t>
      </w:r>
      <w:r>
        <w:t xml:space="preserve"> valoir, en premier lieu, </w:t>
      </w:r>
      <w:r w:rsidRPr="00ED0DB2">
        <w:t>qu</w:t>
      </w:r>
      <w:r>
        <w:t>’</w:t>
      </w:r>
      <w:r w:rsidRPr="00ED0DB2">
        <w:t>il n’y a</w:t>
      </w:r>
      <w:r>
        <w:t>urait</w:t>
      </w:r>
      <w:r w:rsidRPr="00ED0DB2">
        <w:t xml:space="preserve"> pas</w:t>
      </w:r>
      <w:r>
        <w:t>,</w:t>
      </w:r>
      <w:r w:rsidRPr="00ED0DB2">
        <w:t xml:space="preserve"> </w:t>
      </w:r>
      <w:r>
        <w:t xml:space="preserve">pour les paiements en cause, </w:t>
      </w:r>
      <w:r w:rsidRPr="00ED0DB2">
        <w:t xml:space="preserve">suspicion de </w:t>
      </w:r>
      <w:r>
        <w:t xml:space="preserve">dépenses liées à des </w:t>
      </w:r>
      <w:r w:rsidRPr="00ED0DB2">
        <w:t>manifestation</w:t>
      </w:r>
      <w:r>
        <w:t>s</w:t>
      </w:r>
      <w:r w:rsidRPr="00ED0DB2">
        <w:t xml:space="preserve"> à</w:t>
      </w:r>
      <w:r w:rsidR="00655EF9">
        <w:t xml:space="preserve"> </w:t>
      </w:r>
      <w:r w:rsidRPr="00ED0DB2">
        <w:t>caractère politiq</w:t>
      </w:r>
      <w:r>
        <w:t>ue</w:t>
      </w:r>
      <w:r w:rsidR="00655EF9">
        <w:t xml:space="preserve"> </w:t>
      </w:r>
      <w:r>
        <w:t>ou dépourvues d’intérêt communal</w:t>
      </w:r>
      <w:r w:rsidR="00655EF9">
        <w:t> </w:t>
      </w:r>
      <w:r>
        <w:t>;</w:t>
      </w:r>
    </w:p>
    <w:p w:rsidR="009A4B02" w:rsidRDefault="009A4B02" w:rsidP="005A0CEB">
      <w:pPr>
        <w:pStyle w:val="PS"/>
        <w:spacing w:after="360"/>
      </w:pPr>
      <w:r>
        <w:lastRenderedPageBreak/>
        <w:t xml:space="preserve">Considérant </w:t>
      </w:r>
      <w:r w:rsidRPr="00ED0DB2">
        <w:t>que l</w:t>
      </w:r>
      <w:r>
        <w:t>e jugement contesté n’est pas fondé sur un tel motif, mais</w:t>
      </w:r>
      <w:r w:rsidR="00655EF9">
        <w:t xml:space="preserve"> </w:t>
      </w:r>
      <w:r>
        <w:t>sur le défaut de contrôle de l’exacte imputation des dépenses et de la production des justifications ; que le moyen est donc inopérant</w:t>
      </w:r>
      <w:r w:rsidR="00655EF9">
        <w:t> </w:t>
      </w:r>
      <w:r>
        <w:t>;</w:t>
      </w:r>
    </w:p>
    <w:p w:rsidR="009A4B02" w:rsidRDefault="009A4B02" w:rsidP="005A0CEB">
      <w:pPr>
        <w:pStyle w:val="PS"/>
        <w:spacing w:after="360"/>
      </w:pPr>
      <w:r>
        <w:t xml:space="preserve">Attendu que l’appelant fait valoir, en second lieu, </w:t>
      </w:r>
      <w:r w:rsidRPr="00ED0DB2">
        <w:t>qu’une fiche technique</w:t>
      </w:r>
      <w:r>
        <w:t xml:space="preserve">, </w:t>
      </w:r>
      <w:r w:rsidRPr="00ED0DB2">
        <w:t xml:space="preserve">établie par la </w:t>
      </w:r>
      <w:r>
        <w:t>d</w:t>
      </w:r>
      <w:r w:rsidRPr="00ED0DB2">
        <w:t>irection générale de la com</w:t>
      </w:r>
      <w:r>
        <w:t>ptabilité publique</w:t>
      </w:r>
      <w:r w:rsidRPr="00ED0DB2">
        <w:t xml:space="preserve"> à la suite de la parution du décret n°</w:t>
      </w:r>
      <w:r w:rsidR="00DC089C">
        <w:t> </w:t>
      </w:r>
      <w:r>
        <w:t xml:space="preserve">2006-781 du 3 juillet 2006 </w:t>
      </w:r>
      <w:r w:rsidRPr="00ED0DB2">
        <w:t>fixant les conditions et les modalités de règlement des frais occasionnés par les déplacements temporaires des personnels civils de l’E</w:t>
      </w:r>
      <w:r>
        <w:t>tat</w:t>
      </w:r>
      <w:r w:rsidRPr="00ED0DB2">
        <w:t>, mettait en exergue la diversité des imputations possibles dès lors qu’il y a « </w:t>
      </w:r>
      <w:r w:rsidRPr="00FB1A37">
        <w:rPr>
          <w:i/>
        </w:rPr>
        <w:t>prise en charge directe des frais des élus locaux </w:t>
      </w:r>
      <w:r>
        <w:t xml:space="preserve">» ; que le caractère </w:t>
      </w:r>
      <w:r w:rsidRPr="00ED0DB2">
        <w:t xml:space="preserve">imprécis </w:t>
      </w:r>
      <w:r>
        <w:t xml:space="preserve">en la matière de </w:t>
      </w:r>
      <w:r w:rsidRPr="00ED0DB2">
        <w:t>l’instruction codificatrice n°</w:t>
      </w:r>
      <w:r w:rsidR="00DC089C">
        <w:t> </w:t>
      </w:r>
      <w:r w:rsidRPr="00ED0DB2">
        <w:t xml:space="preserve">06-021-M14 du 5 avril 2006 </w:t>
      </w:r>
      <w:r>
        <w:t>susvisée doit bénéficier au</w:t>
      </w:r>
      <w:r w:rsidR="00655EF9">
        <w:t xml:space="preserve"> </w:t>
      </w:r>
      <w:r>
        <w:t>comptable</w:t>
      </w:r>
      <w:r w:rsidR="00655EF9">
        <w:t> </w:t>
      </w:r>
      <w:r>
        <w:t>;</w:t>
      </w:r>
    </w:p>
    <w:p w:rsidR="009A4B02" w:rsidRDefault="009A4B02" w:rsidP="005A0CEB">
      <w:pPr>
        <w:pStyle w:val="PS"/>
        <w:spacing w:after="360"/>
      </w:pPr>
      <w:r>
        <w:rPr>
          <w:rFonts w:cs="Arial"/>
          <w:szCs w:val="22"/>
        </w:rPr>
        <w:t xml:space="preserve">Considérant que </w:t>
      </w:r>
      <w:r>
        <w:t>l’instruction M</w:t>
      </w:r>
      <w:r w:rsidR="00DC089C">
        <w:t> </w:t>
      </w:r>
      <w:r>
        <w:t>14 susvisée distingue</w:t>
      </w:r>
      <w:r w:rsidRPr="00AF0D17">
        <w:t xml:space="preserve"> </w:t>
      </w:r>
      <w:r>
        <w:t xml:space="preserve">deux chapitres budgétaires différents pour l’imputation comptable respective d’un côté, des frais liés aux fêtes et cérémonies et de l’autre, des frais de représentation qui ne sont pas liés à de telles manifestations ; </w:t>
      </w:r>
      <w:r>
        <w:rPr>
          <w:rFonts w:cs="Arial"/>
          <w:szCs w:val="22"/>
        </w:rPr>
        <w:t xml:space="preserve">qu’aux termes de la </w:t>
      </w:r>
      <w:r w:rsidRPr="00ED0DB2">
        <w:t>circulaire du 15</w:t>
      </w:r>
      <w:r w:rsidR="00DC089C">
        <w:t> </w:t>
      </w:r>
      <w:r w:rsidRPr="00ED0DB2">
        <w:t>avril</w:t>
      </w:r>
      <w:r w:rsidR="00DC089C">
        <w:t> </w:t>
      </w:r>
      <w:r w:rsidRPr="00ED0DB2">
        <w:t xml:space="preserve">1992 </w:t>
      </w:r>
      <w:r>
        <w:t xml:space="preserve">susvisée, les </w:t>
      </w:r>
      <w:r w:rsidRPr="00ED0DB2">
        <w:t>« </w:t>
      </w:r>
      <w:r w:rsidRPr="00DC089C">
        <w:rPr>
          <w:i/>
        </w:rPr>
        <w:t>frais de représentation</w:t>
      </w:r>
      <w:r>
        <w:t> »</w:t>
      </w:r>
      <w:r w:rsidR="00655EF9">
        <w:t xml:space="preserve"> </w:t>
      </w:r>
      <w:r>
        <w:t>sont définis comme des indemnités ayant pour objet « </w:t>
      </w:r>
      <w:r w:rsidRPr="002A3FCC">
        <w:rPr>
          <w:i/>
        </w:rPr>
        <w:t>de</w:t>
      </w:r>
      <w:r w:rsidR="00655EF9">
        <w:rPr>
          <w:i/>
        </w:rPr>
        <w:t xml:space="preserve"> </w:t>
      </w:r>
      <w:r w:rsidRPr="002A3FCC">
        <w:rPr>
          <w:i/>
        </w:rPr>
        <w:t>couvrir les dépenses engagées par le maire, et lui seul, à l’occasion de ses fonctions et dans l’intérêt de la commune. Ainsi en est-il, notamment, des dépenses qu’il supporte personnellement en raison des réceptions et manifestations qu’il organise ou auxquelles il participe dans ce cadre </w:t>
      </w:r>
      <w:r w:rsidRPr="00ED0DB2">
        <w:t>» ;</w:t>
      </w:r>
      <w:r>
        <w:t xml:space="preserve"> qu’au surplus </w:t>
      </w:r>
      <w:r w:rsidRPr="00ED0DB2">
        <w:t>la fiche technique du ministère des finances</w:t>
      </w:r>
      <w:r w:rsidRPr="00314407">
        <w:t xml:space="preserve"> </w:t>
      </w:r>
      <w:r>
        <w:t>produite par le requérant</w:t>
      </w:r>
      <w:r w:rsidRPr="00ED0DB2">
        <w:t xml:space="preserve"> indique, dans la catégorie « </w:t>
      </w:r>
      <w:r w:rsidRPr="00DC089C">
        <w:rPr>
          <w:i/>
        </w:rPr>
        <w:t>frais de représentation</w:t>
      </w:r>
      <w:r w:rsidRPr="00ED0DB2">
        <w:t> », que le versement de cette indemnité peut prendre, soit la forme d’une « </w:t>
      </w:r>
      <w:r w:rsidRPr="002774D3">
        <w:rPr>
          <w:i/>
        </w:rPr>
        <w:t>somme forfaitaire non subordonnée à la production de justificatifs des frais exposés, sous réserve que ce forfait ne soit pas disproportionné par rapport aux frais que peuvent normalement impliquer de telles fonctions</w:t>
      </w:r>
      <w:r w:rsidRPr="00ED0DB2">
        <w:t> », soit la forme d’une « </w:t>
      </w:r>
      <w:r w:rsidRPr="002774D3">
        <w:rPr>
          <w:i/>
        </w:rPr>
        <w:t>dotation permettant la prise en charge directe des frais ou le remboursement, le cas échéant sous forme forfaitaire, des dépenses de représentations exposées par les élus et dûment justifiées</w:t>
      </w:r>
      <w:r>
        <w:t> » ; q</w:t>
      </w:r>
      <w:r w:rsidRPr="00ED0DB2">
        <w:t>u</w:t>
      </w:r>
      <w:r>
        <w:t>’il résulte de l’ensemble des éléments ainsi rappelés que d’une part, l’argument tenant à l’imprécision alléguée de l’instruction M</w:t>
      </w:r>
      <w:r w:rsidR="00DC089C">
        <w:t> </w:t>
      </w:r>
      <w:r>
        <w:t>14 manque en fait</w:t>
      </w:r>
      <w:r w:rsidR="00655EF9">
        <w:t xml:space="preserve"> </w:t>
      </w:r>
      <w:r>
        <w:t>et que d’autre part, le paiement direct, en lieu et place des remboursement de frais avancés, ne</w:t>
      </w:r>
      <w:r w:rsidR="00655EF9">
        <w:t xml:space="preserve"> </w:t>
      </w:r>
      <w:r>
        <w:t>conditionne pas l’imputation budgétaire ; qu’au surplus la fiche technique invoquée ne l’indique pas</w:t>
      </w:r>
      <w:r w:rsidR="00655EF9">
        <w:t xml:space="preserve"> </w:t>
      </w:r>
      <w:r>
        <w:t xml:space="preserve">et que cet argument manque donc en droit et en fait ; </w:t>
      </w:r>
    </w:p>
    <w:p w:rsidR="009A4B02" w:rsidRDefault="009A4B02" w:rsidP="005A0CEB">
      <w:pPr>
        <w:pStyle w:val="PS"/>
        <w:spacing w:after="360"/>
      </w:pPr>
      <w:r>
        <w:t xml:space="preserve">Attendu que le requérant fait valoir, en troisième lieu, que seul l’ordonnateur serait </w:t>
      </w:r>
      <w:r w:rsidRPr="00ED0DB2">
        <w:t>à même de disposer des éléments nécessaires au choix de la rubrique bu</w:t>
      </w:r>
      <w:r>
        <w:t xml:space="preserve">dgétaire la plus appropriée ; </w:t>
      </w:r>
      <w:r w:rsidRPr="00ED0DB2">
        <w:t>qu’il n’a</w:t>
      </w:r>
      <w:r>
        <w:t>ppartiendrait pas au comptable de</w:t>
      </w:r>
      <w:r w:rsidRPr="00ED0DB2">
        <w:t xml:space="preserve"> vérifier les motifs d’un achat </w:t>
      </w:r>
      <w:r>
        <w:t xml:space="preserve">pour peu que </w:t>
      </w:r>
      <w:r w:rsidRPr="00ED0DB2">
        <w:t xml:space="preserve">la facture </w:t>
      </w:r>
      <w:r>
        <w:t xml:space="preserve">soit </w:t>
      </w:r>
      <w:r w:rsidRPr="00ED0DB2">
        <w:t>correctement libellée et comport</w:t>
      </w:r>
      <w:r>
        <w:t xml:space="preserve">e les mentions réglementaires ; qu’en conséquence il n’avait pas </w:t>
      </w:r>
      <w:r w:rsidRPr="00ED0DB2">
        <w:t xml:space="preserve">à exiger de pièces justificatives complémentaires pour procéder </w:t>
      </w:r>
      <w:r>
        <w:t>au paiement des mandats litigieux</w:t>
      </w:r>
      <w:r w:rsidRPr="00ED0DB2">
        <w:t> ;</w:t>
      </w:r>
    </w:p>
    <w:p w:rsidR="009A4B02" w:rsidRDefault="009A4B02" w:rsidP="0033162A">
      <w:pPr>
        <w:pStyle w:val="PS"/>
        <w:rPr>
          <w:rFonts w:cs="Arial"/>
          <w:szCs w:val="22"/>
        </w:rPr>
      </w:pPr>
      <w:r>
        <w:t xml:space="preserve">Considérant qu’aux termes de l’article 12 du décret </w:t>
      </w:r>
      <w:r w:rsidRPr="00ED0DB2">
        <w:t>du 29 décembre 1962</w:t>
      </w:r>
      <w:r>
        <w:t xml:space="preserve"> susvisé, les comptables publics sont tenus d’exercer, en matière de dépens</w:t>
      </w:r>
      <w:r w:rsidRPr="001114D8">
        <w:t>es</w:t>
      </w:r>
      <w:r>
        <w:t>,</w:t>
      </w:r>
      <w:r w:rsidRPr="001114D8">
        <w:t xml:space="preserve"> le contrôle « </w:t>
      </w:r>
      <w:r w:rsidRPr="001114D8">
        <w:rPr>
          <w:rFonts w:cs="Arial"/>
          <w:i/>
          <w:szCs w:val="22"/>
        </w:rPr>
        <w:t>de l'exacte imputation des dépenses aux chapitres qu'elles concernent selon leur nature ou leur objet ;</w:t>
      </w:r>
      <w:r w:rsidR="00655EF9">
        <w:rPr>
          <w:rFonts w:cs="Arial"/>
          <w:i/>
          <w:szCs w:val="22"/>
        </w:rPr>
        <w:t xml:space="preserve"> </w:t>
      </w:r>
      <w:r w:rsidRPr="001114D8">
        <w:rPr>
          <w:rFonts w:cs="Arial"/>
          <w:i/>
          <w:szCs w:val="22"/>
        </w:rPr>
        <w:t>de la validité de la créance dans les conditions prévues à l'article</w:t>
      </w:r>
      <w:r w:rsidR="00DC089C">
        <w:rPr>
          <w:rFonts w:cs="Arial"/>
          <w:i/>
          <w:szCs w:val="22"/>
        </w:rPr>
        <w:t> </w:t>
      </w:r>
      <w:r w:rsidRPr="00655EF9">
        <w:rPr>
          <w:rFonts w:cs="Arial"/>
          <w:i/>
          <w:szCs w:val="22"/>
        </w:rPr>
        <w:t>13</w:t>
      </w:r>
      <w:r w:rsidR="00655EF9" w:rsidRPr="00655EF9">
        <w:rPr>
          <w:rFonts w:cs="Arial"/>
          <w:szCs w:val="22"/>
        </w:rPr>
        <w:t> </w:t>
      </w:r>
      <w:r w:rsidRPr="001114D8">
        <w:rPr>
          <w:rFonts w:cs="Arial"/>
          <w:szCs w:val="22"/>
        </w:rPr>
        <w:t>» ;</w:t>
      </w:r>
      <w:r>
        <w:rPr>
          <w:rFonts w:cs="Arial"/>
          <w:szCs w:val="22"/>
        </w:rPr>
        <w:t xml:space="preserve"> </w:t>
      </w:r>
      <w:r w:rsidRPr="001114D8">
        <w:rPr>
          <w:rFonts w:cs="Arial"/>
          <w:szCs w:val="22"/>
        </w:rPr>
        <w:t>qu’en ce qui concerne la validité de la créance</w:t>
      </w:r>
      <w:r>
        <w:rPr>
          <w:rFonts w:cs="Arial"/>
          <w:szCs w:val="22"/>
        </w:rPr>
        <w:t>,</w:t>
      </w:r>
      <w:r w:rsidRPr="001114D8">
        <w:rPr>
          <w:rFonts w:cs="Arial"/>
          <w:szCs w:val="22"/>
        </w:rPr>
        <w:t xml:space="preserve"> </w:t>
      </w:r>
      <w:r>
        <w:rPr>
          <w:rFonts w:cs="Arial"/>
          <w:szCs w:val="22"/>
        </w:rPr>
        <w:t>l’article</w:t>
      </w:r>
      <w:r w:rsidR="00655EF9">
        <w:rPr>
          <w:rFonts w:cs="Arial"/>
          <w:szCs w:val="22"/>
        </w:rPr>
        <w:t xml:space="preserve"> </w:t>
      </w:r>
      <w:r>
        <w:rPr>
          <w:rFonts w:cs="Arial"/>
          <w:szCs w:val="22"/>
        </w:rPr>
        <w:t xml:space="preserve">13 du texte précité précise que </w:t>
      </w:r>
      <w:r w:rsidRPr="001114D8">
        <w:rPr>
          <w:rFonts w:cs="Arial"/>
          <w:szCs w:val="22"/>
        </w:rPr>
        <w:t>le contrôle porte sur « </w:t>
      </w:r>
      <w:r w:rsidRPr="001114D8">
        <w:rPr>
          <w:rFonts w:cs="Arial"/>
          <w:i/>
          <w:szCs w:val="22"/>
        </w:rPr>
        <w:t xml:space="preserve">l'intervention préalable des contrôles </w:t>
      </w:r>
      <w:r w:rsidRPr="00A92B7A">
        <w:rPr>
          <w:rFonts w:cs="Arial"/>
          <w:i/>
          <w:szCs w:val="22"/>
        </w:rPr>
        <w:t>réglementaires et la production des justifications </w:t>
      </w:r>
      <w:r w:rsidRPr="00A92B7A">
        <w:rPr>
          <w:rFonts w:cs="Arial"/>
          <w:szCs w:val="22"/>
        </w:rPr>
        <w:t>» ;</w:t>
      </w:r>
      <w:r w:rsidR="00655EF9">
        <w:rPr>
          <w:rFonts w:cs="Arial"/>
          <w:szCs w:val="22"/>
        </w:rPr>
        <w:t xml:space="preserve"> </w:t>
      </w:r>
      <w:r w:rsidRPr="00A92B7A">
        <w:rPr>
          <w:rFonts w:cs="Arial"/>
          <w:szCs w:val="22"/>
        </w:rPr>
        <w:t>que l’article</w:t>
      </w:r>
      <w:r w:rsidR="00655EF9">
        <w:rPr>
          <w:rFonts w:cs="Arial"/>
          <w:szCs w:val="22"/>
        </w:rPr>
        <w:t xml:space="preserve"> </w:t>
      </w:r>
      <w:r w:rsidRPr="00A92B7A">
        <w:rPr>
          <w:rFonts w:cs="Arial"/>
          <w:szCs w:val="22"/>
        </w:rPr>
        <w:t xml:space="preserve">37 du même décret </w:t>
      </w:r>
      <w:r w:rsidRPr="00A92B7A">
        <w:rPr>
          <w:rFonts w:cs="Arial"/>
          <w:szCs w:val="22"/>
        </w:rPr>
        <w:lastRenderedPageBreak/>
        <w:t>dispose que « </w:t>
      </w:r>
      <w:r>
        <w:rPr>
          <w:rFonts w:cs="Arial"/>
          <w:i/>
          <w:szCs w:val="22"/>
        </w:rPr>
        <w:t>l</w:t>
      </w:r>
      <w:r w:rsidRPr="00A92B7A">
        <w:rPr>
          <w:rFonts w:cs="Arial"/>
          <w:i/>
          <w:szCs w:val="22"/>
        </w:rPr>
        <w:t>orsque, à l'occasion de l'exercice du contrôle prévu à l'article</w:t>
      </w:r>
      <w:r w:rsidR="00655EF9">
        <w:rPr>
          <w:rFonts w:cs="Arial"/>
          <w:i/>
          <w:szCs w:val="22"/>
        </w:rPr>
        <w:t xml:space="preserve"> </w:t>
      </w:r>
      <w:r w:rsidRPr="00A92B7A">
        <w:rPr>
          <w:rFonts w:cs="Arial"/>
          <w:i/>
          <w:szCs w:val="22"/>
        </w:rPr>
        <w:t>12 (alinéa</w:t>
      </w:r>
      <w:r w:rsidR="00DC089C">
        <w:rPr>
          <w:rFonts w:cs="Arial"/>
          <w:i/>
          <w:szCs w:val="22"/>
        </w:rPr>
        <w:t> </w:t>
      </w:r>
      <w:r w:rsidRPr="00A92B7A">
        <w:rPr>
          <w:rFonts w:cs="Arial"/>
          <w:i/>
          <w:szCs w:val="22"/>
        </w:rPr>
        <w:t>B) ci-dessus, des irrégularités sont constatées, les comptables publics suspendent les paiements et en informent l'ordonnateur </w:t>
      </w:r>
      <w:r w:rsidRPr="00A92B7A">
        <w:rPr>
          <w:rFonts w:cs="Arial"/>
          <w:szCs w:val="22"/>
        </w:rPr>
        <w:t>» ;</w:t>
      </w:r>
      <w:r>
        <w:rPr>
          <w:rFonts w:cs="Arial"/>
          <w:szCs w:val="22"/>
        </w:rPr>
        <w:t xml:space="preserve"> qu’il résulte des dispositions ainsi rappelées qu’il n’est pas demandé aux comptables publics de vérifier les motifs, mais la nature de la dépense, laquelle conditionne à la fois l’exactitude de l’imputation comptable et la production des justifications prévues par la réglementation ; que</w:t>
      </w:r>
      <w:r w:rsidR="00655EF9">
        <w:rPr>
          <w:rFonts w:cs="Arial"/>
          <w:szCs w:val="22"/>
        </w:rPr>
        <w:t xml:space="preserve"> </w:t>
      </w:r>
      <w:r>
        <w:rPr>
          <w:rFonts w:cs="Arial"/>
          <w:szCs w:val="22"/>
        </w:rPr>
        <w:t>l’exercice de ce contrôle repose non sur des présomptions ou des intentions, mais sur des éléments matériels et que, dans le cas où les éléments apportés par l’ordonnateur à l’appui d’un mandat ne permettent pas d’apprécier la nature de la dépense correspondante, il appartient au comptable de surseoir au paiement dudit mandat</w:t>
      </w:r>
      <w:r w:rsidR="00655EF9">
        <w:rPr>
          <w:rFonts w:cs="Arial"/>
          <w:szCs w:val="22"/>
        </w:rPr>
        <w:t> </w:t>
      </w:r>
      <w:r>
        <w:rPr>
          <w:rFonts w:cs="Arial"/>
          <w:szCs w:val="22"/>
        </w:rPr>
        <w:t xml:space="preserve">; qu’ainsi, les moyens selon lesquels seul l’ordonnateur serait à même de disposer des éléments </w:t>
      </w:r>
      <w:r w:rsidRPr="00ED0DB2">
        <w:t>néce</w:t>
      </w:r>
      <w:r>
        <w:t xml:space="preserve">ssaires au choix de l’imputation </w:t>
      </w:r>
      <w:r w:rsidRPr="00ED0DB2">
        <w:t>bu</w:t>
      </w:r>
      <w:r>
        <w:t>dgétaire appropriée</w:t>
      </w:r>
      <w:r w:rsidR="00074BE1">
        <w:t xml:space="preserve"> </w:t>
      </w:r>
      <w:r>
        <w:rPr>
          <w:rFonts w:cs="Arial"/>
          <w:szCs w:val="22"/>
        </w:rPr>
        <w:t xml:space="preserve">et que le simple fait que les factures soient correctement libellées </w:t>
      </w:r>
      <w:r w:rsidRPr="00ED0DB2">
        <w:t>et comport</w:t>
      </w:r>
      <w:r>
        <w:t>ent les mentions réglementaires</w:t>
      </w:r>
      <w:r w:rsidR="00655EF9">
        <w:t xml:space="preserve"> </w:t>
      </w:r>
      <w:r>
        <w:rPr>
          <w:rFonts w:cs="Arial"/>
          <w:szCs w:val="22"/>
        </w:rPr>
        <w:t>imposerait au comptable le paiement manquent en droit ;</w:t>
      </w:r>
      <w:r w:rsidRPr="00540FDD">
        <w:rPr>
          <w:rFonts w:cs="Arial"/>
          <w:szCs w:val="22"/>
        </w:rPr>
        <w:t xml:space="preserve"> </w:t>
      </w:r>
      <w:r>
        <w:rPr>
          <w:rFonts w:cs="Arial"/>
          <w:szCs w:val="22"/>
        </w:rPr>
        <w:t xml:space="preserve">qu’au surplus la charge ne reposant pas sur un défaut de contrôle des motifs de la dépense mais sur </w:t>
      </w:r>
      <w:r>
        <w:t>le défaut de contrôle de l’exacte imputation des dépenses et de la production des justifications</w:t>
      </w:r>
      <w:r>
        <w:rPr>
          <w:rFonts w:cs="Arial"/>
          <w:szCs w:val="22"/>
        </w:rPr>
        <w:t>, l’argument est inopérant ;</w:t>
      </w:r>
    </w:p>
    <w:p w:rsidR="009A4B02" w:rsidRDefault="009A4B02" w:rsidP="0033162A">
      <w:pPr>
        <w:pStyle w:val="PS"/>
      </w:pPr>
      <w:r>
        <w:rPr>
          <w:rFonts w:cs="Arial"/>
          <w:szCs w:val="22"/>
        </w:rPr>
        <w:t>Considérant enfin que le comptable n’établit pas en appel qu’il était en mesure, au moment où il a procédé au pa</w:t>
      </w:r>
      <w:r w:rsidR="00DC089C">
        <w:rPr>
          <w:rFonts w:cs="Arial"/>
          <w:szCs w:val="22"/>
        </w:rPr>
        <w:t>i</w:t>
      </w:r>
      <w:r>
        <w:rPr>
          <w:rFonts w:cs="Arial"/>
          <w:szCs w:val="22"/>
        </w:rPr>
        <w:t>ement des mandats litigieux, de déterminer la</w:t>
      </w:r>
      <w:r w:rsidR="00655EF9">
        <w:rPr>
          <w:rFonts w:cs="Arial"/>
          <w:szCs w:val="22"/>
        </w:rPr>
        <w:t xml:space="preserve"> </w:t>
      </w:r>
      <w:r>
        <w:rPr>
          <w:rFonts w:cs="Arial"/>
          <w:szCs w:val="22"/>
        </w:rPr>
        <w:t>nature de la dépense et donc, comme le lui imposait la réglementation en vigueur, de</w:t>
      </w:r>
      <w:r w:rsidR="00655EF9">
        <w:rPr>
          <w:rFonts w:cs="Arial"/>
          <w:szCs w:val="22"/>
        </w:rPr>
        <w:t xml:space="preserve"> </w:t>
      </w:r>
      <w:r>
        <w:rPr>
          <w:rFonts w:cs="Arial"/>
          <w:szCs w:val="22"/>
        </w:rPr>
        <w:t>vérifier l’exactitude de l’imputation des dépenses au chapitre proposé ni,</w:t>
      </w:r>
      <w:r w:rsidR="00655EF9">
        <w:rPr>
          <w:rFonts w:cs="Arial"/>
          <w:szCs w:val="22"/>
        </w:rPr>
        <w:t xml:space="preserve"> </w:t>
      </w:r>
      <w:r>
        <w:rPr>
          <w:rFonts w:cs="Arial"/>
          <w:szCs w:val="22"/>
        </w:rPr>
        <w:t>en</w:t>
      </w:r>
      <w:r w:rsidR="00655EF9">
        <w:rPr>
          <w:rFonts w:cs="Arial"/>
          <w:szCs w:val="22"/>
        </w:rPr>
        <w:t xml:space="preserve"> </w:t>
      </w:r>
      <w:r>
        <w:rPr>
          <w:rFonts w:cs="Arial"/>
          <w:szCs w:val="22"/>
        </w:rPr>
        <w:t>conséquence, d’exiger les pièces justificatives requises par la nomenclature ;</w:t>
      </w:r>
    </w:p>
    <w:p w:rsidR="009A4B02" w:rsidRPr="00ED0DB2" w:rsidRDefault="009A4B02" w:rsidP="0033162A">
      <w:pPr>
        <w:pStyle w:val="PS"/>
      </w:pPr>
      <w:r>
        <w:t>P</w:t>
      </w:r>
      <w:r w:rsidRPr="00ED0DB2">
        <w:t>ar ces motifs,</w:t>
      </w:r>
    </w:p>
    <w:p w:rsidR="009A4B02" w:rsidRPr="00ED0DB2" w:rsidRDefault="009A4B02" w:rsidP="0033162A">
      <w:pPr>
        <w:pStyle w:val="PS"/>
        <w:ind w:firstLine="0"/>
        <w:jc w:val="center"/>
      </w:pPr>
      <w:r>
        <w:t>DECIDE</w:t>
      </w:r>
      <w:r w:rsidRPr="00ED0DB2">
        <w:t xml:space="preserve"> :</w:t>
      </w:r>
      <w:bookmarkStart w:id="0" w:name="_GoBack"/>
      <w:bookmarkEnd w:id="0"/>
    </w:p>
    <w:p w:rsidR="009A4B02" w:rsidRDefault="009A4B02" w:rsidP="0033162A">
      <w:pPr>
        <w:pStyle w:val="PS"/>
      </w:pPr>
      <w:r w:rsidRPr="00ED0DB2">
        <w:t>Article unique</w:t>
      </w:r>
      <w:r w:rsidR="00637A05">
        <w:t> </w:t>
      </w:r>
      <w:r w:rsidRPr="00ED0DB2">
        <w:t>–</w:t>
      </w:r>
      <w:r w:rsidR="00637A05">
        <w:t> </w:t>
      </w:r>
      <w:r w:rsidRPr="00ED0DB2">
        <w:t>L</w:t>
      </w:r>
      <w:r>
        <w:t>a requête de M.</w:t>
      </w:r>
      <w:r w:rsidR="00DC089C">
        <w:t> </w:t>
      </w:r>
      <w:r w:rsidR="00A7070C">
        <w:t>X</w:t>
      </w:r>
      <w:r>
        <w:t xml:space="preserve"> est rejetée</w:t>
      </w:r>
      <w:r w:rsidRPr="00ED0DB2">
        <w:t>.</w:t>
      </w:r>
    </w:p>
    <w:p w:rsidR="00DC089C" w:rsidRPr="00ED0DB2" w:rsidRDefault="00DC089C" w:rsidP="0033162A">
      <w:pPr>
        <w:pStyle w:val="PS"/>
        <w:ind w:firstLine="0"/>
        <w:jc w:val="center"/>
      </w:pPr>
      <w:r>
        <w:t>----------</w:t>
      </w:r>
    </w:p>
    <w:p w:rsidR="009A4B02" w:rsidRDefault="009A4B02" w:rsidP="0033162A">
      <w:pPr>
        <w:pStyle w:val="PS"/>
      </w:pPr>
      <w:r w:rsidRPr="00A021DF">
        <w:t>Fait et jugé en la Cour des comptes, quatrième chambre, première section, le</w:t>
      </w:r>
      <w:r w:rsidR="00DC089C">
        <w:t>s sept et vingt-et-un</w:t>
      </w:r>
      <w:r w:rsidRPr="00A021DF">
        <w:t xml:space="preserve"> mars </w:t>
      </w:r>
      <w:r w:rsidR="00DC089C">
        <w:t>deux mil treize. Présents :</w:t>
      </w:r>
      <w:r w:rsidRPr="00A021DF">
        <w:t xml:space="preserve"> M.</w:t>
      </w:r>
      <w:r w:rsidR="00DC089C">
        <w:t> </w:t>
      </w:r>
      <w:r w:rsidRPr="00A021DF">
        <w:t xml:space="preserve">Bayle, président, </w:t>
      </w:r>
      <w:r w:rsidR="00DC089C">
        <w:t xml:space="preserve">M. Maistre, président de section, M. Vermeulen, Mme Gadriot-Renard et M. Geoffroy, </w:t>
      </w:r>
      <w:r w:rsidRPr="00A021DF">
        <w:t>conseillers maîtres.</w:t>
      </w:r>
    </w:p>
    <w:p w:rsidR="009A4B02" w:rsidRPr="00A021DF" w:rsidRDefault="00531378" w:rsidP="009A4B02">
      <w:pPr>
        <w:pStyle w:val="PS"/>
      </w:pPr>
      <w:r>
        <w:br w:type="page"/>
      </w:r>
      <w:r w:rsidR="009A4B02" w:rsidRPr="00A021DF">
        <w:lastRenderedPageBreak/>
        <w:t>Signé : Bayle, président, et Férez, greffier.</w:t>
      </w:r>
    </w:p>
    <w:p w:rsidR="009A4B02" w:rsidRPr="00A021DF" w:rsidRDefault="009A4B02" w:rsidP="009A4B02">
      <w:pPr>
        <w:pStyle w:val="PS"/>
      </w:pPr>
      <w:r w:rsidRPr="00A021DF">
        <w:t>Collationné, certifié conforme à la minute étant au greffe de la Cour des comptes et délivré par moi, secrétaire général.</w:t>
      </w:r>
    </w:p>
    <w:p w:rsidR="00B8387A" w:rsidRPr="00D53EFA" w:rsidRDefault="00B8387A" w:rsidP="005A0CEB">
      <w:pPr>
        <w:ind w:left="6521"/>
        <w:jc w:val="center"/>
        <w:rPr>
          <w:b/>
          <w:bCs/>
          <w:sz w:val="24"/>
        </w:rPr>
      </w:pPr>
      <w:r w:rsidRPr="00D53EFA">
        <w:rPr>
          <w:b/>
          <w:bCs/>
          <w:sz w:val="24"/>
        </w:rPr>
        <w:t>Pour le Secrétaire général</w:t>
      </w:r>
    </w:p>
    <w:p w:rsidR="00B8387A" w:rsidRPr="00D53EFA" w:rsidRDefault="00B8387A" w:rsidP="005A0CEB">
      <w:pPr>
        <w:ind w:left="6521"/>
        <w:jc w:val="center"/>
        <w:rPr>
          <w:b/>
          <w:bCs/>
          <w:sz w:val="24"/>
        </w:rPr>
      </w:pPr>
      <w:r w:rsidRPr="00D53EFA">
        <w:rPr>
          <w:b/>
          <w:bCs/>
          <w:sz w:val="24"/>
        </w:rPr>
        <w:t>et par délégation,</w:t>
      </w:r>
    </w:p>
    <w:p w:rsidR="00B8387A" w:rsidRPr="00D53EFA" w:rsidRDefault="00B8387A" w:rsidP="00C10073">
      <w:pPr>
        <w:spacing w:after="2040"/>
        <w:ind w:left="6521"/>
        <w:jc w:val="center"/>
        <w:rPr>
          <w:b/>
          <w:bCs/>
          <w:sz w:val="24"/>
        </w:rPr>
      </w:pPr>
      <w:r>
        <w:rPr>
          <w:b/>
          <w:bCs/>
          <w:sz w:val="24"/>
        </w:rPr>
        <w:t>l</w:t>
      </w:r>
      <w:r w:rsidRPr="00D53EFA">
        <w:rPr>
          <w:b/>
          <w:bCs/>
          <w:sz w:val="24"/>
        </w:rPr>
        <w:t>e Chef du Greffe contentieux</w:t>
      </w:r>
    </w:p>
    <w:p w:rsidR="00B8387A" w:rsidRPr="00D53EFA" w:rsidRDefault="00B8387A" w:rsidP="00441765">
      <w:pPr>
        <w:spacing w:before="240" w:after="360"/>
        <w:ind w:left="6804"/>
        <w:jc w:val="center"/>
        <w:rPr>
          <w:b/>
          <w:bCs/>
          <w:sz w:val="24"/>
        </w:rPr>
      </w:pPr>
      <w:r w:rsidRPr="00D53EFA">
        <w:rPr>
          <w:b/>
          <w:bCs/>
          <w:sz w:val="24"/>
        </w:rPr>
        <w:t>Daniel FEREZ</w:t>
      </w:r>
    </w:p>
    <w:sectPr w:rsidR="00B8387A" w:rsidRPr="00D53EFA">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451" w:rsidRDefault="00A72451">
      <w:r>
        <w:separator/>
      </w:r>
    </w:p>
  </w:endnote>
  <w:endnote w:type="continuationSeparator" w:id="0">
    <w:p w:rsidR="00A72451" w:rsidRDefault="00A7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451" w:rsidRDefault="00A72451">
      <w:r>
        <w:separator/>
      </w:r>
    </w:p>
  </w:footnote>
  <w:footnote w:type="continuationSeparator" w:id="0">
    <w:p w:rsidR="00A72451" w:rsidRDefault="00A724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55EF9">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5B42"/>
    <w:rsid w:val="00064C37"/>
    <w:rsid w:val="00074BE1"/>
    <w:rsid w:val="001E36E0"/>
    <w:rsid w:val="00200FC9"/>
    <w:rsid w:val="0020644C"/>
    <w:rsid w:val="00270800"/>
    <w:rsid w:val="0032603F"/>
    <w:rsid w:val="0033162A"/>
    <w:rsid w:val="003F3DFD"/>
    <w:rsid w:val="00402A69"/>
    <w:rsid w:val="00441765"/>
    <w:rsid w:val="00491FAF"/>
    <w:rsid w:val="004F1651"/>
    <w:rsid w:val="00511B1F"/>
    <w:rsid w:val="00530700"/>
    <w:rsid w:val="00531378"/>
    <w:rsid w:val="005602D6"/>
    <w:rsid w:val="00570B82"/>
    <w:rsid w:val="005A0CEB"/>
    <w:rsid w:val="005C6EB7"/>
    <w:rsid w:val="005D152E"/>
    <w:rsid w:val="00601A08"/>
    <w:rsid w:val="006073F1"/>
    <w:rsid w:val="00637A05"/>
    <w:rsid w:val="00655EF9"/>
    <w:rsid w:val="0075324B"/>
    <w:rsid w:val="007A3180"/>
    <w:rsid w:val="007C29DD"/>
    <w:rsid w:val="007C5A15"/>
    <w:rsid w:val="007D436B"/>
    <w:rsid w:val="00882919"/>
    <w:rsid w:val="009A4B02"/>
    <w:rsid w:val="009C1BEA"/>
    <w:rsid w:val="00A7070C"/>
    <w:rsid w:val="00A72451"/>
    <w:rsid w:val="00B33935"/>
    <w:rsid w:val="00B8387A"/>
    <w:rsid w:val="00BB3270"/>
    <w:rsid w:val="00BC49D0"/>
    <w:rsid w:val="00C10073"/>
    <w:rsid w:val="00C17D91"/>
    <w:rsid w:val="00C20360"/>
    <w:rsid w:val="00C74159"/>
    <w:rsid w:val="00CB2F76"/>
    <w:rsid w:val="00D00D58"/>
    <w:rsid w:val="00DC089C"/>
    <w:rsid w:val="00E823A2"/>
    <w:rsid w:val="00F400F5"/>
    <w:rsid w:val="00F52F06"/>
    <w:rsid w:val="00F94E8E"/>
    <w:rsid w:val="00FA5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9A4B02"/>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9A4B02"/>
    <w:rPr>
      <w:rFonts w:ascii="Calibri" w:eastAsia="Times New Roman" w:hAnsi="Calibri" w:cs="Times New Roman"/>
      <w:b/>
      <w:bCs/>
      <w:sz w:val="28"/>
      <w:szCs w:val="28"/>
    </w:rPr>
  </w:style>
  <w:style w:type="paragraph" w:styleId="Corpsdetexte">
    <w:name w:val="Body Text"/>
    <w:aliases w:val="Corps de texte Car2,Corps de texte Car1 Car,Corps de texte Car Car Car,Corps de texte Car1 Car Car Car,Corps de texte Car Car Car Car Car,Corps de texte Car Car1 Car Car,Corps de texte Car Car1 Car,Corps de texte Car1 Car Car1"/>
    <w:basedOn w:val="Normal"/>
    <w:link w:val="CorpsdetexteCar"/>
    <w:rsid w:val="009A4B02"/>
    <w:pPr>
      <w:spacing w:before="120" w:after="120"/>
      <w:ind w:firstLine="709"/>
      <w:jc w:val="both"/>
    </w:pPr>
    <w:rPr>
      <w:sz w:val="24"/>
    </w:rPr>
  </w:style>
  <w:style w:type="character" w:customStyle="1" w:styleId="CorpsdetexteCar">
    <w:name w:val="Corps de texte Car"/>
    <w:aliases w:val="Corps de texte Car2 Car,Corps de texte Car1 Car Car,Corps de texte Car Car Car Car,Corps de texte Car1 Car Car Car Car,Corps de texte Car Car Car Car Car Car,Corps de texte Car Car1 Car Car Car,Corps de texte Car Car1 Car Car1"/>
    <w:link w:val="Corpsdetexte"/>
    <w:rsid w:val="009A4B02"/>
    <w:rPr>
      <w:sz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9A4B02"/>
    <w:rPr>
      <w:sz w:val="24"/>
      <w:lang w:val="fr-FR" w:eastAsia="fr-FR" w:bidi="ar-SA"/>
    </w:rPr>
  </w:style>
  <w:style w:type="character" w:customStyle="1" w:styleId="P0Car">
    <w:name w:val="P0 Car"/>
    <w:link w:val="P0"/>
    <w:locked/>
    <w:rsid w:val="00FA553E"/>
    <w:rPr>
      <w:sz w:val="24"/>
      <w:szCs w:val="24"/>
    </w:rPr>
  </w:style>
  <w:style w:type="character" w:styleId="Marquedecommentaire">
    <w:name w:val="annotation reference"/>
    <w:uiPriority w:val="99"/>
    <w:semiHidden/>
    <w:unhideWhenUsed/>
    <w:rsid w:val="00BC49D0"/>
    <w:rPr>
      <w:sz w:val="16"/>
      <w:szCs w:val="16"/>
    </w:rPr>
  </w:style>
  <w:style w:type="paragraph" w:styleId="Commentaire">
    <w:name w:val="annotation text"/>
    <w:basedOn w:val="Normal"/>
    <w:link w:val="CommentaireCar"/>
    <w:uiPriority w:val="99"/>
    <w:semiHidden/>
    <w:unhideWhenUsed/>
    <w:rsid w:val="00BC49D0"/>
  </w:style>
  <w:style w:type="character" w:customStyle="1" w:styleId="CommentaireCar">
    <w:name w:val="Commentaire Car"/>
    <w:basedOn w:val="Policepardfaut"/>
    <w:link w:val="Commentaire"/>
    <w:uiPriority w:val="99"/>
    <w:semiHidden/>
    <w:rsid w:val="00BC49D0"/>
  </w:style>
  <w:style w:type="paragraph" w:styleId="Objetducommentaire">
    <w:name w:val="annotation subject"/>
    <w:basedOn w:val="Commentaire"/>
    <w:next w:val="Commentaire"/>
    <w:link w:val="ObjetducommentaireCar"/>
    <w:uiPriority w:val="99"/>
    <w:semiHidden/>
    <w:unhideWhenUsed/>
    <w:rsid w:val="00BC49D0"/>
    <w:rPr>
      <w:b/>
      <w:bCs/>
    </w:rPr>
  </w:style>
  <w:style w:type="character" w:customStyle="1" w:styleId="ObjetducommentaireCar">
    <w:name w:val="Objet du commentaire Car"/>
    <w:link w:val="Objetducommentaire"/>
    <w:uiPriority w:val="99"/>
    <w:semiHidden/>
    <w:rsid w:val="00BC49D0"/>
    <w:rPr>
      <w:b/>
      <w:bCs/>
    </w:rPr>
  </w:style>
  <w:style w:type="paragraph" w:styleId="Rvision">
    <w:name w:val="Revision"/>
    <w:hidden/>
    <w:uiPriority w:val="99"/>
    <w:semiHidden/>
    <w:rsid w:val="00BC49D0"/>
  </w:style>
  <w:style w:type="paragraph" w:styleId="Textedebulles">
    <w:name w:val="Balloon Text"/>
    <w:basedOn w:val="Normal"/>
    <w:link w:val="TextedebullesCar"/>
    <w:uiPriority w:val="99"/>
    <w:semiHidden/>
    <w:unhideWhenUsed/>
    <w:rsid w:val="00BC49D0"/>
    <w:rPr>
      <w:rFonts w:ascii="Tahoma" w:hAnsi="Tahoma" w:cs="Tahoma"/>
      <w:sz w:val="16"/>
      <w:szCs w:val="16"/>
    </w:rPr>
  </w:style>
  <w:style w:type="character" w:customStyle="1" w:styleId="TextedebullesCar">
    <w:name w:val="Texte de bulles Car"/>
    <w:link w:val="Textedebulles"/>
    <w:uiPriority w:val="99"/>
    <w:semiHidden/>
    <w:rsid w:val="00BC49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10</TotalTime>
  <Pages>5</Pages>
  <Words>1433</Words>
  <Characters>7882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2013-04-11T13:20:00Z</cp:lastPrinted>
  <dcterms:created xsi:type="dcterms:W3CDTF">2013-05-06T10:28:00Z</dcterms:created>
  <dcterms:modified xsi:type="dcterms:W3CDTF">2013-05-09T18:16:00Z</dcterms:modified>
</cp:coreProperties>
</file>