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F7" w:rsidRPr="007343A4" w:rsidRDefault="00DA5CF7" w:rsidP="00AD2BC6">
      <w:pPr>
        <w:jc w:val="both"/>
        <w:rPr>
          <w:b/>
          <w:cap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tblGrid>
      <w:tr w:rsidR="00DA5CF7" w:rsidRPr="007343A4" w:rsidTr="003F7864">
        <w:tc>
          <w:tcPr>
            <w:tcW w:w="2943" w:type="dxa"/>
            <w:tcBorders>
              <w:top w:val="nil"/>
              <w:left w:val="nil"/>
              <w:bottom w:val="nil"/>
              <w:right w:val="nil"/>
            </w:tcBorders>
            <w:shd w:val="clear" w:color="auto" w:fill="auto"/>
          </w:tcPr>
          <w:p w:rsidR="00DA5CF7" w:rsidRPr="007343A4" w:rsidRDefault="00DA5CF7" w:rsidP="003F7864">
            <w:pPr>
              <w:jc w:val="center"/>
              <w:rPr>
                <w:b/>
                <w:caps/>
                <w:sz w:val="22"/>
                <w:szCs w:val="22"/>
              </w:rPr>
            </w:pPr>
            <w:r w:rsidRPr="007343A4">
              <w:rPr>
                <w:b/>
                <w:caps/>
                <w:sz w:val="24"/>
              </w:rPr>
              <w:t>COUR DES COMPTES</w:t>
            </w:r>
          </w:p>
          <w:p w:rsidR="00DA5CF7" w:rsidRPr="007343A4" w:rsidRDefault="00DA5CF7" w:rsidP="003F7864">
            <w:pPr>
              <w:jc w:val="center"/>
              <w:rPr>
                <w:b/>
                <w:caps/>
                <w:sz w:val="22"/>
                <w:szCs w:val="22"/>
              </w:rPr>
            </w:pPr>
            <w:r w:rsidRPr="007343A4">
              <w:rPr>
                <w:b/>
                <w:caps/>
                <w:sz w:val="22"/>
                <w:szCs w:val="22"/>
              </w:rPr>
              <w:t>--------</w:t>
            </w:r>
          </w:p>
          <w:p w:rsidR="00DA5CF7" w:rsidRPr="007343A4" w:rsidRDefault="00DA5CF7" w:rsidP="003F7864">
            <w:pPr>
              <w:jc w:val="center"/>
              <w:rPr>
                <w:b/>
                <w:caps/>
                <w:sz w:val="22"/>
                <w:szCs w:val="22"/>
              </w:rPr>
            </w:pPr>
            <w:r w:rsidRPr="007343A4">
              <w:rPr>
                <w:b/>
                <w:caps/>
                <w:sz w:val="22"/>
                <w:szCs w:val="22"/>
              </w:rPr>
              <w:t>QUATRIEME CHAMBRE</w:t>
            </w:r>
          </w:p>
          <w:p w:rsidR="00DA5CF7" w:rsidRPr="007343A4" w:rsidRDefault="00DA5CF7" w:rsidP="003F7864">
            <w:pPr>
              <w:jc w:val="center"/>
              <w:rPr>
                <w:b/>
                <w:caps/>
                <w:sz w:val="22"/>
                <w:szCs w:val="22"/>
              </w:rPr>
            </w:pPr>
            <w:r w:rsidRPr="007343A4">
              <w:rPr>
                <w:b/>
                <w:caps/>
                <w:sz w:val="22"/>
                <w:szCs w:val="22"/>
              </w:rPr>
              <w:t>--------</w:t>
            </w:r>
          </w:p>
          <w:p w:rsidR="00DA5CF7" w:rsidRPr="007343A4" w:rsidRDefault="00DA5CF7" w:rsidP="003F7864">
            <w:pPr>
              <w:jc w:val="center"/>
              <w:rPr>
                <w:b/>
                <w:caps/>
                <w:sz w:val="22"/>
                <w:szCs w:val="22"/>
              </w:rPr>
            </w:pPr>
            <w:r w:rsidRPr="007343A4">
              <w:rPr>
                <w:b/>
                <w:caps/>
                <w:sz w:val="22"/>
                <w:szCs w:val="22"/>
              </w:rPr>
              <w:t>PREMIERE SECTION</w:t>
            </w:r>
          </w:p>
          <w:p w:rsidR="00DA5CF7" w:rsidRPr="007343A4" w:rsidRDefault="00DA5CF7" w:rsidP="003F7864">
            <w:pPr>
              <w:jc w:val="center"/>
              <w:rPr>
                <w:b/>
                <w:caps/>
                <w:sz w:val="22"/>
                <w:szCs w:val="22"/>
              </w:rPr>
            </w:pPr>
            <w:r w:rsidRPr="007343A4">
              <w:rPr>
                <w:b/>
                <w:caps/>
                <w:sz w:val="22"/>
                <w:szCs w:val="22"/>
              </w:rPr>
              <w:t>--------</w:t>
            </w:r>
          </w:p>
          <w:p w:rsidR="00DA5CF7" w:rsidRPr="007343A4" w:rsidRDefault="00DA5CF7" w:rsidP="003F7864">
            <w:pPr>
              <w:pStyle w:val="Titre1"/>
              <w:jc w:val="center"/>
              <w:rPr>
                <w:b/>
                <w:i/>
                <w:sz w:val="22"/>
                <w:szCs w:val="22"/>
              </w:rPr>
            </w:pPr>
            <w:r w:rsidRPr="007343A4">
              <w:rPr>
                <w:b/>
                <w:i/>
                <w:sz w:val="22"/>
                <w:szCs w:val="22"/>
              </w:rPr>
              <w:t>Arrêt n° 67538</w:t>
            </w:r>
          </w:p>
          <w:p w:rsidR="00DA5CF7" w:rsidRPr="007343A4" w:rsidRDefault="00DA5CF7" w:rsidP="003F7864">
            <w:pPr>
              <w:jc w:val="both"/>
              <w:rPr>
                <w:b/>
                <w:caps/>
                <w:sz w:val="24"/>
              </w:rPr>
            </w:pPr>
          </w:p>
        </w:tc>
      </w:tr>
    </w:tbl>
    <w:p w:rsidR="005F641F" w:rsidRPr="007343A4" w:rsidRDefault="005F641F" w:rsidP="005F641F"/>
    <w:p w:rsidR="00042DE1" w:rsidRPr="007343A4" w:rsidRDefault="00042DE1" w:rsidP="00AD2BC6">
      <w:pPr>
        <w:jc w:val="both"/>
      </w:pPr>
    </w:p>
    <w:p w:rsidR="00042DE1" w:rsidRPr="007343A4" w:rsidRDefault="00680D9A" w:rsidP="004149E8">
      <w:pPr>
        <w:ind w:left="4536"/>
        <w:jc w:val="both"/>
        <w:rPr>
          <w:caps/>
          <w:sz w:val="24"/>
          <w:szCs w:val="24"/>
        </w:rPr>
      </w:pPr>
      <w:r w:rsidRPr="007343A4">
        <w:rPr>
          <w:caps/>
          <w:sz w:val="24"/>
          <w:szCs w:val="24"/>
        </w:rPr>
        <w:t xml:space="preserve">Collège </w:t>
      </w:r>
      <w:r w:rsidR="00843D2E" w:rsidRPr="007343A4">
        <w:rPr>
          <w:caps/>
          <w:sz w:val="24"/>
          <w:szCs w:val="24"/>
        </w:rPr>
        <w:t>EUGENE VARLIN</w:t>
      </w:r>
      <w:r w:rsidRPr="007343A4">
        <w:rPr>
          <w:caps/>
          <w:sz w:val="24"/>
          <w:szCs w:val="24"/>
        </w:rPr>
        <w:t xml:space="preserve"> </w:t>
      </w:r>
      <w:r w:rsidR="00937EFC" w:rsidRPr="007343A4">
        <w:rPr>
          <w:caps/>
          <w:sz w:val="24"/>
          <w:szCs w:val="24"/>
        </w:rPr>
        <w:t xml:space="preserve">au HAVRE </w:t>
      </w:r>
      <w:r w:rsidRPr="007343A4">
        <w:rPr>
          <w:caps/>
          <w:sz w:val="24"/>
          <w:szCs w:val="24"/>
        </w:rPr>
        <w:t>(</w:t>
      </w:r>
      <w:r w:rsidR="007A5CC3" w:rsidRPr="007343A4">
        <w:rPr>
          <w:sz w:val="24"/>
          <w:szCs w:val="24"/>
        </w:rPr>
        <w:t>Seine-Maritime</w:t>
      </w:r>
      <w:r w:rsidRPr="007343A4">
        <w:rPr>
          <w:sz w:val="24"/>
          <w:szCs w:val="24"/>
        </w:rPr>
        <w:t>)</w:t>
      </w:r>
    </w:p>
    <w:p w:rsidR="00CA078C" w:rsidRPr="007343A4" w:rsidRDefault="00CA078C" w:rsidP="004149E8">
      <w:pPr>
        <w:ind w:left="4536"/>
        <w:jc w:val="both"/>
        <w:rPr>
          <w:sz w:val="24"/>
          <w:szCs w:val="24"/>
        </w:rPr>
      </w:pPr>
    </w:p>
    <w:p w:rsidR="00B30F64" w:rsidRPr="007343A4" w:rsidRDefault="00B30F64" w:rsidP="004149E8">
      <w:pPr>
        <w:pStyle w:val="Titre2"/>
        <w:ind w:left="4536"/>
        <w:jc w:val="both"/>
        <w:rPr>
          <w:szCs w:val="24"/>
        </w:rPr>
      </w:pPr>
      <w:smartTag w:uri="urn:schemas-microsoft-com:office:smarttags" w:element="PersonName">
        <w:r w:rsidRPr="007343A4">
          <w:rPr>
            <w:szCs w:val="24"/>
          </w:rPr>
          <w:t>A</w:t>
        </w:r>
      </w:smartTag>
      <w:r w:rsidRPr="007343A4">
        <w:rPr>
          <w:szCs w:val="24"/>
        </w:rPr>
        <w:t xml:space="preserve">ppel d’un jugement de la chambre régionale </w:t>
      </w:r>
      <w:r w:rsidR="004237AD" w:rsidRPr="007343A4">
        <w:rPr>
          <w:szCs w:val="24"/>
        </w:rPr>
        <w:t xml:space="preserve">des comptes </w:t>
      </w:r>
      <w:r w:rsidR="00B130C1" w:rsidRPr="007343A4">
        <w:rPr>
          <w:szCs w:val="24"/>
        </w:rPr>
        <w:t>de Haute-Normandie</w:t>
      </w:r>
    </w:p>
    <w:p w:rsidR="007077F7" w:rsidRPr="007343A4" w:rsidRDefault="007077F7" w:rsidP="007077F7">
      <w:pPr>
        <w:jc w:val="both"/>
      </w:pPr>
    </w:p>
    <w:p w:rsidR="007077F7" w:rsidRPr="007343A4" w:rsidRDefault="007077F7" w:rsidP="007077F7">
      <w:pPr>
        <w:ind w:firstLine="4536"/>
        <w:rPr>
          <w:sz w:val="24"/>
          <w:szCs w:val="24"/>
        </w:rPr>
      </w:pPr>
      <w:r w:rsidRPr="007343A4">
        <w:rPr>
          <w:sz w:val="24"/>
          <w:szCs w:val="24"/>
        </w:rPr>
        <w:t>Exercices 2004 à 2007</w:t>
      </w:r>
    </w:p>
    <w:p w:rsidR="00B30F64" w:rsidRPr="007343A4" w:rsidRDefault="00B30F64" w:rsidP="004149E8">
      <w:pPr>
        <w:ind w:left="4536"/>
        <w:jc w:val="both"/>
        <w:rPr>
          <w:sz w:val="24"/>
          <w:szCs w:val="24"/>
        </w:rPr>
      </w:pPr>
    </w:p>
    <w:p w:rsidR="00B30F64" w:rsidRPr="007343A4" w:rsidRDefault="00E22D2F" w:rsidP="004149E8">
      <w:pPr>
        <w:pStyle w:val="Titre4"/>
        <w:ind w:left="4536"/>
      </w:pPr>
      <w:r w:rsidRPr="007343A4">
        <w:t>Rapport n°</w:t>
      </w:r>
      <w:r w:rsidR="004237AD" w:rsidRPr="007343A4">
        <w:t xml:space="preserve"> </w:t>
      </w:r>
      <w:r w:rsidR="00B130C1" w:rsidRPr="007343A4">
        <w:t>2013</w:t>
      </w:r>
      <w:r w:rsidRPr="007343A4">
        <w:t>-</w:t>
      </w:r>
      <w:r w:rsidR="00B130C1" w:rsidRPr="007343A4">
        <w:t>402</w:t>
      </w:r>
      <w:r w:rsidR="007A5CC3" w:rsidRPr="007343A4">
        <w:t>-0</w:t>
      </w:r>
    </w:p>
    <w:p w:rsidR="00B30F64" w:rsidRPr="007343A4" w:rsidRDefault="00B30F64" w:rsidP="004149E8">
      <w:pPr>
        <w:ind w:left="4536"/>
        <w:jc w:val="both"/>
        <w:rPr>
          <w:sz w:val="24"/>
        </w:rPr>
      </w:pPr>
    </w:p>
    <w:p w:rsidR="00EB6713" w:rsidRPr="007343A4" w:rsidRDefault="0039572C" w:rsidP="004149E8">
      <w:pPr>
        <w:ind w:left="4536"/>
        <w:jc w:val="both"/>
        <w:rPr>
          <w:sz w:val="24"/>
        </w:rPr>
      </w:pPr>
      <w:smartTag w:uri="urn:schemas-microsoft-com:office:smarttags" w:element="PersonName">
        <w:r w:rsidRPr="007343A4">
          <w:rPr>
            <w:sz w:val="24"/>
          </w:rPr>
          <w:t>A</w:t>
        </w:r>
      </w:smartTag>
      <w:r w:rsidRPr="007343A4">
        <w:rPr>
          <w:sz w:val="24"/>
        </w:rPr>
        <w:t>udience</w:t>
      </w:r>
      <w:r w:rsidR="00686BA5" w:rsidRPr="007343A4">
        <w:rPr>
          <w:sz w:val="24"/>
        </w:rPr>
        <w:t xml:space="preserve"> </w:t>
      </w:r>
      <w:r w:rsidR="00DB2614" w:rsidRPr="007343A4">
        <w:rPr>
          <w:sz w:val="24"/>
        </w:rPr>
        <w:t xml:space="preserve">et délibéré </w:t>
      </w:r>
      <w:r w:rsidR="00686BA5" w:rsidRPr="007343A4">
        <w:rPr>
          <w:sz w:val="24"/>
        </w:rPr>
        <w:t xml:space="preserve">du </w:t>
      </w:r>
      <w:r w:rsidR="00B130C1" w:rsidRPr="007343A4">
        <w:rPr>
          <w:sz w:val="24"/>
        </w:rPr>
        <w:t>4 juillet</w:t>
      </w:r>
      <w:r w:rsidR="006739E8" w:rsidRPr="007343A4">
        <w:rPr>
          <w:sz w:val="24"/>
        </w:rPr>
        <w:t xml:space="preserve"> 2013</w:t>
      </w:r>
    </w:p>
    <w:p w:rsidR="00EB6713" w:rsidRPr="007343A4" w:rsidRDefault="00EB6713" w:rsidP="004149E8">
      <w:pPr>
        <w:ind w:left="4536"/>
        <w:jc w:val="both"/>
        <w:rPr>
          <w:sz w:val="24"/>
        </w:rPr>
      </w:pPr>
    </w:p>
    <w:p w:rsidR="00B30F64" w:rsidRPr="007343A4" w:rsidRDefault="00EB6713" w:rsidP="004149E8">
      <w:pPr>
        <w:ind w:left="4536"/>
        <w:jc w:val="both"/>
        <w:rPr>
          <w:sz w:val="24"/>
        </w:rPr>
      </w:pPr>
      <w:r w:rsidRPr="007343A4">
        <w:rPr>
          <w:sz w:val="24"/>
        </w:rPr>
        <w:t>L</w:t>
      </w:r>
      <w:r w:rsidR="00FF14A8" w:rsidRPr="007343A4">
        <w:rPr>
          <w:sz w:val="24"/>
        </w:rPr>
        <w:t xml:space="preserve">ecture publique du </w:t>
      </w:r>
      <w:r w:rsidR="00054336" w:rsidRPr="007343A4">
        <w:rPr>
          <w:sz w:val="24"/>
        </w:rPr>
        <w:t>25 juillet 2013</w:t>
      </w:r>
    </w:p>
    <w:p w:rsidR="0099190A" w:rsidRPr="00413A4C" w:rsidRDefault="0099190A" w:rsidP="00AD2BC6">
      <w:pPr>
        <w:jc w:val="both"/>
        <w:rPr>
          <w:sz w:val="24"/>
        </w:rPr>
      </w:pPr>
    </w:p>
    <w:p w:rsidR="005D6918" w:rsidRPr="00413A4C" w:rsidRDefault="005D6918" w:rsidP="00AD2BC6">
      <w:pPr>
        <w:jc w:val="both"/>
        <w:rPr>
          <w:sz w:val="24"/>
        </w:rPr>
      </w:pPr>
    </w:p>
    <w:p w:rsidR="00413A4C" w:rsidRPr="00413A4C" w:rsidRDefault="00413A4C" w:rsidP="00413A4C">
      <w:pPr>
        <w:pStyle w:val="PS"/>
        <w:rPr>
          <w:rFonts w:ascii="Times New Roman" w:hAnsi="Times New Roman"/>
        </w:rPr>
      </w:pPr>
      <w:r w:rsidRPr="00413A4C">
        <w:rPr>
          <w:rFonts w:ascii="Times New Roman" w:hAnsi="Times New Roman"/>
        </w:rPr>
        <w:t>LA COUR DES COMPTES a rendu l’arrêt suivant :</w:t>
      </w:r>
    </w:p>
    <w:p w:rsidR="0038549F" w:rsidRPr="007343A4" w:rsidRDefault="0038549F" w:rsidP="0038549F">
      <w:pPr>
        <w:spacing w:after="480"/>
        <w:ind w:left="1701" w:firstLine="1134"/>
        <w:jc w:val="both"/>
        <w:rPr>
          <w:sz w:val="24"/>
          <w:szCs w:val="24"/>
        </w:rPr>
      </w:pPr>
      <w:r w:rsidRPr="007343A4">
        <w:rPr>
          <w:sz w:val="24"/>
          <w:szCs w:val="24"/>
        </w:rPr>
        <w:t>LA COUR,</w:t>
      </w:r>
    </w:p>
    <w:p w:rsidR="0038549F" w:rsidRPr="007343A4" w:rsidRDefault="002350EA" w:rsidP="0038549F">
      <w:pPr>
        <w:pStyle w:val="PS"/>
        <w:rPr>
          <w:rFonts w:ascii="Times New Roman" w:hAnsi="Times New Roman"/>
        </w:rPr>
      </w:pPr>
      <w:r w:rsidRPr="007343A4">
        <w:rPr>
          <w:rFonts w:ascii="Times New Roman" w:hAnsi="Times New Roman"/>
        </w:rPr>
        <w:t xml:space="preserve">Vu la requête, enregistrée </w:t>
      </w:r>
      <w:r w:rsidR="005D6555" w:rsidRPr="007343A4">
        <w:rPr>
          <w:rFonts w:ascii="Times New Roman" w:hAnsi="Times New Roman"/>
        </w:rPr>
        <w:t xml:space="preserve">le </w:t>
      </w:r>
      <w:r w:rsidR="00B130C1" w:rsidRPr="007343A4">
        <w:rPr>
          <w:rFonts w:ascii="Times New Roman" w:hAnsi="Times New Roman"/>
        </w:rPr>
        <w:t>15 décembre 2011</w:t>
      </w:r>
      <w:r w:rsidR="005D6555" w:rsidRPr="007343A4">
        <w:rPr>
          <w:rFonts w:ascii="Times New Roman" w:hAnsi="Times New Roman"/>
        </w:rPr>
        <w:t xml:space="preserve"> </w:t>
      </w:r>
      <w:r w:rsidR="00260870" w:rsidRPr="007343A4">
        <w:rPr>
          <w:rFonts w:ascii="Times New Roman" w:hAnsi="Times New Roman"/>
        </w:rPr>
        <w:t>au greffe de la chambre régionale des comptes</w:t>
      </w:r>
      <w:r w:rsidR="003129B3" w:rsidRPr="007343A4">
        <w:rPr>
          <w:rFonts w:ascii="Times New Roman" w:hAnsi="Times New Roman"/>
        </w:rPr>
        <w:t xml:space="preserve"> </w:t>
      </w:r>
      <w:r w:rsidR="007077F7" w:rsidRPr="007343A4">
        <w:rPr>
          <w:rFonts w:ascii="Times New Roman" w:hAnsi="Times New Roman"/>
        </w:rPr>
        <w:t xml:space="preserve">(CRC) </w:t>
      </w:r>
      <w:r w:rsidR="00B130C1" w:rsidRPr="007343A4">
        <w:rPr>
          <w:rFonts w:ascii="Times New Roman" w:hAnsi="Times New Roman"/>
        </w:rPr>
        <w:t>de Haute-Normandie</w:t>
      </w:r>
      <w:r w:rsidR="00260870" w:rsidRPr="007343A4">
        <w:rPr>
          <w:rFonts w:ascii="Times New Roman" w:hAnsi="Times New Roman"/>
        </w:rPr>
        <w:t xml:space="preserve">, par laquelle </w:t>
      </w:r>
      <w:r w:rsidR="00C509CD">
        <w:rPr>
          <w:rFonts w:ascii="Times New Roman" w:hAnsi="Times New Roman"/>
        </w:rPr>
        <w:t>M. X</w:t>
      </w:r>
      <w:r w:rsidR="00B130C1" w:rsidRPr="007343A4">
        <w:rPr>
          <w:rFonts w:ascii="Times New Roman" w:hAnsi="Times New Roman"/>
        </w:rPr>
        <w:t>, co</w:t>
      </w:r>
      <w:r w:rsidR="00260870" w:rsidRPr="007343A4">
        <w:rPr>
          <w:rFonts w:ascii="Times New Roman" w:hAnsi="Times New Roman"/>
        </w:rPr>
        <w:t xml:space="preserve">mptable du collège </w:t>
      </w:r>
      <w:r w:rsidR="00B130C1" w:rsidRPr="007343A4">
        <w:rPr>
          <w:rFonts w:ascii="Times New Roman" w:hAnsi="Times New Roman"/>
        </w:rPr>
        <w:t xml:space="preserve">Eugène Varlin au Havre </w:t>
      </w:r>
      <w:r w:rsidR="007A5CC3" w:rsidRPr="007343A4">
        <w:rPr>
          <w:rFonts w:ascii="Times New Roman" w:hAnsi="Times New Roman"/>
        </w:rPr>
        <w:t xml:space="preserve"> pour les exercices 2004 à 2007,</w:t>
      </w:r>
      <w:r w:rsidR="00260870" w:rsidRPr="007343A4">
        <w:rPr>
          <w:rFonts w:ascii="Times New Roman" w:hAnsi="Times New Roman"/>
        </w:rPr>
        <w:t xml:space="preserve"> </w:t>
      </w:r>
      <w:r w:rsidR="00AD3AD2" w:rsidRPr="007343A4">
        <w:rPr>
          <w:rFonts w:ascii="Times New Roman" w:hAnsi="Times New Roman"/>
        </w:rPr>
        <w:t>a élevé appel du jugement n°</w:t>
      </w:r>
      <w:r w:rsidR="00635A7C" w:rsidRPr="007343A4">
        <w:rPr>
          <w:rFonts w:ascii="Times New Roman" w:hAnsi="Times New Roman"/>
        </w:rPr>
        <w:t xml:space="preserve"> </w:t>
      </w:r>
      <w:r w:rsidR="00AD3AD2" w:rsidRPr="007343A4">
        <w:rPr>
          <w:rFonts w:ascii="Times New Roman" w:hAnsi="Times New Roman"/>
        </w:rPr>
        <w:t>2011</w:t>
      </w:r>
      <w:r w:rsidR="00260870" w:rsidRPr="007343A4">
        <w:rPr>
          <w:rFonts w:ascii="Times New Roman" w:hAnsi="Times New Roman"/>
        </w:rPr>
        <w:t>-001</w:t>
      </w:r>
      <w:r w:rsidR="00B130C1" w:rsidRPr="007343A4">
        <w:rPr>
          <w:rFonts w:ascii="Times New Roman" w:hAnsi="Times New Roman"/>
        </w:rPr>
        <w:t>3</w:t>
      </w:r>
      <w:r w:rsidR="00260870" w:rsidRPr="007343A4">
        <w:rPr>
          <w:rFonts w:ascii="Times New Roman" w:hAnsi="Times New Roman"/>
        </w:rPr>
        <w:t xml:space="preserve"> </w:t>
      </w:r>
      <w:r w:rsidR="003129B3" w:rsidRPr="007343A4">
        <w:rPr>
          <w:rFonts w:ascii="Times New Roman" w:hAnsi="Times New Roman"/>
        </w:rPr>
        <w:t xml:space="preserve">du </w:t>
      </w:r>
      <w:r w:rsidR="00B130C1" w:rsidRPr="007343A4">
        <w:rPr>
          <w:rFonts w:ascii="Times New Roman" w:hAnsi="Times New Roman"/>
        </w:rPr>
        <w:t>27 septembre</w:t>
      </w:r>
      <w:r w:rsidR="003129B3" w:rsidRPr="007343A4">
        <w:rPr>
          <w:rFonts w:ascii="Times New Roman" w:hAnsi="Times New Roman"/>
        </w:rPr>
        <w:t xml:space="preserve"> 201</w:t>
      </w:r>
      <w:r w:rsidR="00AD3AD2" w:rsidRPr="007343A4">
        <w:rPr>
          <w:rFonts w:ascii="Times New Roman" w:hAnsi="Times New Roman"/>
        </w:rPr>
        <w:t>1</w:t>
      </w:r>
      <w:r w:rsidR="00260870" w:rsidRPr="007343A4">
        <w:rPr>
          <w:rFonts w:ascii="Times New Roman" w:hAnsi="Times New Roman"/>
        </w:rPr>
        <w:t xml:space="preserve"> par lequel ladite chambre l’a constitué débit</w:t>
      </w:r>
      <w:r w:rsidR="00B130C1" w:rsidRPr="007343A4">
        <w:rPr>
          <w:rFonts w:ascii="Times New Roman" w:hAnsi="Times New Roman"/>
        </w:rPr>
        <w:t>eu</w:t>
      </w:r>
      <w:r w:rsidR="00260870" w:rsidRPr="007343A4">
        <w:rPr>
          <w:rFonts w:ascii="Times New Roman" w:hAnsi="Times New Roman"/>
        </w:rPr>
        <w:t>r des deniers d</w:t>
      </w:r>
      <w:r w:rsidR="005D6555" w:rsidRPr="007343A4">
        <w:rPr>
          <w:rFonts w:ascii="Times New Roman" w:hAnsi="Times New Roman"/>
        </w:rPr>
        <w:t>e cet établissement</w:t>
      </w:r>
      <w:r w:rsidR="00260870" w:rsidRPr="007343A4">
        <w:rPr>
          <w:rFonts w:ascii="Times New Roman" w:hAnsi="Times New Roman"/>
        </w:rPr>
        <w:t xml:space="preserve"> pour la somme totale de </w:t>
      </w:r>
      <w:r w:rsidR="00B130C1" w:rsidRPr="007343A4">
        <w:rPr>
          <w:rFonts w:ascii="Times New Roman" w:hAnsi="Times New Roman"/>
        </w:rPr>
        <w:t>9 523,57 €</w:t>
      </w:r>
      <w:r w:rsidR="00260870" w:rsidRPr="007343A4">
        <w:rPr>
          <w:rFonts w:ascii="Times New Roman" w:hAnsi="Times New Roman"/>
        </w:rPr>
        <w:t xml:space="preserve">, augmentée des intérêts de droit </w:t>
      </w:r>
      <w:r w:rsidR="007A5CC3" w:rsidRPr="007343A4">
        <w:rPr>
          <w:rFonts w:ascii="Times New Roman" w:hAnsi="Times New Roman"/>
        </w:rPr>
        <w:t xml:space="preserve">calculés </w:t>
      </w:r>
      <w:r w:rsidR="00260870" w:rsidRPr="007343A4">
        <w:rPr>
          <w:rFonts w:ascii="Times New Roman" w:hAnsi="Times New Roman"/>
        </w:rPr>
        <w:t xml:space="preserve">à compter du </w:t>
      </w:r>
      <w:r w:rsidR="00DF17A4" w:rsidRPr="007343A4">
        <w:rPr>
          <w:rFonts w:ascii="Times New Roman" w:hAnsi="Times New Roman"/>
        </w:rPr>
        <w:t>20</w:t>
      </w:r>
      <w:r w:rsidR="00260870" w:rsidRPr="007343A4">
        <w:rPr>
          <w:rFonts w:ascii="Times New Roman" w:hAnsi="Times New Roman"/>
        </w:rPr>
        <w:t xml:space="preserve"> </w:t>
      </w:r>
      <w:r w:rsidR="00DF17A4" w:rsidRPr="007343A4">
        <w:rPr>
          <w:rFonts w:ascii="Times New Roman" w:hAnsi="Times New Roman"/>
        </w:rPr>
        <w:t>janvier</w:t>
      </w:r>
      <w:r w:rsidR="00260870" w:rsidRPr="007343A4">
        <w:rPr>
          <w:rFonts w:ascii="Times New Roman" w:hAnsi="Times New Roman"/>
        </w:rPr>
        <w:t xml:space="preserve"> 201</w:t>
      </w:r>
      <w:r w:rsidR="00DF17A4" w:rsidRPr="007343A4">
        <w:rPr>
          <w:rFonts w:ascii="Times New Roman" w:hAnsi="Times New Roman"/>
        </w:rPr>
        <w:t>1</w:t>
      </w:r>
      <w:r w:rsidRPr="007343A4">
        <w:rPr>
          <w:rFonts w:ascii="Times New Roman" w:hAnsi="Times New Roman"/>
        </w:rPr>
        <w:t> ;</w:t>
      </w:r>
    </w:p>
    <w:p w:rsidR="0038549F" w:rsidRPr="007343A4" w:rsidRDefault="00260870" w:rsidP="0038549F">
      <w:pPr>
        <w:pStyle w:val="PS"/>
        <w:rPr>
          <w:rFonts w:ascii="Times New Roman" w:hAnsi="Times New Roman"/>
        </w:rPr>
      </w:pPr>
      <w:r w:rsidRPr="007343A4">
        <w:rPr>
          <w:rFonts w:ascii="Times New Roman" w:hAnsi="Times New Roman"/>
          <w:szCs w:val="24"/>
        </w:rPr>
        <w:t>Vu le réquisitoire</w:t>
      </w:r>
      <w:r w:rsidR="002350EA" w:rsidRPr="007343A4">
        <w:rPr>
          <w:rFonts w:ascii="Times New Roman" w:hAnsi="Times New Roman"/>
          <w:szCs w:val="24"/>
        </w:rPr>
        <w:t xml:space="preserve"> du Procureur général </w:t>
      </w:r>
      <w:r w:rsidR="0038549F" w:rsidRPr="007343A4">
        <w:rPr>
          <w:rFonts w:ascii="Times New Roman" w:hAnsi="Times New Roman"/>
          <w:szCs w:val="24"/>
        </w:rPr>
        <w:t xml:space="preserve">près la Cour des comptes </w:t>
      </w:r>
      <w:r w:rsidR="007A5CC3" w:rsidRPr="007343A4">
        <w:rPr>
          <w:rFonts w:ascii="Times New Roman" w:hAnsi="Times New Roman"/>
          <w:szCs w:val="24"/>
        </w:rPr>
        <w:t xml:space="preserve">n° 2012-10 </w:t>
      </w:r>
      <w:r w:rsidR="00C90065" w:rsidRPr="007343A4">
        <w:rPr>
          <w:rFonts w:ascii="Times New Roman" w:hAnsi="Times New Roman"/>
          <w:szCs w:val="24"/>
        </w:rPr>
        <w:t xml:space="preserve">du </w:t>
      </w:r>
      <w:r w:rsidR="00DF17A4" w:rsidRPr="007343A4">
        <w:rPr>
          <w:rFonts w:ascii="Times New Roman" w:hAnsi="Times New Roman"/>
          <w:szCs w:val="24"/>
        </w:rPr>
        <w:t>16</w:t>
      </w:r>
      <w:r w:rsidR="00C90065" w:rsidRPr="007343A4">
        <w:rPr>
          <w:rFonts w:ascii="Times New Roman" w:hAnsi="Times New Roman"/>
          <w:szCs w:val="24"/>
        </w:rPr>
        <w:t xml:space="preserve"> </w:t>
      </w:r>
      <w:r w:rsidR="00DF17A4" w:rsidRPr="007343A4">
        <w:rPr>
          <w:rFonts w:ascii="Times New Roman" w:hAnsi="Times New Roman"/>
          <w:szCs w:val="24"/>
        </w:rPr>
        <w:t>février</w:t>
      </w:r>
      <w:r w:rsidR="00C90065" w:rsidRPr="007343A4">
        <w:rPr>
          <w:rFonts w:ascii="Times New Roman" w:hAnsi="Times New Roman"/>
          <w:szCs w:val="24"/>
        </w:rPr>
        <w:t xml:space="preserve"> 201</w:t>
      </w:r>
      <w:r w:rsidR="00DF17A4" w:rsidRPr="007343A4">
        <w:rPr>
          <w:rFonts w:ascii="Times New Roman" w:hAnsi="Times New Roman"/>
          <w:szCs w:val="24"/>
        </w:rPr>
        <w:t>2</w:t>
      </w:r>
      <w:r w:rsidR="00C90065" w:rsidRPr="007343A4">
        <w:rPr>
          <w:rFonts w:ascii="Times New Roman" w:hAnsi="Times New Roman"/>
          <w:szCs w:val="24"/>
        </w:rPr>
        <w:t xml:space="preserve"> </w:t>
      </w:r>
      <w:r w:rsidR="002350EA" w:rsidRPr="007343A4">
        <w:rPr>
          <w:rFonts w:ascii="Times New Roman" w:hAnsi="Times New Roman"/>
          <w:szCs w:val="24"/>
        </w:rPr>
        <w:t xml:space="preserve">transmettant </w:t>
      </w:r>
      <w:r w:rsidR="0038549F" w:rsidRPr="007343A4">
        <w:rPr>
          <w:rFonts w:ascii="Times New Roman" w:hAnsi="Times New Roman"/>
          <w:szCs w:val="24"/>
        </w:rPr>
        <w:t xml:space="preserve">à la Cour </w:t>
      </w:r>
      <w:r w:rsidR="002350EA" w:rsidRPr="007343A4">
        <w:rPr>
          <w:rFonts w:ascii="Times New Roman" w:hAnsi="Times New Roman"/>
          <w:szCs w:val="24"/>
        </w:rPr>
        <w:t>la requête précitée</w:t>
      </w:r>
      <w:r w:rsidR="00A64E45">
        <w:rPr>
          <w:rFonts w:ascii="Times New Roman" w:hAnsi="Times New Roman"/>
          <w:szCs w:val="24"/>
        </w:rPr>
        <w:t> ;</w:t>
      </w:r>
    </w:p>
    <w:p w:rsidR="0038549F" w:rsidRPr="007343A4" w:rsidRDefault="002350EA" w:rsidP="0038549F">
      <w:pPr>
        <w:pStyle w:val="PS"/>
        <w:rPr>
          <w:rFonts w:ascii="Times New Roman" w:hAnsi="Times New Roman"/>
        </w:rPr>
      </w:pPr>
      <w:r w:rsidRPr="007343A4">
        <w:rPr>
          <w:rFonts w:ascii="Times New Roman" w:hAnsi="Times New Roman"/>
        </w:rPr>
        <w:t>Vu les pièces de la procédure suivie en première instance</w:t>
      </w:r>
      <w:r w:rsidR="00A64E45">
        <w:rPr>
          <w:rFonts w:ascii="Times New Roman" w:hAnsi="Times New Roman"/>
        </w:rPr>
        <w:t> ;</w:t>
      </w:r>
    </w:p>
    <w:p w:rsidR="00CA078C" w:rsidRPr="007343A4" w:rsidRDefault="00CA078C" w:rsidP="0038549F">
      <w:pPr>
        <w:pStyle w:val="PS"/>
        <w:rPr>
          <w:rFonts w:ascii="Times New Roman" w:hAnsi="Times New Roman"/>
        </w:rPr>
      </w:pPr>
      <w:r w:rsidRPr="007343A4">
        <w:rPr>
          <w:rFonts w:ascii="Times New Roman" w:hAnsi="Times New Roman"/>
        </w:rPr>
        <w:t>Vu le code général des collectivités territoriales ;</w:t>
      </w:r>
    </w:p>
    <w:p w:rsidR="0038549F" w:rsidRPr="007343A4" w:rsidRDefault="00130292" w:rsidP="0038549F">
      <w:pPr>
        <w:pStyle w:val="PS"/>
        <w:rPr>
          <w:rFonts w:ascii="Times New Roman" w:hAnsi="Times New Roman"/>
        </w:rPr>
      </w:pPr>
      <w:r w:rsidRPr="007343A4">
        <w:rPr>
          <w:rFonts w:ascii="Times New Roman" w:hAnsi="Times New Roman"/>
        </w:rPr>
        <w:t>Vu le code des juridictions financières ;</w:t>
      </w:r>
    </w:p>
    <w:p w:rsidR="0038549F" w:rsidRPr="007343A4" w:rsidRDefault="002350EA" w:rsidP="0038549F">
      <w:pPr>
        <w:pStyle w:val="PS"/>
        <w:rPr>
          <w:rFonts w:ascii="Times New Roman" w:hAnsi="Times New Roman"/>
        </w:rPr>
      </w:pPr>
      <w:r w:rsidRPr="007343A4">
        <w:rPr>
          <w:rFonts w:ascii="Times New Roman" w:hAnsi="Times New Roman"/>
        </w:rPr>
        <w:lastRenderedPageBreak/>
        <w:t>Vu l’article 60 de la loi de finances n°</w:t>
      </w:r>
      <w:r w:rsidR="0038549F" w:rsidRPr="007343A4">
        <w:rPr>
          <w:rFonts w:ascii="Times New Roman" w:hAnsi="Times New Roman"/>
        </w:rPr>
        <w:t xml:space="preserve"> </w:t>
      </w:r>
      <w:r w:rsidRPr="007343A4">
        <w:rPr>
          <w:rFonts w:ascii="Times New Roman" w:hAnsi="Times New Roman"/>
        </w:rPr>
        <w:t>63-156 du 23 février 1963 modifiée</w:t>
      </w:r>
      <w:r w:rsidR="00A64E45">
        <w:rPr>
          <w:rFonts w:ascii="Times New Roman" w:hAnsi="Times New Roman"/>
        </w:rPr>
        <w:t> ;</w:t>
      </w:r>
    </w:p>
    <w:p w:rsidR="005D6555" w:rsidRPr="007343A4" w:rsidRDefault="002350EA" w:rsidP="00552089">
      <w:pPr>
        <w:pStyle w:val="PS"/>
        <w:rPr>
          <w:rFonts w:ascii="Times New Roman" w:hAnsi="Times New Roman"/>
          <w:szCs w:val="24"/>
        </w:rPr>
      </w:pPr>
      <w:r w:rsidRPr="007343A4">
        <w:rPr>
          <w:rFonts w:ascii="Times New Roman" w:hAnsi="Times New Roman"/>
        </w:rPr>
        <w:t>Vu le décret n°</w:t>
      </w:r>
      <w:r w:rsidR="0038549F" w:rsidRPr="007343A4">
        <w:rPr>
          <w:rFonts w:ascii="Times New Roman" w:hAnsi="Times New Roman"/>
        </w:rPr>
        <w:t xml:space="preserve"> </w:t>
      </w:r>
      <w:r w:rsidRPr="007343A4">
        <w:rPr>
          <w:rFonts w:ascii="Times New Roman" w:hAnsi="Times New Roman"/>
        </w:rPr>
        <w:t>62-1587 du 29 décembre 1962 modifié portant règlement général sur la comptabilité publique</w:t>
      </w:r>
      <w:r w:rsidR="0038549F" w:rsidRPr="007343A4">
        <w:rPr>
          <w:rFonts w:ascii="Times New Roman" w:hAnsi="Times New Roman"/>
        </w:rPr>
        <w:t>, en vigueur au moment des faits</w:t>
      </w:r>
      <w:r w:rsidR="00A64E45">
        <w:rPr>
          <w:rFonts w:ascii="Times New Roman" w:hAnsi="Times New Roman"/>
        </w:rPr>
        <w:t> ;</w:t>
      </w:r>
    </w:p>
    <w:p w:rsidR="005D6555" w:rsidRPr="007343A4" w:rsidRDefault="002350EA" w:rsidP="005D6555">
      <w:pPr>
        <w:pStyle w:val="PS"/>
        <w:rPr>
          <w:rFonts w:ascii="Times New Roman" w:hAnsi="Times New Roman"/>
        </w:rPr>
      </w:pPr>
      <w:r w:rsidRPr="007343A4">
        <w:rPr>
          <w:rFonts w:ascii="Times New Roman" w:hAnsi="Times New Roman"/>
        </w:rPr>
        <w:t xml:space="preserve">Vu le </w:t>
      </w:r>
      <w:r w:rsidR="00DD00C8" w:rsidRPr="007343A4">
        <w:rPr>
          <w:rFonts w:ascii="Times New Roman" w:hAnsi="Times New Roman"/>
        </w:rPr>
        <w:t xml:space="preserve">rapport de M. </w:t>
      </w:r>
      <w:r w:rsidR="00260870" w:rsidRPr="007343A4">
        <w:rPr>
          <w:rFonts w:ascii="Times New Roman" w:hAnsi="Times New Roman"/>
        </w:rPr>
        <w:t>Christophe R</w:t>
      </w:r>
      <w:r w:rsidR="006739E8" w:rsidRPr="007343A4">
        <w:rPr>
          <w:rFonts w:ascii="Times New Roman" w:hAnsi="Times New Roman"/>
        </w:rPr>
        <w:t>ogue</w:t>
      </w:r>
      <w:r w:rsidR="00DD00C8" w:rsidRPr="007343A4">
        <w:rPr>
          <w:rFonts w:ascii="Times New Roman" w:hAnsi="Times New Roman"/>
        </w:rPr>
        <w:t xml:space="preserve">, auditeur </w:t>
      </w:r>
      <w:r w:rsidRPr="007343A4">
        <w:rPr>
          <w:rFonts w:ascii="Times New Roman" w:hAnsi="Times New Roman"/>
        </w:rPr>
        <w:t>;</w:t>
      </w:r>
    </w:p>
    <w:p w:rsidR="00D679D8" w:rsidRPr="007343A4" w:rsidRDefault="002350EA" w:rsidP="00552089">
      <w:pPr>
        <w:pStyle w:val="PS"/>
        <w:rPr>
          <w:rFonts w:ascii="Times New Roman" w:hAnsi="Times New Roman"/>
        </w:rPr>
      </w:pPr>
      <w:r w:rsidRPr="007343A4">
        <w:rPr>
          <w:rFonts w:ascii="Times New Roman" w:hAnsi="Times New Roman"/>
        </w:rPr>
        <w:t>Vu les co</w:t>
      </w:r>
      <w:r w:rsidR="00260870" w:rsidRPr="007343A4">
        <w:rPr>
          <w:rFonts w:ascii="Times New Roman" w:hAnsi="Times New Roman"/>
        </w:rPr>
        <w:t>nclusions</w:t>
      </w:r>
      <w:r w:rsidR="00B93DEA" w:rsidRPr="007343A4">
        <w:rPr>
          <w:rFonts w:ascii="Times New Roman" w:hAnsi="Times New Roman"/>
        </w:rPr>
        <w:t xml:space="preserve"> </w:t>
      </w:r>
      <w:r w:rsidR="00260870" w:rsidRPr="007343A4">
        <w:rPr>
          <w:rFonts w:ascii="Times New Roman" w:hAnsi="Times New Roman"/>
        </w:rPr>
        <w:t>du Procureur général </w:t>
      </w:r>
      <w:r w:rsidR="007A5CC3" w:rsidRPr="007343A4">
        <w:rPr>
          <w:rFonts w:ascii="Times New Roman" w:hAnsi="Times New Roman"/>
        </w:rPr>
        <w:t>n° 389 du 24 mai 2013</w:t>
      </w:r>
      <w:r w:rsidR="00A64E45">
        <w:rPr>
          <w:rFonts w:ascii="Times New Roman" w:hAnsi="Times New Roman"/>
        </w:rPr>
        <w:t> </w:t>
      </w:r>
      <w:r w:rsidR="00260870" w:rsidRPr="007343A4">
        <w:rPr>
          <w:rFonts w:ascii="Times New Roman" w:hAnsi="Times New Roman"/>
        </w:rPr>
        <w:t>;</w:t>
      </w:r>
    </w:p>
    <w:p w:rsidR="005D6555" w:rsidRPr="007343A4" w:rsidRDefault="002350EA" w:rsidP="005D6555">
      <w:pPr>
        <w:pStyle w:val="PS"/>
        <w:rPr>
          <w:rFonts w:ascii="Times New Roman" w:hAnsi="Times New Roman"/>
        </w:rPr>
      </w:pPr>
      <w:r w:rsidRPr="007343A4">
        <w:rPr>
          <w:rFonts w:ascii="Times New Roman" w:hAnsi="Times New Roman"/>
        </w:rPr>
        <w:t xml:space="preserve">Entendu, lors de l’audience publique de ce jour, M. </w:t>
      </w:r>
      <w:r w:rsidR="00260870" w:rsidRPr="007343A4">
        <w:rPr>
          <w:rFonts w:ascii="Times New Roman" w:hAnsi="Times New Roman"/>
        </w:rPr>
        <w:t>Christophe Rogue</w:t>
      </w:r>
      <w:r w:rsidRPr="007343A4">
        <w:rPr>
          <w:rFonts w:ascii="Times New Roman" w:hAnsi="Times New Roman"/>
        </w:rPr>
        <w:t xml:space="preserve">, en son rapport, M. </w:t>
      </w:r>
      <w:r w:rsidR="005D6555" w:rsidRPr="007343A4">
        <w:rPr>
          <w:rFonts w:ascii="Times New Roman" w:hAnsi="Times New Roman"/>
        </w:rPr>
        <w:t>Yves Perrin</w:t>
      </w:r>
      <w:r w:rsidRPr="007343A4">
        <w:rPr>
          <w:rFonts w:ascii="Times New Roman" w:hAnsi="Times New Roman"/>
        </w:rPr>
        <w:t xml:space="preserve">, avocat général, en </w:t>
      </w:r>
      <w:r w:rsidR="00680D9A" w:rsidRPr="007343A4">
        <w:rPr>
          <w:rFonts w:ascii="Times New Roman" w:hAnsi="Times New Roman"/>
        </w:rPr>
        <w:t xml:space="preserve">les </w:t>
      </w:r>
      <w:r w:rsidRPr="007343A4">
        <w:rPr>
          <w:rFonts w:ascii="Times New Roman" w:hAnsi="Times New Roman"/>
        </w:rPr>
        <w:t>conclusions</w:t>
      </w:r>
      <w:r w:rsidR="00680D9A" w:rsidRPr="007343A4">
        <w:rPr>
          <w:rFonts w:ascii="Times New Roman" w:hAnsi="Times New Roman"/>
        </w:rPr>
        <w:t xml:space="preserve"> du </w:t>
      </w:r>
      <w:r w:rsidR="007A5CC3" w:rsidRPr="007343A4">
        <w:rPr>
          <w:rFonts w:ascii="Times New Roman" w:hAnsi="Times New Roman"/>
        </w:rPr>
        <w:t>ministère public</w:t>
      </w:r>
      <w:r w:rsidRPr="007343A4">
        <w:rPr>
          <w:rFonts w:ascii="Times New Roman" w:hAnsi="Times New Roman"/>
        </w:rPr>
        <w:t>, l’appelant</w:t>
      </w:r>
      <w:r w:rsidR="00DF17A4" w:rsidRPr="007343A4">
        <w:rPr>
          <w:rFonts w:ascii="Times New Roman" w:hAnsi="Times New Roman"/>
        </w:rPr>
        <w:t xml:space="preserve">, </w:t>
      </w:r>
      <w:r w:rsidR="00C509CD">
        <w:rPr>
          <w:rFonts w:ascii="Times New Roman" w:hAnsi="Times New Roman"/>
        </w:rPr>
        <w:t>M. X</w:t>
      </w:r>
      <w:r w:rsidR="007A5CC3" w:rsidRPr="007343A4">
        <w:rPr>
          <w:rFonts w:ascii="Times New Roman" w:hAnsi="Times New Roman"/>
        </w:rPr>
        <w:t xml:space="preserve">, présent à l’audience, ayant eu la parole en dernier </w:t>
      </w:r>
      <w:r w:rsidRPr="007343A4">
        <w:rPr>
          <w:rFonts w:ascii="Times New Roman" w:hAnsi="Times New Roman"/>
        </w:rPr>
        <w:t>;</w:t>
      </w:r>
    </w:p>
    <w:p w:rsidR="002350EA" w:rsidRPr="007343A4" w:rsidRDefault="002350EA" w:rsidP="005D6555">
      <w:pPr>
        <w:pStyle w:val="PS"/>
        <w:rPr>
          <w:rFonts w:ascii="Times New Roman" w:hAnsi="Times New Roman"/>
        </w:rPr>
      </w:pPr>
      <w:r w:rsidRPr="007343A4">
        <w:rPr>
          <w:rFonts w:ascii="Times New Roman" w:hAnsi="Times New Roman"/>
        </w:rPr>
        <w:t xml:space="preserve">Entendu, en délibéré, </w:t>
      </w:r>
      <w:r w:rsidR="007077F7" w:rsidRPr="007343A4">
        <w:rPr>
          <w:rFonts w:ascii="Times New Roman" w:hAnsi="Times New Roman"/>
        </w:rPr>
        <w:t xml:space="preserve">hors la présence </w:t>
      </w:r>
      <w:r w:rsidR="00B93DEA" w:rsidRPr="007343A4">
        <w:rPr>
          <w:rFonts w:ascii="Times New Roman" w:hAnsi="Times New Roman"/>
        </w:rPr>
        <w:t xml:space="preserve">du rapporteur et du ministère public, </w:t>
      </w:r>
      <w:r w:rsidRPr="007343A4">
        <w:rPr>
          <w:rFonts w:ascii="Times New Roman" w:hAnsi="Times New Roman"/>
        </w:rPr>
        <w:t>M.</w:t>
      </w:r>
      <w:r w:rsidR="00887C5E" w:rsidRPr="007343A4">
        <w:rPr>
          <w:rFonts w:ascii="Times New Roman" w:hAnsi="Times New Roman"/>
        </w:rPr>
        <w:t xml:space="preserve"> </w:t>
      </w:r>
      <w:r w:rsidR="005D6555" w:rsidRPr="007343A4">
        <w:rPr>
          <w:rFonts w:ascii="Times New Roman" w:hAnsi="Times New Roman"/>
        </w:rPr>
        <w:t>Roch-Olivier Maistre</w:t>
      </w:r>
      <w:r w:rsidRPr="007343A4">
        <w:rPr>
          <w:rFonts w:ascii="Times New Roman" w:hAnsi="Times New Roman"/>
        </w:rPr>
        <w:t>,</w:t>
      </w:r>
      <w:r w:rsidR="00887C5E" w:rsidRPr="007343A4">
        <w:rPr>
          <w:rFonts w:ascii="Times New Roman" w:hAnsi="Times New Roman"/>
        </w:rPr>
        <w:t xml:space="preserve"> conseiller maître,</w:t>
      </w:r>
      <w:r w:rsidRPr="007343A4">
        <w:rPr>
          <w:rFonts w:ascii="Times New Roman" w:hAnsi="Times New Roman"/>
        </w:rPr>
        <w:t xml:space="preserve"> en ses observations ;</w:t>
      </w:r>
    </w:p>
    <w:p w:rsidR="000364EE" w:rsidRPr="007343A4" w:rsidRDefault="00A1746A" w:rsidP="00F34AA9">
      <w:pPr>
        <w:pStyle w:val="PS"/>
        <w:rPr>
          <w:rFonts w:ascii="Times New Roman" w:hAnsi="Times New Roman"/>
        </w:rPr>
      </w:pPr>
      <w:r w:rsidRPr="007343A4">
        <w:rPr>
          <w:rFonts w:ascii="Times New Roman" w:hAnsi="Times New Roman"/>
        </w:rPr>
        <w:t xml:space="preserve">Attendu </w:t>
      </w:r>
      <w:r w:rsidR="006739E8" w:rsidRPr="007343A4">
        <w:rPr>
          <w:rFonts w:ascii="Times New Roman" w:hAnsi="Times New Roman"/>
        </w:rPr>
        <w:t>que</w:t>
      </w:r>
      <w:r w:rsidR="00F34AA9" w:rsidRPr="007343A4">
        <w:rPr>
          <w:rFonts w:ascii="Times New Roman" w:hAnsi="Times New Roman"/>
        </w:rPr>
        <w:t>, par le jugement entrepris,</w:t>
      </w:r>
      <w:r w:rsidR="006739E8" w:rsidRPr="007343A4">
        <w:rPr>
          <w:rFonts w:ascii="Times New Roman" w:hAnsi="Times New Roman"/>
        </w:rPr>
        <w:t xml:space="preserve"> </w:t>
      </w:r>
      <w:r w:rsidR="00B93DEA" w:rsidRPr="007343A4">
        <w:rPr>
          <w:rFonts w:ascii="Times New Roman" w:hAnsi="Times New Roman"/>
        </w:rPr>
        <w:t xml:space="preserve">la chambre régionale des comptes </w:t>
      </w:r>
      <w:r w:rsidR="00DF17A4" w:rsidRPr="007343A4">
        <w:rPr>
          <w:rFonts w:ascii="Times New Roman" w:hAnsi="Times New Roman"/>
        </w:rPr>
        <w:t>de Haute-Normandie</w:t>
      </w:r>
      <w:r w:rsidR="00B93DEA" w:rsidRPr="007343A4">
        <w:rPr>
          <w:rFonts w:ascii="Times New Roman" w:hAnsi="Times New Roman"/>
        </w:rPr>
        <w:t xml:space="preserve"> </w:t>
      </w:r>
      <w:r w:rsidR="00F34AA9" w:rsidRPr="007343A4">
        <w:rPr>
          <w:rFonts w:ascii="Times New Roman" w:hAnsi="Times New Roman"/>
        </w:rPr>
        <w:t xml:space="preserve">a constitué </w:t>
      </w:r>
      <w:r w:rsidR="00C509CD">
        <w:rPr>
          <w:rFonts w:ascii="Times New Roman" w:hAnsi="Times New Roman"/>
        </w:rPr>
        <w:t>M. X</w:t>
      </w:r>
      <w:r w:rsidR="00DF17A4" w:rsidRPr="007343A4">
        <w:rPr>
          <w:rFonts w:ascii="Times New Roman" w:hAnsi="Times New Roman"/>
        </w:rPr>
        <w:t xml:space="preserve"> débiteur des deniers du collège Eugène Varlin pour la somme totale de 9 523,57 €, augmentée des intérêts de droit </w:t>
      </w:r>
      <w:r w:rsidR="007A5CC3" w:rsidRPr="007343A4">
        <w:rPr>
          <w:rFonts w:ascii="Times New Roman" w:hAnsi="Times New Roman"/>
        </w:rPr>
        <w:t xml:space="preserve">calculés </w:t>
      </w:r>
      <w:r w:rsidR="00DF17A4" w:rsidRPr="007343A4">
        <w:rPr>
          <w:rFonts w:ascii="Times New Roman" w:hAnsi="Times New Roman"/>
        </w:rPr>
        <w:t xml:space="preserve">à compter du 20 janvier 2011, </w:t>
      </w:r>
      <w:r w:rsidR="00F34AA9" w:rsidRPr="007343A4">
        <w:rPr>
          <w:rFonts w:ascii="Times New Roman" w:hAnsi="Times New Roman"/>
        </w:rPr>
        <w:t xml:space="preserve">pour </w:t>
      </w:r>
      <w:r w:rsidR="000E2605" w:rsidRPr="007343A4">
        <w:rPr>
          <w:rFonts w:ascii="Times New Roman" w:hAnsi="Times New Roman"/>
        </w:rPr>
        <w:t xml:space="preserve">ne pas avoir procédé aux diligences requises en vue du recouvrement d’une créance de loyers et de charges </w:t>
      </w:r>
      <w:r w:rsidR="00D620CB" w:rsidRPr="007343A4">
        <w:rPr>
          <w:rFonts w:ascii="Times New Roman" w:hAnsi="Times New Roman"/>
        </w:rPr>
        <w:t>atteinte par la prescription sous sa gestion</w:t>
      </w:r>
      <w:r w:rsidR="000364EE" w:rsidRPr="007343A4">
        <w:rPr>
          <w:rFonts w:ascii="Times New Roman" w:hAnsi="Times New Roman"/>
        </w:rPr>
        <w:t> ;</w:t>
      </w:r>
    </w:p>
    <w:p w:rsidR="00511AD0" w:rsidRPr="007343A4" w:rsidRDefault="00511AD0" w:rsidP="00F34AA9">
      <w:pPr>
        <w:pStyle w:val="PS"/>
        <w:rPr>
          <w:rFonts w:ascii="Times New Roman" w:hAnsi="Times New Roman"/>
        </w:rPr>
      </w:pPr>
      <w:r w:rsidRPr="007343A4">
        <w:rPr>
          <w:rFonts w:ascii="Times New Roman" w:hAnsi="Times New Roman"/>
        </w:rPr>
        <w:t>Attendu que le requérant fait valoir que</w:t>
      </w:r>
      <w:r w:rsidR="007077F7" w:rsidRPr="007343A4">
        <w:rPr>
          <w:rFonts w:ascii="Times New Roman" w:hAnsi="Times New Roman"/>
        </w:rPr>
        <w:t>,</w:t>
      </w:r>
      <w:r w:rsidRPr="007343A4">
        <w:rPr>
          <w:rFonts w:ascii="Times New Roman" w:hAnsi="Times New Roman"/>
        </w:rPr>
        <w:t xml:space="preserve"> lors de l’audience publique</w:t>
      </w:r>
      <w:r w:rsidR="007077F7" w:rsidRPr="007343A4">
        <w:rPr>
          <w:rFonts w:ascii="Times New Roman" w:hAnsi="Times New Roman"/>
        </w:rPr>
        <w:t xml:space="preserve"> devant la CRC,</w:t>
      </w:r>
      <w:r w:rsidRPr="007343A4">
        <w:rPr>
          <w:rFonts w:ascii="Times New Roman" w:hAnsi="Times New Roman"/>
        </w:rPr>
        <w:t xml:space="preserve"> le procureur financier aurait déclaré que « </w:t>
      </w:r>
      <w:r w:rsidRPr="007343A4">
        <w:rPr>
          <w:rFonts w:ascii="Times New Roman" w:hAnsi="Times New Roman"/>
          <w:i/>
        </w:rPr>
        <w:t>la date la plus ancienne d’origine de la créance permettrait d’induire avec certitude la prescription de l’action en recouvrement du comptable, soit quatre années, au cours de l’exercice 2008 </w:t>
      </w:r>
      <w:r w:rsidRPr="007343A4">
        <w:rPr>
          <w:rFonts w:ascii="Times New Roman" w:hAnsi="Times New Roman"/>
        </w:rPr>
        <w:t>» ; qu’il en résulterait que la créance aurait été définitivement prescrite au cours d’un exercice postérieur à sa gestion</w:t>
      </w:r>
      <w:r w:rsidR="00A64E45">
        <w:rPr>
          <w:rFonts w:ascii="Times New Roman" w:hAnsi="Times New Roman"/>
        </w:rPr>
        <w:t xml:space="preserve"> </w:t>
      </w:r>
      <w:r w:rsidRPr="007343A4">
        <w:rPr>
          <w:rFonts w:ascii="Times New Roman" w:hAnsi="Times New Roman"/>
        </w:rPr>
        <w:t>et aux exercices en jugement</w:t>
      </w:r>
      <w:r w:rsidR="00A64E45">
        <w:rPr>
          <w:rFonts w:ascii="Times New Roman" w:hAnsi="Times New Roman"/>
        </w:rPr>
        <w:t> </w:t>
      </w:r>
      <w:r w:rsidRPr="007343A4">
        <w:rPr>
          <w:rFonts w:ascii="Times New Roman" w:hAnsi="Times New Roman"/>
        </w:rPr>
        <w:t>; qu’en conséquence sa responsabilité personnelle et pécuniaire n’était pas engagée ;</w:t>
      </w:r>
    </w:p>
    <w:p w:rsidR="00DF6B99" w:rsidRPr="007343A4" w:rsidRDefault="00511AD0" w:rsidP="00DF6B99">
      <w:pPr>
        <w:pStyle w:val="PS"/>
        <w:rPr>
          <w:rFonts w:ascii="Times New Roman" w:hAnsi="Times New Roman"/>
        </w:rPr>
      </w:pPr>
      <w:r w:rsidRPr="007343A4">
        <w:rPr>
          <w:rFonts w:ascii="Times New Roman" w:hAnsi="Times New Roman"/>
        </w:rPr>
        <w:t xml:space="preserve">Considérant </w:t>
      </w:r>
      <w:r w:rsidRPr="007343A4">
        <w:rPr>
          <w:rFonts w:ascii="Times New Roman" w:hAnsi="Times New Roman"/>
          <w:szCs w:val="24"/>
        </w:rPr>
        <w:t>qu'en application de l'article 60 de la loi de finances du 23 février 1963 susvisée, la responsabilité d'un comptable est engagée dès lors qu'une recette n'a pas été recouvrée</w:t>
      </w:r>
      <w:r w:rsidR="00A64E45">
        <w:rPr>
          <w:rFonts w:ascii="Times New Roman" w:hAnsi="Times New Roman"/>
          <w:szCs w:val="24"/>
        </w:rPr>
        <w:t> </w:t>
      </w:r>
      <w:r w:rsidRPr="007343A4">
        <w:rPr>
          <w:rFonts w:ascii="Times New Roman" w:hAnsi="Times New Roman"/>
          <w:szCs w:val="24"/>
        </w:rPr>
        <w:t xml:space="preserve">; qu’il résulte </w:t>
      </w:r>
      <w:r w:rsidRPr="007343A4">
        <w:rPr>
          <w:rFonts w:ascii="Times New Roman" w:hAnsi="Times New Roman"/>
        </w:rPr>
        <w:t>de l’article 11 du décret du 29 décembre 1962 susvisé que « </w:t>
      </w:r>
      <w:r w:rsidRPr="007343A4">
        <w:rPr>
          <w:rFonts w:ascii="Times New Roman" w:hAnsi="Times New Roman"/>
          <w:i/>
        </w:rPr>
        <w:t>les comptables publics sont seuls chargés de la prise en charge et du recouvrement des ordres de recettes qui leur sont remis par les ordonnateurs </w:t>
      </w:r>
      <w:r w:rsidRPr="007343A4">
        <w:rPr>
          <w:rFonts w:ascii="Times New Roman" w:hAnsi="Times New Roman"/>
        </w:rPr>
        <w:t xml:space="preserve">» ; que l’article 12 du même décret dispose que les comptables sont tenus d’exercer, en matière de recettes, le </w:t>
      </w:r>
      <w:r w:rsidRPr="007343A4">
        <w:rPr>
          <w:rFonts w:ascii="Times New Roman" w:hAnsi="Times New Roman"/>
        </w:rPr>
        <w:lastRenderedPageBreak/>
        <w:t>contrôle « </w:t>
      </w:r>
      <w:r w:rsidRPr="007343A4">
        <w:rPr>
          <w:rFonts w:ascii="Times New Roman" w:hAnsi="Times New Roman"/>
          <w:i/>
        </w:rPr>
        <w:t>de la mise en recouvrement des créances de l’organisme public et de la régularité des réductions et des annulations des ordres de recettes</w:t>
      </w:r>
      <w:r w:rsidRPr="007343A4">
        <w:rPr>
          <w:rFonts w:ascii="Times New Roman" w:hAnsi="Times New Roman"/>
        </w:rPr>
        <w:t> » ; qu’ainsi, à compter de la prise en charge d’un titre exécutoire, le comptable est tenu, sauf à voir sa responsabilité personnelle et pécuniaire engagée, de poursuivre le recouvrement des créances, en opérant des</w:t>
      </w:r>
      <w:r w:rsidRPr="007343A4">
        <w:rPr>
          <w:rFonts w:ascii="Times New Roman" w:hAnsi="Times New Roman"/>
          <w:sz w:val="20"/>
        </w:rPr>
        <w:t xml:space="preserve"> </w:t>
      </w:r>
      <w:r w:rsidRPr="007343A4">
        <w:rPr>
          <w:rFonts w:ascii="Times New Roman" w:hAnsi="Times New Roman"/>
          <w:szCs w:val="24"/>
        </w:rPr>
        <w:t>diligences adéquates, complètes et rapides pour en éviter la prescription</w:t>
      </w:r>
      <w:r w:rsidRPr="007343A4">
        <w:rPr>
          <w:rFonts w:ascii="Times New Roman" w:hAnsi="Times New Roman"/>
        </w:rPr>
        <w:t> ;</w:t>
      </w:r>
      <w:r w:rsidR="00DF6B99" w:rsidRPr="007343A4">
        <w:rPr>
          <w:rFonts w:ascii="Times New Roman" w:hAnsi="Times New Roman"/>
        </w:rPr>
        <w:t xml:space="preserve"> </w:t>
      </w:r>
    </w:p>
    <w:p w:rsidR="00DF6B99" w:rsidRPr="007343A4" w:rsidRDefault="00DF6B99" w:rsidP="00DF6B99">
      <w:pPr>
        <w:pStyle w:val="PS"/>
        <w:rPr>
          <w:rFonts w:ascii="Times New Roman" w:hAnsi="Times New Roman"/>
          <w:b/>
        </w:rPr>
      </w:pPr>
      <w:r w:rsidRPr="007343A4">
        <w:rPr>
          <w:rFonts w:ascii="Times New Roman" w:hAnsi="Times New Roman"/>
          <w:b/>
        </w:rPr>
        <w:t>Sur l’intervention du procureur financier à l’audience publique</w:t>
      </w:r>
    </w:p>
    <w:p w:rsidR="00DF6B99" w:rsidRPr="007343A4" w:rsidRDefault="00DF6B99" w:rsidP="00DF6B99">
      <w:pPr>
        <w:pStyle w:val="PS"/>
        <w:rPr>
          <w:rFonts w:ascii="Times New Roman" w:hAnsi="Times New Roman"/>
        </w:rPr>
      </w:pPr>
      <w:r w:rsidRPr="007343A4">
        <w:rPr>
          <w:rFonts w:ascii="Times New Roman" w:hAnsi="Times New Roman"/>
        </w:rPr>
        <w:t xml:space="preserve">Considérant </w:t>
      </w:r>
      <w:r w:rsidR="009A15BD" w:rsidRPr="007343A4">
        <w:rPr>
          <w:rFonts w:ascii="Times New Roman" w:hAnsi="Times New Roman"/>
        </w:rPr>
        <w:t xml:space="preserve">d’une part, </w:t>
      </w:r>
      <w:r w:rsidRPr="007343A4">
        <w:rPr>
          <w:rFonts w:ascii="Times New Roman" w:hAnsi="Times New Roman"/>
        </w:rPr>
        <w:t>qu’aux termes de l’article R. 242-8 du code des juridictions financières</w:t>
      </w:r>
      <w:r w:rsidRPr="007343A4">
        <w:rPr>
          <w:rFonts w:ascii="Times New Roman" w:hAnsi="Times New Roman"/>
          <w:b/>
        </w:rPr>
        <w:t xml:space="preserve"> « </w:t>
      </w:r>
      <w:r w:rsidRPr="007343A4">
        <w:rPr>
          <w:rFonts w:ascii="Times New Roman" w:hAnsi="Times New Roman"/>
          <w:i/>
        </w:rPr>
        <w:t>I. - A l'audience publique, après l'exposé du rapporteur et les conclusions du procureur financier, toute partie à l'instance peut formuler, soit en personne, soit par l'intermédiaire d'un avocat, des observations complétant et précisant celles fournies par écrit sur l'affaire qui la concerne.</w:t>
      </w:r>
      <w:r w:rsidR="007077F7" w:rsidRPr="007343A4">
        <w:rPr>
          <w:rFonts w:ascii="Times New Roman" w:hAnsi="Times New Roman"/>
          <w:i/>
        </w:rPr>
        <w:t xml:space="preserve"> (…)</w:t>
      </w:r>
      <w:r w:rsidRPr="007343A4">
        <w:rPr>
          <w:rFonts w:ascii="Times New Roman" w:hAnsi="Times New Roman"/>
        </w:rPr>
        <w:t> » ; qu</w:t>
      </w:r>
      <w:r w:rsidR="009A15BD" w:rsidRPr="007343A4">
        <w:rPr>
          <w:rFonts w:ascii="Times New Roman" w:hAnsi="Times New Roman"/>
        </w:rPr>
        <w:t>e</w:t>
      </w:r>
      <w:r w:rsidR="00A64E45">
        <w:rPr>
          <w:rFonts w:ascii="Times New Roman" w:hAnsi="Times New Roman"/>
        </w:rPr>
        <w:t xml:space="preserve">, </w:t>
      </w:r>
      <w:r w:rsidR="009A15BD" w:rsidRPr="007343A4">
        <w:rPr>
          <w:rFonts w:ascii="Times New Roman" w:hAnsi="Times New Roman"/>
        </w:rPr>
        <w:t xml:space="preserve">d’autre part, </w:t>
      </w:r>
      <w:r w:rsidRPr="007343A4">
        <w:rPr>
          <w:rFonts w:ascii="Times New Roman" w:hAnsi="Times New Roman"/>
        </w:rPr>
        <w:t>en vertu de l’article R. 242-10 du même code « </w:t>
      </w:r>
      <w:r w:rsidRPr="007343A4">
        <w:rPr>
          <w:rFonts w:ascii="Times New Roman" w:hAnsi="Times New Roman"/>
          <w:i/>
        </w:rPr>
        <w:t>La formation de jugement statue par un jugement qui vise les comptes jugés, les pièces examinées ainsi que les dispositions législatives et réglementaires dont il fait application. Le jugement, motivé, statue sur les propositions du rapporteur, les conclusions du ministère public et les observations des autres parties. Mention est faite que le rapporteur et le cas échéant les personnes concernées ont été entendus, et que le pro</w:t>
      </w:r>
      <w:r w:rsidR="007077F7" w:rsidRPr="007343A4">
        <w:rPr>
          <w:rFonts w:ascii="Times New Roman" w:hAnsi="Times New Roman"/>
          <w:i/>
        </w:rPr>
        <w:t>cureur financier a conclu</w:t>
      </w:r>
      <w:r w:rsidR="009A15BD" w:rsidRPr="007343A4">
        <w:rPr>
          <w:rFonts w:ascii="Times New Roman" w:hAnsi="Times New Roman"/>
          <w:i/>
        </w:rPr>
        <w:t xml:space="preserve"> (</w:t>
      </w:r>
      <w:r w:rsidRPr="007343A4">
        <w:rPr>
          <w:rFonts w:ascii="Times New Roman" w:hAnsi="Times New Roman"/>
          <w:i/>
        </w:rPr>
        <w:t>…)</w:t>
      </w:r>
      <w:r w:rsidRPr="007343A4">
        <w:rPr>
          <w:rFonts w:ascii="Times New Roman" w:hAnsi="Times New Roman"/>
        </w:rPr>
        <w:t xml:space="preserve"> » ; </w:t>
      </w:r>
    </w:p>
    <w:p w:rsidR="00DF6B99" w:rsidRPr="007343A4" w:rsidRDefault="00DF6B99" w:rsidP="00DF6B99">
      <w:pPr>
        <w:pStyle w:val="PS"/>
        <w:rPr>
          <w:rFonts w:ascii="Times New Roman" w:hAnsi="Times New Roman"/>
        </w:rPr>
      </w:pPr>
      <w:r w:rsidRPr="007343A4">
        <w:rPr>
          <w:rFonts w:ascii="Times New Roman" w:hAnsi="Times New Roman"/>
        </w:rPr>
        <w:t xml:space="preserve">Considérant </w:t>
      </w:r>
      <w:r w:rsidR="009A15BD" w:rsidRPr="007343A4">
        <w:rPr>
          <w:rFonts w:ascii="Times New Roman" w:hAnsi="Times New Roman"/>
        </w:rPr>
        <w:t>qu’en l’espèce</w:t>
      </w:r>
      <w:r w:rsidRPr="007343A4">
        <w:rPr>
          <w:rFonts w:ascii="Times New Roman" w:hAnsi="Times New Roman"/>
        </w:rPr>
        <w:t xml:space="preserve"> le jugement entrepris fait mention des conclusions du ministère public, postérieurement à son réquisitoire</w:t>
      </w:r>
      <w:r w:rsidR="009A15BD" w:rsidRPr="007343A4">
        <w:rPr>
          <w:rFonts w:ascii="Times New Roman" w:hAnsi="Times New Roman"/>
        </w:rPr>
        <w:t xml:space="preserve"> introductif, selon lesquelles la date la plus ancienne « </w:t>
      </w:r>
      <w:r w:rsidR="009A15BD" w:rsidRPr="007343A4">
        <w:rPr>
          <w:rFonts w:ascii="Times New Roman" w:hAnsi="Times New Roman"/>
          <w:i/>
        </w:rPr>
        <w:t>d’origine de la créance </w:t>
      </w:r>
      <w:r w:rsidR="009A15BD" w:rsidRPr="007343A4">
        <w:rPr>
          <w:rFonts w:ascii="Times New Roman" w:hAnsi="Times New Roman"/>
        </w:rPr>
        <w:t>» permettrait d’induire avec certitude la prescription de l’action en recouvrement du comptable, soit quatre années, au cours de l’exercice 2008 ; que toutefois le même jugement relève aussi que le compte 463-1</w:t>
      </w:r>
      <w:r w:rsidRPr="007343A4">
        <w:rPr>
          <w:rFonts w:ascii="Times New Roman" w:hAnsi="Times New Roman"/>
        </w:rPr>
        <w:t xml:space="preserve"> </w:t>
      </w:r>
      <w:r w:rsidR="009A15BD" w:rsidRPr="007343A4">
        <w:rPr>
          <w:rFonts w:ascii="Times New Roman" w:hAnsi="Times New Roman"/>
        </w:rPr>
        <w:t>« </w:t>
      </w:r>
      <w:r w:rsidR="009A15BD" w:rsidRPr="007343A4">
        <w:rPr>
          <w:rFonts w:ascii="Times New Roman" w:hAnsi="Times New Roman"/>
          <w:i/>
        </w:rPr>
        <w:t>ne retrace que des écritures relatives à des créances nées au cours d’exercices antérieurs, soit, pour le compte le plus ancien en jugement (2004), des créances apparues au plus tard dans les écritures du collège avant le 31 décembre 2003</w:t>
      </w:r>
      <w:r w:rsidR="009A15BD" w:rsidRPr="007343A4">
        <w:rPr>
          <w:rFonts w:ascii="Times New Roman" w:hAnsi="Times New Roman"/>
        </w:rPr>
        <w:t xml:space="preserve"> » ; qu’ainsi la </w:t>
      </w:r>
      <w:r w:rsidR="007077F7" w:rsidRPr="007343A4">
        <w:rPr>
          <w:rFonts w:ascii="Times New Roman" w:hAnsi="Times New Roman"/>
        </w:rPr>
        <w:t xml:space="preserve">juridiction </w:t>
      </w:r>
      <w:r w:rsidR="009A15BD" w:rsidRPr="007343A4">
        <w:rPr>
          <w:rFonts w:ascii="Times New Roman" w:hAnsi="Times New Roman"/>
        </w:rPr>
        <w:t xml:space="preserve">s’est conformée aux obligations </w:t>
      </w:r>
      <w:r w:rsidR="007077F7" w:rsidRPr="007343A4">
        <w:rPr>
          <w:rFonts w:ascii="Times New Roman" w:hAnsi="Times New Roman"/>
        </w:rPr>
        <w:t xml:space="preserve">réglementaires </w:t>
      </w:r>
      <w:r w:rsidR="009A15BD" w:rsidRPr="007343A4">
        <w:rPr>
          <w:rFonts w:ascii="Times New Roman" w:hAnsi="Times New Roman"/>
        </w:rPr>
        <w:t>rappelées ci-dessus en faisant en particulier mention des observations d</w:t>
      </w:r>
      <w:r w:rsidR="00151184" w:rsidRPr="007343A4">
        <w:rPr>
          <w:rFonts w:ascii="Times New Roman" w:hAnsi="Times New Roman"/>
        </w:rPr>
        <w:t>u ministère public, partie à l’audience, et en statuant</w:t>
      </w:r>
      <w:r w:rsidR="007077F7" w:rsidRPr="007343A4">
        <w:rPr>
          <w:rFonts w:ascii="Times New Roman" w:hAnsi="Times New Roman"/>
        </w:rPr>
        <w:t>,</w:t>
      </w:r>
      <w:r w:rsidR="00151184" w:rsidRPr="007343A4">
        <w:rPr>
          <w:rFonts w:ascii="Times New Roman" w:hAnsi="Times New Roman"/>
        </w:rPr>
        <w:t xml:space="preserve"> par un jugement motivé</w:t>
      </w:r>
      <w:r w:rsidR="007077F7" w:rsidRPr="007343A4">
        <w:rPr>
          <w:rFonts w:ascii="Times New Roman" w:hAnsi="Times New Roman"/>
        </w:rPr>
        <w:t>,</w:t>
      </w:r>
      <w:r w:rsidR="00151184" w:rsidRPr="007343A4">
        <w:rPr>
          <w:rFonts w:ascii="Times New Roman" w:hAnsi="Times New Roman"/>
        </w:rPr>
        <w:t xml:space="preserve"> « </w:t>
      </w:r>
      <w:r w:rsidR="00151184" w:rsidRPr="007343A4">
        <w:rPr>
          <w:rFonts w:ascii="Times New Roman" w:hAnsi="Times New Roman"/>
          <w:i/>
        </w:rPr>
        <w:t>sur les propositions du rapporteur, les conclusions du ministère public et les observations des autres parties</w:t>
      </w:r>
      <w:r w:rsidR="00054336" w:rsidRPr="007343A4">
        <w:rPr>
          <w:rFonts w:ascii="Times New Roman" w:hAnsi="Times New Roman"/>
        </w:rPr>
        <w:t> »</w:t>
      </w:r>
      <w:r w:rsidR="00151184" w:rsidRPr="007343A4">
        <w:rPr>
          <w:rFonts w:ascii="Times New Roman" w:hAnsi="Times New Roman"/>
        </w:rPr>
        <w:t xml:space="preserve">; qu’en conséquence le moyen du requérant est inopérant ; </w:t>
      </w:r>
    </w:p>
    <w:p w:rsidR="00151184" w:rsidRPr="007343A4" w:rsidRDefault="00151184" w:rsidP="00151184">
      <w:pPr>
        <w:pStyle w:val="PS"/>
        <w:rPr>
          <w:rFonts w:ascii="Times New Roman" w:hAnsi="Times New Roman"/>
          <w:b/>
        </w:rPr>
      </w:pPr>
      <w:r w:rsidRPr="007343A4">
        <w:rPr>
          <w:rFonts w:ascii="Times New Roman" w:hAnsi="Times New Roman"/>
          <w:b/>
        </w:rPr>
        <w:t>Sur la prescription de la créance litigieuse</w:t>
      </w:r>
    </w:p>
    <w:p w:rsidR="00DF6B99" w:rsidRPr="007343A4" w:rsidRDefault="006315B5" w:rsidP="00DF6B99">
      <w:pPr>
        <w:pStyle w:val="PS"/>
        <w:rPr>
          <w:rFonts w:ascii="Times New Roman" w:hAnsi="Times New Roman"/>
        </w:rPr>
      </w:pPr>
      <w:r w:rsidRPr="007343A4">
        <w:rPr>
          <w:rFonts w:ascii="Times New Roman" w:hAnsi="Times New Roman"/>
        </w:rPr>
        <w:t>Considérant qu’aux termes de l’article L. 1617-5 du code général des collectivités territoriales</w:t>
      </w:r>
      <w:r w:rsidR="00DF6B99" w:rsidRPr="007343A4">
        <w:rPr>
          <w:rFonts w:ascii="Times New Roman" w:hAnsi="Times New Roman"/>
        </w:rPr>
        <w:t xml:space="preserve"> </w:t>
      </w:r>
      <w:r w:rsidR="007077F7" w:rsidRPr="007343A4">
        <w:rPr>
          <w:rFonts w:ascii="Times New Roman" w:hAnsi="Times New Roman"/>
        </w:rPr>
        <w:t xml:space="preserve">(CGCT) </w:t>
      </w:r>
      <w:r w:rsidR="00DF6B99" w:rsidRPr="007343A4">
        <w:rPr>
          <w:rFonts w:ascii="Times New Roman" w:hAnsi="Times New Roman"/>
        </w:rPr>
        <w:t>«</w:t>
      </w:r>
      <w:r w:rsidR="00DF6B99" w:rsidRPr="007343A4">
        <w:rPr>
          <w:rFonts w:ascii="Times New Roman" w:hAnsi="Times New Roman"/>
          <w:i/>
        </w:rPr>
        <w:t xml:space="preserve"> 3° L'action des comptables publics chargés de recouvrer les créances des régions, des départements, des communes et des établissements publics locaux se prescrit par quatre ans à compter de la prise en charge du titre de recettes. Le délai de quatre </w:t>
      </w:r>
      <w:r w:rsidR="00DF6B99" w:rsidRPr="007343A4">
        <w:rPr>
          <w:rFonts w:ascii="Times New Roman" w:hAnsi="Times New Roman"/>
          <w:i/>
        </w:rPr>
        <w:lastRenderedPageBreak/>
        <w:t>ans mentionné à l'alinéa précédent est interrompu par tous actes comportant reconnaissance de la part des débiteurs et par tous actes interruptifs de la prescription</w:t>
      </w:r>
      <w:r w:rsidR="00DF6B99" w:rsidRPr="007343A4">
        <w:rPr>
          <w:rFonts w:ascii="Times New Roman" w:hAnsi="Times New Roman"/>
        </w:rPr>
        <w:t> »</w:t>
      </w:r>
      <w:r w:rsidR="00A64E45">
        <w:rPr>
          <w:rFonts w:ascii="Times New Roman" w:hAnsi="Times New Roman"/>
        </w:rPr>
        <w:t> ;</w:t>
      </w:r>
    </w:p>
    <w:p w:rsidR="00151184" w:rsidRPr="007343A4" w:rsidRDefault="00151184" w:rsidP="00151184">
      <w:pPr>
        <w:pStyle w:val="PS"/>
        <w:rPr>
          <w:rFonts w:ascii="Times New Roman" w:hAnsi="Times New Roman"/>
        </w:rPr>
      </w:pPr>
      <w:r w:rsidRPr="007343A4">
        <w:rPr>
          <w:rFonts w:ascii="Times New Roman" w:hAnsi="Times New Roman"/>
        </w:rPr>
        <w:t>Considérant</w:t>
      </w:r>
      <w:r w:rsidR="00A64E45">
        <w:rPr>
          <w:rFonts w:ascii="Times New Roman" w:hAnsi="Times New Roman"/>
        </w:rPr>
        <w:t>,</w:t>
      </w:r>
      <w:r w:rsidRPr="007343A4">
        <w:rPr>
          <w:rFonts w:ascii="Times New Roman" w:hAnsi="Times New Roman"/>
        </w:rPr>
        <w:t xml:space="preserve"> d’une part, qu’il n’est pas contesté que la </w:t>
      </w:r>
      <w:r w:rsidR="000364EE" w:rsidRPr="007343A4">
        <w:rPr>
          <w:rFonts w:ascii="Times New Roman" w:hAnsi="Times New Roman"/>
        </w:rPr>
        <w:t>créance</w:t>
      </w:r>
      <w:r w:rsidRPr="007343A4">
        <w:rPr>
          <w:rFonts w:ascii="Times New Roman" w:hAnsi="Times New Roman"/>
        </w:rPr>
        <w:t xml:space="preserve"> litigieuse </w:t>
      </w:r>
      <w:r w:rsidR="000364EE" w:rsidRPr="007343A4">
        <w:rPr>
          <w:rFonts w:ascii="Times New Roman" w:hAnsi="Times New Roman"/>
        </w:rPr>
        <w:t>est apparue pour la première fois au compte 463-1 « Ordres de recettes à recouvrer sur exercices antérieurs »</w:t>
      </w:r>
      <w:r w:rsidR="00E334EB" w:rsidRPr="007343A4">
        <w:rPr>
          <w:rFonts w:ascii="Times New Roman" w:hAnsi="Times New Roman"/>
        </w:rPr>
        <w:t xml:space="preserve"> de l’établissement en 2004 ; que dès lors</w:t>
      </w:r>
      <w:r w:rsidRPr="007343A4">
        <w:rPr>
          <w:rFonts w:ascii="Times New Roman" w:hAnsi="Times New Roman"/>
        </w:rPr>
        <w:t>, comme l’a reconnu de bonne foi le requérant lors de l’audience</w:t>
      </w:r>
      <w:r w:rsidR="00E334EB" w:rsidRPr="007343A4">
        <w:rPr>
          <w:rFonts w:ascii="Times New Roman" w:hAnsi="Times New Roman"/>
        </w:rPr>
        <w:t xml:space="preserve"> </w:t>
      </w:r>
      <w:r w:rsidRPr="007343A4">
        <w:rPr>
          <w:rFonts w:ascii="Times New Roman" w:hAnsi="Times New Roman"/>
        </w:rPr>
        <w:t>publique</w:t>
      </w:r>
      <w:r w:rsidR="007077F7" w:rsidRPr="007343A4">
        <w:rPr>
          <w:rFonts w:ascii="Times New Roman" w:hAnsi="Times New Roman"/>
        </w:rPr>
        <w:t xml:space="preserve"> devant la CRC</w:t>
      </w:r>
      <w:r w:rsidRPr="007343A4">
        <w:rPr>
          <w:rFonts w:ascii="Times New Roman" w:hAnsi="Times New Roman"/>
        </w:rPr>
        <w:t xml:space="preserve">, </w:t>
      </w:r>
      <w:r w:rsidR="00E334EB" w:rsidRPr="007343A4">
        <w:rPr>
          <w:rFonts w:ascii="Times New Roman" w:hAnsi="Times New Roman"/>
        </w:rPr>
        <w:t>elle est née au plus tard le 31 décembre 2003</w:t>
      </w:r>
      <w:r w:rsidRPr="007343A4">
        <w:rPr>
          <w:rFonts w:ascii="Times New Roman" w:hAnsi="Times New Roman"/>
        </w:rPr>
        <w:t> ; que</w:t>
      </w:r>
      <w:r w:rsidR="00E334EB" w:rsidRPr="007343A4">
        <w:rPr>
          <w:rFonts w:ascii="Times New Roman" w:hAnsi="Times New Roman"/>
        </w:rPr>
        <w:t xml:space="preserve"> par voie de conséquence</w:t>
      </w:r>
      <w:r w:rsidR="007077F7" w:rsidRPr="007343A4">
        <w:rPr>
          <w:rFonts w:ascii="Times New Roman" w:hAnsi="Times New Roman"/>
        </w:rPr>
        <w:t>, conformément aux dispositions du CGCT rappelées ci-dessus,</w:t>
      </w:r>
      <w:r w:rsidR="00E334EB" w:rsidRPr="007343A4">
        <w:rPr>
          <w:rFonts w:ascii="Times New Roman" w:hAnsi="Times New Roman"/>
        </w:rPr>
        <w:t xml:space="preserve"> </w:t>
      </w:r>
      <w:r w:rsidRPr="007343A4">
        <w:rPr>
          <w:rFonts w:ascii="Times New Roman" w:hAnsi="Times New Roman"/>
        </w:rPr>
        <w:t xml:space="preserve">elle </w:t>
      </w:r>
      <w:r w:rsidR="00E334EB" w:rsidRPr="007343A4">
        <w:rPr>
          <w:rFonts w:ascii="Times New Roman" w:hAnsi="Times New Roman"/>
        </w:rPr>
        <w:t>s’est trouvée prescrite au plus tard le 31 décembre 2007</w:t>
      </w:r>
      <w:r w:rsidR="007077F7" w:rsidRPr="007343A4">
        <w:rPr>
          <w:rFonts w:ascii="Times New Roman" w:hAnsi="Times New Roman"/>
        </w:rPr>
        <w:t>, c’est-à-dire durant la gestion du requérant</w:t>
      </w:r>
      <w:r w:rsidRPr="007343A4">
        <w:rPr>
          <w:rFonts w:ascii="Times New Roman" w:hAnsi="Times New Roman"/>
        </w:rPr>
        <w:t> ;</w:t>
      </w:r>
    </w:p>
    <w:p w:rsidR="00E334EB" w:rsidRPr="007343A4" w:rsidRDefault="00151184" w:rsidP="00151184">
      <w:pPr>
        <w:pStyle w:val="PS"/>
        <w:rPr>
          <w:rFonts w:ascii="Times New Roman" w:hAnsi="Times New Roman"/>
        </w:rPr>
      </w:pPr>
      <w:r w:rsidRPr="007343A4">
        <w:rPr>
          <w:rFonts w:ascii="Times New Roman" w:hAnsi="Times New Roman"/>
        </w:rPr>
        <w:t>Considérant</w:t>
      </w:r>
      <w:r w:rsidR="00E334EB" w:rsidRPr="007343A4">
        <w:rPr>
          <w:rFonts w:ascii="Times New Roman" w:hAnsi="Times New Roman"/>
        </w:rPr>
        <w:t xml:space="preserve">, </w:t>
      </w:r>
      <w:r w:rsidRPr="007343A4">
        <w:rPr>
          <w:rFonts w:ascii="Times New Roman" w:hAnsi="Times New Roman"/>
        </w:rPr>
        <w:t xml:space="preserve">d’autre part, qu’il est patent, ainsi que le comptable l’a confirmé oralement </w:t>
      </w:r>
      <w:r w:rsidR="006F4874" w:rsidRPr="007343A4">
        <w:rPr>
          <w:rFonts w:ascii="Times New Roman" w:hAnsi="Times New Roman"/>
        </w:rPr>
        <w:t>lors de l’</w:t>
      </w:r>
      <w:r w:rsidR="00052575" w:rsidRPr="007343A4">
        <w:rPr>
          <w:rFonts w:ascii="Times New Roman" w:hAnsi="Times New Roman"/>
        </w:rPr>
        <w:t>audience publique devant la CRC</w:t>
      </w:r>
      <w:r w:rsidRPr="007343A4">
        <w:rPr>
          <w:rFonts w:ascii="Times New Roman" w:hAnsi="Times New Roman"/>
        </w:rPr>
        <w:t xml:space="preserve">, qu’aucune diligence n’a été </w:t>
      </w:r>
      <w:r w:rsidR="006F4874" w:rsidRPr="007343A4">
        <w:rPr>
          <w:rFonts w:ascii="Times New Roman" w:hAnsi="Times New Roman"/>
        </w:rPr>
        <w:t>entreprise e</w:t>
      </w:r>
      <w:r w:rsidRPr="007343A4">
        <w:rPr>
          <w:rFonts w:ascii="Times New Roman" w:hAnsi="Times New Roman"/>
        </w:rPr>
        <w:t xml:space="preserve">n vue du recouvrement de cette créance ; qu’il résulte de l’ensemble des éléments ainsi rappelés que le moyen du requérant manque en droit et que c’est à bon droit que la chambre régionale </w:t>
      </w:r>
      <w:r w:rsidR="00E334EB" w:rsidRPr="007343A4">
        <w:rPr>
          <w:rFonts w:ascii="Times New Roman" w:hAnsi="Times New Roman"/>
        </w:rPr>
        <w:t xml:space="preserve">des comptes de Haute-Normandie a jugé que l’absence de diligences entreprises par le comptable a entraîné la prescription de cette créance </w:t>
      </w:r>
      <w:r w:rsidRPr="007343A4">
        <w:rPr>
          <w:rFonts w:ascii="Times New Roman" w:hAnsi="Times New Roman"/>
        </w:rPr>
        <w:t>durant sa gestion et l’a en conséquence constitué débiteur de l’établissement</w:t>
      </w:r>
      <w:r w:rsidR="00E334EB" w:rsidRPr="007343A4">
        <w:rPr>
          <w:rFonts w:ascii="Times New Roman" w:hAnsi="Times New Roman"/>
        </w:rPr>
        <w:t> ;</w:t>
      </w:r>
    </w:p>
    <w:p w:rsidR="00052575" w:rsidRPr="007343A4" w:rsidRDefault="00052575" w:rsidP="00052575">
      <w:pPr>
        <w:pStyle w:val="PS"/>
        <w:rPr>
          <w:rFonts w:ascii="Times New Roman" w:hAnsi="Times New Roman"/>
          <w:b/>
        </w:rPr>
      </w:pPr>
      <w:r w:rsidRPr="007343A4">
        <w:rPr>
          <w:rFonts w:ascii="Times New Roman" w:hAnsi="Times New Roman"/>
          <w:b/>
        </w:rPr>
        <w:t>Sur les circonstances de la gestion</w:t>
      </w:r>
    </w:p>
    <w:p w:rsidR="00052575" w:rsidRPr="007343A4" w:rsidRDefault="00052575" w:rsidP="00151184">
      <w:pPr>
        <w:pStyle w:val="PS"/>
        <w:rPr>
          <w:rFonts w:ascii="Times New Roman" w:hAnsi="Times New Roman"/>
        </w:rPr>
      </w:pPr>
      <w:r w:rsidRPr="007343A4">
        <w:rPr>
          <w:rFonts w:ascii="Times New Roman" w:hAnsi="Times New Roman"/>
        </w:rPr>
        <w:t>Attendu que lors de l’audience publique le requérant a fait valoir, comme devant le juge de première instance, les circonstances particulières de sa gestion ;</w:t>
      </w:r>
    </w:p>
    <w:p w:rsidR="00052575" w:rsidRPr="007343A4" w:rsidRDefault="00052575" w:rsidP="00151184">
      <w:pPr>
        <w:pStyle w:val="PS"/>
        <w:rPr>
          <w:rFonts w:ascii="Times New Roman" w:hAnsi="Times New Roman"/>
        </w:rPr>
      </w:pPr>
      <w:r w:rsidRPr="007343A4">
        <w:rPr>
          <w:rFonts w:ascii="Times New Roman" w:hAnsi="Times New Roman"/>
        </w:rPr>
        <w:t>Considérant que si des éléments de contexte peuvent, le cas échéant, venir à l’appui d’une demande de remise gracieuse adressée au ministre en charge du budget, ils ne sont pas pour autant de nature à décharger le comptable de sa responsabilité ; que ce moyen est donc inopérant ;</w:t>
      </w:r>
    </w:p>
    <w:p w:rsidR="002350EA" w:rsidRPr="007343A4" w:rsidRDefault="002350EA" w:rsidP="009C0E82">
      <w:pPr>
        <w:pStyle w:val="PS"/>
        <w:ind w:left="0" w:firstLine="2835"/>
        <w:rPr>
          <w:rFonts w:ascii="Times New Roman" w:hAnsi="Times New Roman"/>
          <w:szCs w:val="24"/>
        </w:rPr>
      </w:pPr>
      <w:r w:rsidRPr="007343A4">
        <w:rPr>
          <w:rFonts w:ascii="Times New Roman" w:hAnsi="Times New Roman"/>
          <w:szCs w:val="24"/>
        </w:rPr>
        <w:t>Par ces motifs,</w:t>
      </w:r>
    </w:p>
    <w:p w:rsidR="002350EA" w:rsidRPr="007343A4" w:rsidRDefault="009C0E82" w:rsidP="009C0E82">
      <w:pPr>
        <w:pStyle w:val="PS"/>
        <w:ind w:firstLine="0"/>
        <w:jc w:val="center"/>
        <w:rPr>
          <w:rFonts w:ascii="Times New Roman" w:hAnsi="Times New Roman"/>
          <w:b/>
        </w:rPr>
      </w:pPr>
      <w:bookmarkStart w:id="0" w:name="_GoBack"/>
      <w:r w:rsidRPr="007343A4">
        <w:rPr>
          <w:rFonts w:ascii="Times New Roman" w:hAnsi="Times New Roman"/>
          <w:b/>
        </w:rPr>
        <w:t>DECIDE</w:t>
      </w:r>
      <w:r w:rsidR="002350EA" w:rsidRPr="007343A4">
        <w:rPr>
          <w:rFonts w:ascii="Times New Roman" w:hAnsi="Times New Roman"/>
          <w:b/>
        </w:rPr>
        <w:t> :</w:t>
      </w:r>
    </w:p>
    <w:bookmarkEnd w:id="0"/>
    <w:p w:rsidR="00347D0F" w:rsidRPr="007343A4" w:rsidRDefault="00B93DEA" w:rsidP="00602978">
      <w:pPr>
        <w:pStyle w:val="PS"/>
        <w:tabs>
          <w:tab w:val="left" w:pos="2835"/>
          <w:tab w:val="left" w:pos="3544"/>
        </w:tabs>
        <w:rPr>
          <w:rFonts w:ascii="Times New Roman" w:hAnsi="Times New Roman"/>
        </w:rPr>
      </w:pPr>
      <w:r w:rsidRPr="007343A4">
        <w:rPr>
          <w:rFonts w:ascii="Times New Roman" w:hAnsi="Times New Roman"/>
          <w:b/>
        </w:rPr>
        <w:t xml:space="preserve">Article </w:t>
      </w:r>
      <w:r w:rsidR="00E334EB" w:rsidRPr="007343A4">
        <w:rPr>
          <w:rFonts w:ascii="Times New Roman" w:hAnsi="Times New Roman"/>
          <w:b/>
        </w:rPr>
        <w:t>unique</w:t>
      </w:r>
      <w:r w:rsidR="00D679D8" w:rsidRPr="007343A4">
        <w:rPr>
          <w:rFonts w:ascii="Times New Roman" w:hAnsi="Times New Roman"/>
          <w:b/>
        </w:rPr>
        <w:t> :</w:t>
      </w:r>
      <w:r w:rsidR="009C0E82" w:rsidRPr="007343A4">
        <w:rPr>
          <w:rFonts w:ascii="Times New Roman" w:hAnsi="Times New Roman"/>
          <w:b/>
        </w:rPr>
        <w:t xml:space="preserve"> </w:t>
      </w:r>
      <w:r w:rsidR="00CA21F3" w:rsidRPr="007343A4">
        <w:rPr>
          <w:rFonts w:ascii="Times New Roman" w:hAnsi="Times New Roman"/>
        </w:rPr>
        <w:t>L</w:t>
      </w:r>
      <w:r w:rsidR="00151184" w:rsidRPr="007343A4">
        <w:rPr>
          <w:rFonts w:ascii="Times New Roman" w:hAnsi="Times New Roman"/>
        </w:rPr>
        <w:t xml:space="preserve">a requête de </w:t>
      </w:r>
      <w:r w:rsidR="00C509CD">
        <w:rPr>
          <w:rFonts w:ascii="Times New Roman" w:hAnsi="Times New Roman"/>
        </w:rPr>
        <w:t>M. X</w:t>
      </w:r>
      <w:r w:rsidR="00151184" w:rsidRPr="007343A4">
        <w:rPr>
          <w:rFonts w:ascii="Times New Roman" w:hAnsi="Times New Roman"/>
        </w:rPr>
        <w:t xml:space="preserve"> est rejetée</w:t>
      </w:r>
      <w:r w:rsidR="008B1404" w:rsidRPr="007343A4">
        <w:rPr>
          <w:rFonts w:ascii="Times New Roman" w:hAnsi="Times New Roman"/>
        </w:rPr>
        <w:t>.</w:t>
      </w:r>
    </w:p>
    <w:p w:rsidR="002350EA" w:rsidRPr="007343A4" w:rsidRDefault="002350EA" w:rsidP="009C0E82">
      <w:pPr>
        <w:pStyle w:val="PS"/>
        <w:ind w:left="1560" w:firstLine="141"/>
        <w:jc w:val="center"/>
        <w:rPr>
          <w:rFonts w:ascii="Times New Roman" w:hAnsi="Times New Roman"/>
          <w:szCs w:val="24"/>
        </w:rPr>
      </w:pPr>
      <w:r w:rsidRPr="007343A4">
        <w:rPr>
          <w:rFonts w:ascii="Times New Roman" w:hAnsi="Times New Roman"/>
          <w:szCs w:val="24"/>
        </w:rPr>
        <w:t>------------</w:t>
      </w:r>
    </w:p>
    <w:p w:rsidR="00625B66" w:rsidRPr="007343A4" w:rsidRDefault="00625B66" w:rsidP="00FC12DE">
      <w:pPr>
        <w:pStyle w:val="PS"/>
        <w:rPr>
          <w:rFonts w:ascii="Times New Roman" w:hAnsi="Times New Roman"/>
        </w:rPr>
      </w:pPr>
    </w:p>
    <w:p w:rsidR="00602978" w:rsidRPr="007343A4" w:rsidRDefault="002350EA" w:rsidP="00FC12DE">
      <w:pPr>
        <w:pStyle w:val="PS"/>
        <w:rPr>
          <w:rFonts w:ascii="Times New Roman" w:hAnsi="Times New Roman"/>
          <w:szCs w:val="24"/>
        </w:rPr>
      </w:pPr>
      <w:r w:rsidRPr="007343A4">
        <w:rPr>
          <w:rFonts w:ascii="Times New Roman" w:hAnsi="Times New Roman"/>
        </w:rPr>
        <w:t>Fait et jugé en la Cour des comptes, quatrième chambre, première section. Présents</w:t>
      </w:r>
      <w:r w:rsidR="00FC12DE" w:rsidRPr="007343A4">
        <w:rPr>
          <w:rFonts w:ascii="Times New Roman" w:hAnsi="Times New Roman"/>
        </w:rPr>
        <w:t xml:space="preserve"> : MM. Bayle, président, Maistre, président de section, Ganser, Vermeulen, Rousselot et Geoffroy, conseillers maîtres.</w:t>
      </w:r>
      <w:r w:rsidR="008B134C" w:rsidRPr="007343A4">
        <w:rPr>
          <w:rFonts w:ascii="Times New Roman" w:hAnsi="Times New Roman"/>
          <w:szCs w:val="24"/>
        </w:rPr>
        <w:t xml:space="preserve"> </w:t>
      </w:r>
    </w:p>
    <w:p w:rsidR="00852F6D" w:rsidRPr="0047651F" w:rsidRDefault="00852F6D" w:rsidP="00602978">
      <w:pPr>
        <w:ind w:firstLine="2835"/>
        <w:jc w:val="both"/>
        <w:rPr>
          <w:sz w:val="24"/>
          <w:szCs w:val="24"/>
        </w:rPr>
      </w:pPr>
    </w:p>
    <w:p w:rsidR="00413A4C" w:rsidRPr="0047651F" w:rsidRDefault="00413A4C" w:rsidP="00413A4C">
      <w:pPr>
        <w:pStyle w:val="PS"/>
        <w:rPr>
          <w:rFonts w:ascii="Times New Roman" w:hAnsi="Times New Roman"/>
        </w:rPr>
      </w:pPr>
      <w:r w:rsidRPr="0047651F">
        <w:rPr>
          <w:rFonts w:ascii="Times New Roman" w:hAnsi="Times New Roman"/>
        </w:rPr>
        <w:t>Signé : Bayle, président, et Férez, greffier.</w:t>
      </w:r>
    </w:p>
    <w:p w:rsidR="00413A4C" w:rsidRPr="0047651F" w:rsidRDefault="00413A4C" w:rsidP="00413A4C">
      <w:pPr>
        <w:pStyle w:val="PS"/>
        <w:rPr>
          <w:rFonts w:ascii="Times New Roman" w:hAnsi="Times New Roman"/>
        </w:rPr>
      </w:pPr>
      <w:r w:rsidRPr="0047651F">
        <w:rPr>
          <w:rFonts w:ascii="Times New Roman" w:hAnsi="Times New Roman"/>
        </w:rPr>
        <w:t>Collationné, certifié conforme à la minute étant au greffe de la Cour des comptes et délivré par moi, secrétaire général.</w:t>
      </w:r>
    </w:p>
    <w:p w:rsidR="00413A4C" w:rsidRPr="0047651F" w:rsidRDefault="00413A4C" w:rsidP="00413A4C">
      <w:pPr>
        <w:pStyle w:val="P0"/>
        <w:spacing w:before="240"/>
        <w:ind w:left="2268" w:firstLine="2835"/>
        <w:jc w:val="center"/>
        <w:rPr>
          <w:b/>
        </w:rPr>
      </w:pPr>
      <w:r w:rsidRPr="0047651F">
        <w:rPr>
          <w:b/>
        </w:rPr>
        <w:t>Pour le Secrétaire général</w:t>
      </w:r>
    </w:p>
    <w:p w:rsidR="00413A4C" w:rsidRPr="0047651F" w:rsidRDefault="00413A4C" w:rsidP="00413A4C">
      <w:pPr>
        <w:pStyle w:val="P0"/>
        <w:ind w:left="2268" w:firstLine="2835"/>
        <w:jc w:val="center"/>
        <w:rPr>
          <w:b/>
        </w:rPr>
      </w:pPr>
      <w:r w:rsidRPr="0047651F">
        <w:rPr>
          <w:b/>
        </w:rPr>
        <w:t>et par délégation,</w:t>
      </w:r>
    </w:p>
    <w:p w:rsidR="00413A4C" w:rsidRPr="0047651F" w:rsidRDefault="00413A4C" w:rsidP="00413A4C">
      <w:pPr>
        <w:pStyle w:val="P0"/>
        <w:ind w:left="2268" w:firstLine="2835"/>
        <w:jc w:val="center"/>
        <w:rPr>
          <w:b/>
        </w:rPr>
      </w:pPr>
      <w:r w:rsidRPr="0047651F">
        <w:rPr>
          <w:b/>
        </w:rPr>
        <w:t>le Chef du Greffe contentieux</w:t>
      </w: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p>
    <w:p w:rsidR="00413A4C" w:rsidRPr="0047651F" w:rsidRDefault="00413A4C" w:rsidP="00413A4C">
      <w:pPr>
        <w:pStyle w:val="P0"/>
        <w:ind w:left="2268" w:firstLine="2835"/>
        <w:jc w:val="center"/>
        <w:rPr>
          <w:b/>
        </w:rPr>
      </w:pPr>
      <w:r w:rsidRPr="0047651F">
        <w:rPr>
          <w:b/>
        </w:rPr>
        <w:t>Daniel FEREZ</w:t>
      </w:r>
    </w:p>
    <w:p w:rsidR="00852F6D" w:rsidRPr="0047651F" w:rsidRDefault="00852F6D" w:rsidP="00625B66">
      <w:pPr>
        <w:ind w:left="1560" w:firstLine="141"/>
        <w:jc w:val="both"/>
        <w:rPr>
          <w:sz w:val="24"/>
          <w:szCs w:val="24"/>
        </w:rPr>
      </w:pPr>
    </w:p>
    <w:sectPr w:rsidR="00852F6D" w:rsidRPr="0047651F" w:rsidSect="004C0122">
      <w:footerReference w:type="default" r:id="rId9"/>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AB7" w:rsidRDefault="00836AB7">
      <w:r>
        <w:separator/>
      </w:r>
    </w:p>
  </w:endnote>
  <w:endnote w:type="continuationSeparator" w:id="0">
    <w:p w:rsidR="00836AB7" w:rsidRDefault="0083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E82" w:rsidRDefault="009C0E82">
    <w:pPr>
      <w:pStyle w:val="Pieddepage"/>
      <w:jc w:val="right"/>
    </w:pPr>
    <w:r>
      <w:fldChar w:fldCharType="begin"/>
    </w:r>
    <w:r>
      <w:instrText>PAGE   \* MERGEFORMAT</w:instrText>
    </w:r>
    <w:r>
      <w:fldChar w:fldCharType="separate"/>
    </w:r>
    <w:r w:rsidR="00A64E45">
      <w:rPr>
        <w:noProof/>
      </w:rPr>
      <w:t>5</w:t>
    </w:r>
    <w:r>
      <w:fldChar w:fldCharType="end"/>
    </w:r>
  </w:p>
  <w:p w:rsidR="00F01DE3" w:rsidRDefault="00F01D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AB7" w:rsidRDefault="00836AB7">
      <w:r>
        <w:separator/>
      </w:r>
    </w:p>
  </w:footnote>
  <w:footnote w:type="continuationSeparator" w:id="0">
    <w:p w:rsidR="00836AB7" w:rsidRDefault="00836A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41C022F9"/>
    <w:multiLevelType w:val="hybridMultilevel"/>
    <w:tmpl w:val="FEF22C48"/>
    <w:lvl w:ilvl="0" w:tplc="9B8CE5B6">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9B"/>
    <w:rsid w:val="00001EA5"/>
    <w:rsid w:val="00002923"/>
    <w:rsid w:val="00024F49"/>
    <w:rsid w:val="000364EE"/>
    <w:rsid w:val="0003668A"/>
    <w:rsid w:val="0004203B"/>
    <w:rsid w:val="00042DE1"/>
    <w:rsid w:val="00045FBE"/>
    <w:rsid w:val="00052575"/>
    <w:rsid w:val="00054336"/>
    <w:rsid w:val="00062706"/>
    <w:rsid w:val="00074849"/>
    <w:rsid w:val="00081B28"/>
    <w:rsid w:val="000966AD"/>
    <w:rsid w:val="00097CB1"/>
    <w:rsid w:val="000A0D6F"/>
    <w:rsid w:val="000B1525"/>
    <w:rsid w:val="000C4C5C"/>
    <w:rsid w:val="000C78C8"/>
    <w:rsid w:val="000E2605"/>
    <w:rsid w:val="000E6CFD"/>
    <w:rsid w:val="000E724B"/>
    <w:rsid w:val="000F5742"/>
    <w:rsid w:val="0010360D"/>
    <w:rsid w:val="00103B5D"/>
    <w:rsid w:val="00120038"/>
    <w:rsid w:val="00130292"/>
    <w:rsid w:val="0013719D"/>
    <w:rsid w:val="00137E59"/>
    <w:rsid w:val="00151184"/>
    <w:rsid w:val="00162847"/>
    <w:rsid w:val="00172BF4"/>
    <w:rsid w:val="00173F27"/>
    <w:rsid w:val="00180908"/>
    <w:rsid w:val="00180E4F"/>
    <w:rsid w:val="00190224"/>
    <w:rsid w:val="001943B8"/>
    <w:rsid w:val="001A5AE9"/>
    <w:rsid w:val="001A716A"/>
    <w:rsid w:val="001B7368"/>
    <w:rsid w:val="001C4A33"/>
    <w:rsid w:val="001C4E87"/>
    <w:rsid w:val="001D2A4A"/>
    <w:rsid w:val="001E2CBB"/>
    <w:rsid w:val="001F482A"/>
    <w:rsid w:val="0020413B"/>
    <w:rsid w:val="00211381"/>
    <w:rsid w:val="00211F06"/>
    <w:rsid w:val="00213BE2"/>
    <w:rsid w:val="00223D38"/>
    <w:rsid w:val="00224C0C"/>
    <w:rsid w:val="00231DB2"/>
    <w:rsid w:val="00234540"/>
    <w:rsid w:val="00234CF8"/>
    <w:rsid w:val="002350EA"/>
    <w:rsid w:val="002426A7"/>
    <w:rsid w:val="00243E9C"/>
    <w:rsid w:val="00260870"/>
    <w:rsid w:val="00262E91"/>
    <w:rsid w:val="002977C7"/>
    <w:rsid w:val="002A3420"/>
    <w:rsid w:val="002A5F51"/>
    <w:rsid w:val="002B01CB"/>
    <w:rsid w:val="002D0A78"/>
    <w:rsid w:val="002E020E"/>
    <w:rsid w:val="002E1545"/>
    <w:rsid w:val="002E3142"/>
    <w:rsid w:val="002F4064"/>
    <w:rsid w:val="002F76D8"/>
    <w:rsid w:val="003129B3"/>
    <w:rsid w:val="00313B8C"/>
    <w:rsid w:val="00315F7E"/>
    <w:rsid w:val="00317CAF"/>
    <w:rsid w:val="003201CD"/>
    <w:rsid w:val="00325C98"/>
    <w:rsid w:val="00326EE5"/>
    <w:rsid w:val="00327FD1"/>
    <w:rsid w:val="00331626"/>
    <w:rsid w:val="00333B50"/>
    <w:rsid w:val="00336446"/>
    <w:rsid w:val="003467E6"/>
    <w:rsid w:val="00346D93"/>
    <w:rsid w:val="00347D0F"/>
    <w:rsid w:val="00353439"/>
    <w:rsid w:val="00383468"/>
    <w:rsid w:val="0038549F"/>
    <w:rsid w:val="00392291"/>
    <w:rsid w:val="0039572C"/>
    <w:rsid w:val="003A24CE"/>
    <w:rsid w:val="003A6169"/>
    <w:rsid w:val="003B03B3"/>
    <w:rsid w:val="003B4919"/>
    <w:rsid w:val="003C04D4"/>
    <w:rsid w:val="003C2BD6"/>
    <w:rsid w:val="003C72B0"/>
    <w:rsid w:val="003E3339"/>
    <w:rsid w:val="003F7864"/>
    <w:rsid w:val="0040728B"/>
    <w:rsid w:val="004108DF"/>
    <w:rsid w:val="00410A6D"/>
    <w:rsid w:val="0041218E"/>
    <w:rsid w:val="00413A4C"/>
    <w:rsid w:val="00413EE5"/>
    <w:rsid w:val="004149E8"/>
    <w:rsid w:val="00415B20"/>
    <w:rsid w:val="0042120C"/>
    <w:rsid w:val="00421AE2"/>
    <w:rsid w:val="00422B46"/>
    <w:rsid w:val="00422C71"/>
    <w:rsid w:val="004237AD"/>
    <w:rsid w:val="004268EA"/>
    <w:rsid w:val="004355F8"/>
    <w:rsid w:val="0044566D"/>
    <w:rsid w:val="00451ED0"/>
    <w:rsid w:val="00457496"/>
    <w:rsid w:val="004648E6"/>
    <w:rsid w:val="004758F2"/>
    <w:rsid w:val="00475C59"/>
    <w:rsid w:val="00475D4C"/>
    <w:rsid w:val="0047651F"/>
    <w:rsid w:val="004806C4"/>
    <w:rsid w:val="00481C50"/>
    <w:rsid w:val="0048440B"/>
    <w:rsid w:val="00486B2C"/>
    <w:rsid w:val="00496FA2"/>
    <w:rsid w:val="00497A94"/>
    <w:rsid w:val="004A511B"/>
    <w:rsid w:val="004A67EE"/>
    <w:rsid w:val="004C0122"/>
    <w:rsid w:val="004C7F1F"/>
    <w:rsid w:val="004D00C9"/>
    <w:rsid w:val="004D206B"/>
    <w:rsid w:val="004D52EB"/>
    <w:rsid w:val="004D6186"/>
    <w:rsid w:val="004D6E15"/>
    <w:rsid w:val="004E32D2"/>
    <w:rsid w:val="004E6E15"/>
    <w:rsid w:val="004F66C0"/>
    <w:rsid w:val="0051078B"/>
    <w:rsid w:val="00510BFE"/>
    <w:rsid w:val="00511AD0"/>
    <w:rsid w:val="00513823"/>
    <w:rsid w:val="00520444"/>
    <w:rsid w:val="00521414"/>
    <w:rsid w:val="00533F20"/>
    <w:rsid w:val="00535728"/>
    <w:rsid w:val="0054418D"/>
    <w:rsid w:val="00545604"/>
    <w:rsid w:val="00545E6A"/>
    <w:rsid w:val="00552089"/>
    <w:rsid w:val="00553459"/>
    <w:rsid w:val="00560E60"/>
    <w:rsid w:val="005618A9"/>
    <w:rsid w:val="00564997"/>
    <w:rsid w:val="00565E05"/>
    <w:rsid w:val="00566BAE"/>
    <w:rsid w:val="005846B1"/>
    <w:rsid w:val="00586186"/>
    <w:rsid w:val="00586C65"/>
    <w:rsid w:val="00586D35"/>
    <w:rsid w:val="00597F3F"/>
    <w:rsid w:val="005C14F9"/>
    <w:rsid w:val="005D1BD8"/>
    <w:rsid w:val="005D3707"/>
    <w:rsid w:val="005D60C3"/>
    <w:rsid w:val="005D6555"/>
    <w:rsid w:val="005D6918"/>
    <w:rsid w:val="005E5AE6"/>
    <w:rsid w:val="005E7EE8"/>
    <w:rsid w:val="005F357A"/>
    <w:rsid w:val="005F41EA"/>
    <w:rsid w:val="005F641F"/>
    <w:rsid w:val="005F6A23"/>
    <w:rsid w:val="006003CD"/>
    <w:rsid w:val="0060163F"/>
    <w:rsid w:val="00602978"/>
    <w:rsid w:val="00610701"/>
    <w:rsid w:val="006109E1"/>
    <w:rsid w:val="0061419D"/>
    <w:rsid w:val="00615401"/>
    <w:rsid w:val="00616174"/>
    <w:rsid w:val="00617CAC"/>
    <w:rsid w:val="00624663"/>
    <w:rsid w:val="0062559E"/>
    <w:rsid w:val="00625B66"/>
    <w:rsid w:val="0063019B"/>
    <w:rsid w:val="006315B5"/>
    <w:rsid w:val="00635A7C"/>
    <w:rsid w:val="00645620"/>
    <w:rsid w:val="00646505"/>
    <w:rsid w:val="006534E7"/>
    <w:rsid w:val="00653500"/>
    <w:rsid w:val="00654C6C"/>
    <w:rsid w:val="00660A6D"/>
    <w:rsid w:val="00667421"/>
    <w:rsid w:val="00671DB5"/>
    <w:rsid w:val="00672AE8"/>
    <w:rsid w:val="006739E8"/>
    <w:rsid w:val="00674F31"/>
    <w:rsid w:val="00675501"/>
    <w:rsid w:val="00680D9A"/>
    <w:rsid w:val="00686BA5"/>
    <w:rsid w:val="00686E94"/>
    <w:rsid w:val="00691F63"/>
    <w:rsid w:val="006A1253"/>
    <w:rsid w:val="006A4388"/>
    <w:rsid w:val="006B005F"/>
    <w:rsid w:val="006B6DFA"/>
    <w:rsid w:val="006C3E92"/>
    <w:rsid w:val="006C6EDF"/>
    <w:rsid w:val="006D476B"/>
    <w:rsid w:val="006E020C"/>
    <w:rsid w:val="006E1A1A"/>
    <w:rsid w:val="006F13C8"/>
    <w:rsid w:val="006F4874"/>
    <w:rsid w:val="006F54FB"/>
    <w:rsid w:val="00701DFF"/>
    <w:rsid w:val="00706551"/>
    <w:rsid w:val="007077F7"/>
    <w:rsid w:val="00731753"/>
    <w:rsid w:val="007341D1"/>
    <w:rsid w:val="007343A4"/>
    <w:rsid w:val="007438F0"/>
    <w:rsid w:val="00780D63"/>
    <w:rsid w:val="00791015"/>
    <w:rsid w:val="0079652C"/>
    <w:rsid w:val="007A56E4"/>
    <w:rsid w:val="007A5CC3"/>
    <w:rsid w:val="007B2171"/>
    <w:rsid w:val="007B529F"/>
    <w:rsid w:val="007C77E2"/>
    <w:rsid w:val="007D4AE2"/>
    <w:rsid w:val="007E26CE"/>
    <w:rsid w:val="007F0929"/>
    <w:rsid w:val="007F1E40"/>
    <w:rsid w:val="007F2422"/>
    <w:rsid w:val="007F3AC0"/>
    <w:rsid w:val="00810AFF"/>
    <w:rsid w:val="0081636E"/>
    <w:rsid w:val="008240D6"/>
    <w:rsid w:val="00824B43"/>
    <w:rsid w:val="00836AB7"/>
    <w:rsid w:val="00843D2E"/>
    <w:rsid w:val="00845E76"/>
    <w:rsid w:val="00847E1B"/>
    <w:rsid w:val="00851908"/>
    <w:rsid w:val="00852F6D"/>
    <w:rsid w:val="008554B8"/>
    <w:rsid w:val="00860A5D"/>
    <w:rsid w:val="008617C3"/>
    <w:rsid w:val="00866D4B"/>
    <w:rsid w:val="00874112"/>
    <w:rsid w:val="00883D06"/>
    <w:rsid w:val="00887B33"/>
    <w:rsid w:val="00887C5E"/>
    <w:rsid w:val="00891B02"/>
    <w:rsid w:val="00893800"/>
    <w:rsid w:val="008A5054"/>
    <w:rsid w:val="008B134C"/>
    <w:rsid w:val="008B1404"/>
    <w:rsid w:val="008B4D37"/>
    <w:rsid w:val="008B5911"/>
    <w:rsid w:val="008B7674"/>
    <w:rsid w:val="008C5F81"/>
    <w:rsid w:val="008E0C8D"/>
    <w:rsid w:val="008F398D"/>
    <w:rsid w:val="00902446"/>
    <w:rsid w:val="00906B6C"/>
    <w:rsid w:val="00930528"/>
    <w:rsid w:val="00932951"/>
    <w:rsid w:val="00937EFC"/>
    <w:rsid w:val="00942CCC"/>
    <w:rsid w:val="009450CF"/>
    <w:rsid w:val="00945AA1"/>
    <w:rsid w:val="0094736C"/>
    <w:rsid w:val="009520D0"/>
    <w:rsid w:val="00976D12"/>
    <w:rsid w:val="00977E23"/>
    <w:rsid w:val="00980E5B"/>
    <w:rsid w:val="0099190A"/>
    <w:rsid w:val="009A15BD"/>
    <w:rsid w:val="009A25F6"/>
    <w:rsid w:val="009B7292"/>
    <w:rsid w:val="009C0E82"/>
    <w:rsid w:val="009F2DB9"/>
    <w:rsid w:val="00A1234D"/>
    <w:rsid w:val="00A1746A"/>
    <w:rsid w:val="00A265F8"/>
    <w:rsid w:val="00A338DA"/>
    <w:rsid w:val="00A36AE2"/>
    <w:rsid w:val="00A406E5"/>
    <w:rsid w:val="00A42557"/>
    <w:rsid w:val="00A439A2"/>
    <w:rsid w:val="00A44C20"/>
    <w:rsid w:val="00A51196"/>
    <w:rsid w:val="00A64E45"/>
    <w:rsid w:val="00A95152"/>
    <w:rsid w:val="00AA1170"/>
    <w:rsid w:val="00AB0802"/>
    <w:rsid w:val="00AD146C"/>
    <w:rsid w:val="00AD2BC6"/>
    <w:rsid w:val="00AD31F8"/>
    <w:rsid w:val="00AD3AD2"/>
    <w:rsid w:val="00AE2CB6"/>
    <w:rsid w:val="00AE37B1"/>
    <w:rsid w:val="00AE7070"/>
    <w:rsid w:val="00AF1D55"/>
    <w:rsid w:val="00AF2001"/>
    <w:rsid w:val="00AF7246"/>
    <w:rsid w:val="00B05AAE"/>
    <w:rsid w:val="00B063BC"/>
    <w:rsid w:val="00B10A4C"/>
    <w:rsid w:val="00B130C1"/>
    <w:rsid w:val="00B2545B"/>
    <w:rsid w:val="00B30F64"/>
    <w:rsid w:val="00B345C3"/>
    <w:rsid w:val="00B41340"/>
    <w:rsid w:val="00B60034"/>
    <w:rsid w:val="00B62210"/>
    <w:rsid w:val="00B75725"/>
    <w:rsid w:val="00B77FC6"/>
    <w:rsid w:val="00B82C1D"/>
    <w:rsid w:val="00B85FD6"/>
    <w:rsid w:val="00B92A4C"/>
    <w:rsid w:val="00B93DEA"/>
    <w:rsid w:val="00BA223E"/>
    <w:rsid w:val="00BA5580"/>
    <w:rsid w:val="00BA6A11"/>
    <w:rsid w:val="00BC5727"/>
    <w:rsid w:val="00BC58C5"/>
    <w:rsid w:val="00BD01E8"/>
    <w:rsid w:val="00BD6431"/>
    <w:rsid w:val="00BD70DC"/>
    <w:rsid w:val="00BE4CC6"/>
    <w:rsid w:val="00BE7CD7"/>
    <w:rsid w:val="00C10827"/>
    <w:rsid w:val="00C11A6D"/>
    <w:rsid w:val="00C330FE"/>
    <w:rsid w:val="00C35A41"/>
    <w:rsid w:val="00C36F08"/>
    <w:rsid w:val="00C509CD"/>
    <w:rsid w:val="00C50E9D"/>
    <w:rsid w:val="00C72063"/>
    <w:rsid w:val="00C90065"/>
    <w:rsid w:val="00CA078C"/>
    <w:rsid w:val="00CA119E"/>
    <w:rsid w:val="00CA1700"/>
    <w:rsid w:val="00CA21F3"/>
    <w:rsid w:val="00CA553E"/>
    <w:rsid w:val="00CB4F56"/>
    <w:rsid w:val="00CD06DD"/>
    <w:rsid w:val="00CF4D0B"/>
    <w:rsid w:val="00D05BB4"/>
    <w:rsid w:val="00D072D8"/>
    <w:rsid w:val="00D07D63"/>
    <w:rsid w:val="00D1229C"/>
    <w:rsid w:val="00D22973"/>
    <w:rsid w:val="00D27E51"/>
    <w:rsid w:val="00D42703"/>
    <w:rsid w:val="00D46C98"/>
    <w:rsid w:val="00D57D73"/>
    <w:rsid w:val="00D57ECF"/>
    <w:rsid w:val="00D620CB"/>
    <w:rsid w:val="00D679D8"/>
    <w:rsid w:val="00D969BC"/>
    <w:rsid w:val="00DA5CF7"/>
    <w:rsid w:val="00DA7123"/>
    <w:rsid w:val="00DB2614"/>
    <w:rsid w:val="00DB3363"/>
    <w:rsid w:val="00DB549E"/>
    <w:rsid w:val="00DB5EED"/>
    <w:rsid w:val="00DB7AD9"/>
    <w:rsid w:val="00DC1BAB"/>
    <w:rsid w:val="00DC5CDF"/>
    <w:rsid w:val="00DD00C8"/>
    <w:rsid w:val="00DD7833"/>
    <w:rsid w:val="00DF03DB"/>
    <w:rsid w:val="00DF17A4"/>
    <w:rsid w:val="00DF26F3"/>
    <w:rsid w:val="00DF6B99"/>
    <w:rsid w:val="00DF7926"/>
    <w:rsid w:val="00E041A7"/>
    <w:rsid w:val="00E10483"/>
    <w:rsid w:val="00E121A5"/>
    <w:rsid w:val="00E134B9"/>
    <w:rsid w:val="00E22D2F"/>
    <w:rsid w:val="00E334EB"/>
    <w:rsid w:val="00E3723F"/>
    <w:rsid w:val="00E46EB6"/>
    <w:rsid w:val="00E55125"/>
    <w:rsid w:val="00E56174"/>
    <w:rsid w:val="00E62591"/>
    <w:rsid w:val="00E6312C"/>
    <w:rsid w:val="00E667C3"/>
    <w:rsid w:val="00E715B5"/>
    <w:rsid w:val="00E72951"/>
    <w:rsid w:val="00E73F93"/>
    <w:rsid w:val="00E744D8"/>
    <w:rsid w:val="00E773FC"/>
    <w:rsid w:val="00E86457"/>
    <w:rsid w:val="00EB6713"/>
    <w:rsid w:val="00EB739E"/>
    <w:rsid w:val="00EC004C"/>
    <w:rsid w:val="00EC3B7B"/>
    <w:rsid w:val="00ED36C8"/>
    <w:rsid w:val="00ED5089"/>
    <w:rsid w:val="00EF20FB"/>
    <w:rsid w:val="00F01DE3"/>
    <w:rsid w:val="00F16743"/>
    <w:rsid w:val="00F2442C"/>
    <w:rsid w:val="00F27DBF"/>
    <w:rsid w:val="00F33AFF"/>
    <w:rsid w:val="00F34369"/>
    <w:rsid w:val="00F34AA9"/>
    <w:rsid w:val="00F36307"/>
    <w:rsid w:val="00F37821"/>
    <w:rsid w:val="00F443A8"/>
    <w:rsid w:val="00F736D0"/>
    <w:rsid w:val="00F74ADE"/>
    <w:rsid w:val="00F818F3"/>
    <w:rsid w:val="00F81AA0"/>
    <w:rsid w:val="00F84B09"/>
    <w:rsid w:val="00F8640B"/>
    <w:rsid w:val="00F940EA"/>
    <w:rsid w:val="00F949A9"/>
    <w:rsid w:val="00FA0011"/>
    <w:rsid w:val="00FA133F"/>
    <w:rsid w:val="00FB6C0A"/>
    <w:rsid w:val="00FC12DE"/>
    <w:rsid w:val="00FC475F"/>
    <w:rsid w:val="00FD3114"/>
    <w:rsid w:val="00FD4177"/>
    <w:rsid w:val="00FE3A0D"/>
    <w:rsid w:val="00FE3DDE"/>
    <w:rsid w:val="00FE58A1"/>
    <w:rsid w:val="00FE7CFC"/>
    <w:rsid w:val="00FF14A8"/>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rsid w:val="004A67EE"/>
    <w:pPr>
      <w:tabs>
        <w:tab w:val="center" w:pos="4536"/>
        <w:tab w:val="right" w:pos="9072"/>
      </w:tabs>
    </w:pPr>
  </w:style>
  <w:style w:type="paragraph" w:styleId="Pieddepage">
    <w:name w:val="footer"/>
    <w:basedOn w:val="Normal"/>
    <w:link w:val="PieddepageCar"/>
    <w:uiPriority w:val="99"/>
    <w:rsid w:val="004A67EE"/>
    <w:pPr>
      <w:tabs>
        <w:tab w:val="center" w:pos="4536"/>
        <w:tab w:val="right" w:pos="9072"/>
      </w:tabs>
    </w:pPr>
  </w:style>
  <w:style w:type="paragraph" w:styleId="Sous-titre">
    <w:name w:val="Subtitle"/>
    <w:basedOn w:val="Normal"/>
    <w:next w:val="Normal"/>
    <w:link w:val="Sous-titreCar"/>
    <w:uiPriority w:val="11"/>
    <w:qFormat/>
    <w:rsid w:val="00E134B9"/>
    <w:pPr>
      <w:spacing w:before="120" w:after="720"/>
      <w:ind w:firstLine="709"/>
      <w:jc w:val="right"/>
    </w:pPr>
    <w:rPr>
      <w:rFonts w:ascii="Cambria" w:hAnsi="Cambria"/>
      <w:sz w:val="24"/>
      <w:szCs w:val="22"/>
    </w:rPr>
  </w:style>
  <w:style w:type="character" w:customStyle="1" w:styleId="Sous-titreCar">
    <w:name w:val="Sous-titre Car"/>
    <w:link w:val="Sous-titre"/>
    <w:uiPriority w:val="11"/>
    <w:rsid w:val="00E134B9"/>
    <w:rPr>
      <w:rFonts w:ascii="Cambria" w:hAnsi="Cambria"/>
      <w:sz w:val="24"/>
      <w:szCs w:val="22"/>
    </w:rPr>
  </w:style>
  <w:style w:type="character" w:customStyle="1" w:styleId="PieddepageCar">
    <w:name w:val="Pied de page Car"/>
    <w:link w:val="Pieddepage"/>
    <w:uiPriority w:val="99"/>
    <w:rsid w:val="009C0E82"/>
  </w:style>
  <w:style w:type="character" w:customStyle="1" w:styleId="Normal1">
    <w:name w:val="Normal1"/>
    <w:rsid w:val="00213BE2"/>
  </w:style>
  <w:style w:type="paragraph" w:styleId="Commentaire">
    <w:name w:val="annotation text"/>
    <w:basedOn w:val="Normal"/>
    <w:link w:val="CommentaireCar"/>
    <w:uiPriority w:val="99"/>
    <w:semiHidden/>
    <w:unhideWhenUsed/>
    <w:rsid w:val="00680D9A"/>
  </w:style>
  <w:style w:type="character" w:customStyle="1" w:styleId="CommentaireCar">
    <w:name w:val="Commentaire Car"/>
    <w:basedOn w:val="Policepardfaut"/>
    <w:link w:val="Commentaire"/>
    <w:uiPriority w:val="99"/>
    <w:semiHidden/>
    <w:rsid w:val="00680D9A"/>
  </w:style>
  <w:style w:type="paragraph" w:styleId="Objetducommentaire">
    <w:name w:val="annotation subject"/>
    <w:basedOn w:val="Commentaire"/>
    <w:next w:val="Commentaire"/>
    <w:link w:val="ObjetducommentaireCar"/>
    <w:uiPriority w:val="99"/>
    <w:semiHidden/>
    <w:unhideWhenUsed/>
    <w:rsid w:val="00680D9A"/>
    <w:rPr>
      <w:b/>
      <w:bCs/>
    </w:rPr>
  </w:style>
  <w:style w:type="character" w:customStyle="1" w:styleId="ObjetducommentaireCar">
    <w:name w:val="Objet du commentaire Car"/>
    <w:link w:val="Objetducommentaire"/>
    <w:uiPriority w:val="99"/>
    <w:semiHidden/>
    <w:rsid w:val="00680D9A"/>
    <w:rPr>
      <w:b/>
      <w:bCs/>
    </w:rPr>
  </w:style>
  <w:style w:type="paragraph" w:styleId="NormalWeb">
    <w:name w:val="Normal (Web)"/>
    <w:basedOn w:val="Normal"/>
    <w:uiPriority w:val="99"/>
    <w:semiHidden/>
    <w:unhideWhenUsed/>
    <w:rsid w:val="00DF6B99"/>
    <w:pPr>
      <w:spacing w:before="100" w:beforeAutospacing="1" w:after="100" w:afterAutospacing="1"/>
    </w:pPr>
    <w:rPr>
      <w:sz w:val="24"/>
      <w:szCs w:val="24"/>
    </w:rPr>
  </w:style>
  <w:style w:type="table" w:styleId="Grilledutableau">
    <w:name w:val="Table Grid"/>
    <w:basedOn w:val="TableauNormal"/>
    <w:uiPriority w:val="59"/>
    <w:rsid w:val="00DA5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link w:val="P0Car"/>
    <w:rsid w:val="00413A4C"/>
    <w:pPr>
      <w:ind w:left="1701"/>
      <w:jc w:val="both"/>
    </w:pPr>
    <w:rPr>
      <w:sz w:val="24"/>
      <w:szCs w:val="24"/>
    </w:rPr>
  </w:style>
  <w:style w:type="character" w:customStyle="1" w:styleId="P0Car">
    <w:name w:val="P0 Car"/>
    <w:link w:val="P0"/>
    <w:locked/>
    <w:rsid w:val="00413A4C"/>
    <w:rPr>
      <w:sz w:val="24"/>
      <w:szCs w:val="24"/>
    </w:rPr>
  </w:style>
  <w:style w:type="paragraph" w:styleId="Rvision">
    <w:name w:val="Revision"/>
    <w:hidden/>
    <w:uiPriority w:val="99"/>
    <w:semiHidden/>
    <w:rsid w:val="00001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45">
      <w:bodyDiv w:val="1"/>
      <w:marLeft w:val="0"/>
      <w:marRight w:val="0"/>
      <w:marTop w:val="0"/>
      <w:marBottom w:val="0"/>
      <w:divBdr>
        <w:top w:val="none" w:sz="0" w:space="0" w:color="auto"/>
        <w:left w:val="none" w:sz="0" w:space="0" w:color="auto"/>
        <w:bottom w:val="none" w:sz="0" w:space="0" w:color="auto"/>
        <w:right w:val="none" w:sz="0" w:space="0" w:color="auto"/>
      </w:divBdr>
      <w:divsChild>
        <w:div w:id="52244036">
          <w:marLeft w:val="90"/>
          <w:marRight w:val="0"/>
          <w:marTop w:val="0"/>
          <w:marBottom w:val="0"/>
          <w:divBdr>
            <w:top w:val="none" w:sz="0" w:space="0" w:color="auto"/>
            <w:left w:val="none" w:sz="0" w:space="0" w:color="auto"/>
            <w:bottom w:val="none" w:sz="0" w:space="0" w:color="auto"/>
            <w:right w:val="none" w:sz="0" w:space="0" w:color="auto"/>
          </w:divBdr>
        </w:div>
      </w:divsChild>
    </w:div>
    <w:div w:id="66152822">
      <w:bodyDiv w:val="1"/>
      <w:marLeft w:val="0"/>
      <w:marRight w:val="0"/>
      <w:marTop w:val="0"/>
      <w:marBottom w:val="0"/>
      <w:divBdr>
        <w:top w:val="none" w:sz="0" w:space="0" w:color="auto"/>
        <w:left w:val="none" w:sz="0" w:space="0" w:color="auto"/>
        <w:bottom w:val="none" w:sz="0" w:space="0" w:color="auto"/>
        <w:right w:val="none" w:sz="0" w:space="0" w:color="auto"/>
      </w:divBdr>
    </w:div>
    <w:div w:id="183446420">
      <w:bodyDiv w:val="1"/>
      <w:marLeft w:val="0"/>
      <w:marRight w:val="0"/>
      <w:marTop w:val="0"/>
      <w:marBottom w:val="0"/>
      <w:divBdr>
        <w:top w:val="none" w:sz="0" w:space="0" w:color="auto"/>
        <w:left w:val="none" w:sz="0" w:space="0" w:color="auto"/>
        <w:bottom w:val="none" w:sz="0" w:space="0" w:color="auto"/>
        <w:right w:val="none" w:sz="0" w:space="0" w:color="auto"/>
      </w:divBdr>
      <w:divsChild>
        <w:div w:id="2125077609">
          <w:marLeft w:val="0"/>
          <w:marRight w:val="0"/>
          <w:marTop w:val="0"/>
          <w:marBottom w:val="0"/>
          <w:divBdr>
            <w:top w:val="none" w:sz="0" w:space="0" w:color="auto"/>
            <w:left w:val="none" w:sz="0" w:space="0" w:color="auto"/>
            <w:bottom w:val="none" w:sz="0" w:space="0" w:color="auto"/>
            <w:right w:val="none" w:sz="0" w:space="0" w:color="auto"/>
          </w:divBdr>
          <w:divsChild>
            <w:div w:id="299775753">
              <w:marLeft w:val="0"/>
              <w:marRight w:val="0"/>
              <w:marTop w:val="0"/>
              <w:marBottom w:val="0"/>
              <w:divBdr>
                <w:top w:val="none" w:sz="0" w:space="0" w:color="auto"/>
                <w:left w:val="none" w:sz="0" w:space="0" w:color="auto"/>
                <w:bottom w:val="none" w:sz="0" w:space="0" w:color="auto"/>
                <w:right w:val="none" w:sz="0" w:space="0" w:color="auto"/>
              </w:divBdr>
              <w:divsChild>
                <w:div w:id="1399595691">
                  <w:marLeft w:val="0"/>
                  <w:marRight w:val="0"/>
                  <w:marTop w:val="0"/>
                  <w:marBottom w:val="0"/>
                  <w:divBdr>
                    <w:top w:val="none" w:sz="0" w:space="0" w:color="auto"/>
                    <w:left w:val="none" w:sz="0" w:space="0" w:color="auto"/>
                    <w:bottom w:val="none" w:sz="0" w:space="0" w:color="auto"/>
                    <w:right w:val="none" w:sz="0" w:space="0" w:color="auto"/>
                  </w:divBdr>
                  <w:divsChild>
                    <w:div w:id="1091321189">
                      <w:marLeft w:val="0"/>
                      <w:marRight w:val="0"/>
                      <w:marTop w:val="0"/>
                      <w:marBottom w:val="0"/>
                      <w:divBdr>
                        <w:top w:val="none" w:sz="0" w:space="0" w:color="auto"/>
                        <w:left w:val="none" w:sz="0" w:space="0" w:color="auto"/>
                        <w:bottom w:val="none" w:sz="0" w:space="0" w:color="auto"/>
                        <w:right w:val="none" w:sz="0" w:space="0" w:color="auto"/>
                      </w:divBdr>
                      <w:divsChild>
                        <w:div w:id="1897620065">
                          <w:marLeft w:val="0"/>
                          <w:marRight w:val="0"/>
                          <w:marTop w:val="0"/>
                          <w:marBottom w:val="0"/>
                          <w:divBdr>
                            <w:top w:val="none" w:sz="0" w:space="0" w:color="auto"/>
                            <w:left w:val="none" w:sz="0" w:space="0" w:color="auto"/>
                            <w:bottom w:val="none" w:sz="0" w:space="0" w:color="auto"/>
                            <w:right w:val="none" w:sz="0" w:space="0" w:color="auto"/>
                          </w:divBdr>
                          <w:divsChild>
                            <w:div w:id="1257053239">
                              <w:marLeft w:val="0"/>
                              <w:marRight w:val="0"/>
                              <w:marTop w:val="0"/>
                              <w:marBottom w:val="0"/>
                              <w:divBdr>
                                <w:top w:val="none" w:sz="0" w:space="0" w:color="auto"/>
                                <w:left w:val="none" w:sz="0" w:space="0" w:color="auto"/>
                                <w:bottom w:val="none" w:sz="0" w:space="0" w:color="auto"/>
                                <w:right w:val="none" w:sz="0" w:space="0" w:color="auto"/>
                              </w:divBdr>
                              <w:divsChild>
                                <w:div w:id="17942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14113">
      <w:bodyDiv w:val="1"/>
      <w:marLeft w:val="0"/>
      <w:marRight w:val="0"/>
      <w:marTop w:val="0"/>
      <w:marBottom w:val="0"/>
      <w:divBdr>
        <w:top w:val="none" w:sz="0" w:space="0" w:color="auto"/>
        <w:left w:val="none" w:sz="0" w:space="0" w:color="auto"/>
        <w:bottom w:val="none" w:sz="0" w:space="0" w:color="auto"/>
        <w:right w:val="none" w:sz="0" w:space="0" w:color="auto"/>
      </w:divBdr>
      <w:divsChild>
        <w:div w:id="203754689">
          <w:marLeft w:val="0"/>
          <w:marRight w:val="0"/>
          <w:marTop w:val="0"/>
          <w:marBottom w:val="0"/>
          <w:divBdr>
            <w:top w:val="none" w:sz="0" w:space="0" w:color="auto"/>
            <w:left w:val="none" w:sz="0" w:space="0" w:color="auto"/>
            <w:bottom w:val="none" w:sz="0" w:space="0" w:color="auto"/>
            <w:right w:val="none" w:sz="0" w:space="0" w:color="auto"/>
          </w:divBdr>
          <w:divsChild>
            <w:div w:id="1094395820">
              <w:marLeft w:val="0"/>
              <w:marRight w:val="0"/>
              <w:marTop w:val="0"/>
              <w:marBottom w:val="0"/>
              <w:divBdr>
                <w:top w:val="none" w:sz="0" w:space="0" w:color="auto"/>
                <w:left w:val="none" w:sz="0" w:space="0" w:color="auto"/>
                <w:bottom w:val="none" w:sz="0" w:space="0" w:color="auto"/>
                <w:right w:val="none" w:sz="0" w:space="0" w:color="auto"/>
              </w:divBdr>
              <w:divsChild>
                <w:div w:id="2018144482">
                  <w:marLeft w:val="0"/>
                  <w:marRight w:val="0"/>
                  <w:marTop w:val="0"/>
                  <w:marBottom w:val="0"/>
                  <w:divBdr>
                    <w:top w:val="none" w:sz="0" w:space="0" w:color="auto"/>
                    <w:left w:val="none" w:sz="0" w:space="0" w:color="auto"/>
                    <w:bottom w:val="none" w:sz="0" w:space="0" w:color="auto"/>
                    <w:right w:val="none" w:sz="0" w:space="0" w:color="auto"/>
                  </w:divBdr>
                  <w:divsChild>
                    <w:div w:id="1755934814">
                      <w:marLeft w:val="0"/>
                      <w:marRight w:val="0"/>
                      <w:marTop w:val="0"/>
                      <w:marBottom w:val="0"/>
                      <w:divBdr>
                        <w:top w:val="none" w:sz="0" w:space="0" w:color="auto"/>
                        <w:left w:val="none" w:sz="0" w:space="0" w:color="auto"/>
                        <w:bottom w:val="none" w:sz="0" w:space="0" w:color="auto"/>
                        <w:right w:val="none" w:sz="0" w:space="0" w:color="auto"/>
                      </w:divBdr>
                      <w:divsChild>
                        <w:div w:id="1004434273">
                          <w:marLeft w:val="0"/>
                          <w:marRight w:val="0"/>
                          <w:marTop w:val="0"/>
                          <w:marBottom w:val="0"/>
                          <w:divBdr>
                            <w:top w:val="none" w:sz="0" w:space="0" w:color="auto"/>
                            <w:left w:val="none" w:sz="0" w:space="0" w:color="auto"/>
                            <w:bottom w:val="none" w:sz="0" w:space="0" w:color="auto"/>
                            <w:right w:val="none" w:sz="0" w:space="0" w:color="auto"/>
                          </w:divBdr>
                          <w:divsChild>
                            <w:div w:id="1871725991">
                              <w:marLeft w:val="0"/>
                              <w:marRight w:val="0"/>
                              <w:marTop w:val="0"/>
                              <w:marBottom w:val="0"/>
                              <w:divBdr>
                                <w:top w:val="none" w:sz="0" w:space="0" w:color="auto"/>
                                <w:left w:val="none" w:sz="0" w:space="0" w:color="auto"/>
                                <w:bottom w:val="none" w:sz="0" w:space="0" w:color="auto"/>
                                <w:right w:val="none" w:sz="0" w:space="0" w:color="auto"/>
                              </w:divBdr>
                              <w:divsChild>
                                <w:div w:id="13954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2459">
      <w:bodyDiv w:val="1"/>
      <w:marLeft w:val="0"/>
      <w:marRight w:val="0"/>
      <w:marTop w:val="0"/>
      <w:marBottom w:val="0"/>
      <w:divBdr>
        <w:top w:val="none" w:sz="0" w:space="0" w:color="auto"/>
        <w:left w:val="none" w:sz="0" w:space="0" w:color="auto"/>
        <w:bottom w:val="none" w:sz="0" w:space="0" w:color="auto"/>
        <w:right w:val="none" w:sz="0" w:space="0" w:color="auto"/>
      </w:divBdr>
    </w:div>
    <w:div w:id="1668366516">
      <w:bodyDiv w:val="1"/>
      <w:marLeft w:val="0"/>
      <w:marRight w:val="0"/>
      <w:marTop w:val="0"/>
      <w:marBottom w:val="0"/>
      <w:divBdr>
        <w:top w:val="none" w:sz="0" w:space="0" w:color="auto"/>
        <w:left w:val="none" w:sz="0" w:space="0" w:color="auto"/>
        <w:bottom w:val="none" w:sz="0" w:space="0" w:color="auto"/>
        <w:right w:val="none" w:sz="0" w:space="0" w:color="auto"/>
      </w:divBdr>
      <w:divsChild>
        <w:div w:id="307907865">
          <w:marLeft w:val="0"/>
          <w:marRight w:val="0"/>
          <w:marTop w:val="0"/>
          <w:marBottom w:val="0"/>
          <w:divBdr>
            <w:top w:val="none" w:sz="0" w:space="0" w:color="auto"/>
            <w:left w:val="none" w:sz="0" w:space="0" w:color="auto"/>
            <w:bottom w:val="none" w:sz="0" w:space="0" w:color="auto"/>
            <w:right w:val="none" w:sz="0" w:space="0" w:color="auto"/>
          </w:divBdr>
          <w:divsChild>
            <w:div w:id="358967437">
              <w:marLeft w:val="0"/>
              <w:marRight w:val="0"/>
              <w:marTop w:val="0"/>
              <w:marBottom w:val="0"/>
              <w:divBdr>
                <w:top w:val="none" w:sz="0" w:space="0" w:color="auto"/>
                <w:left w:val="none" w:sz="0" w:space="0" w:color="auto"/>
                <w:bottom w:val="none" w:sz="0" w:space="0" w:color="auto"/>
                <w:right w:val="none" w:sz="0" w:space="0" w:color="auto"/>
              </w:divBdr>
              <w:divsChild>
                <w:div w:id="1830365364">
                  <w:marLeft w:val="0"/>
                  <w:marRight w:val="0"/>
                  <w:marTop w:val="0"/>
                  <w:marBottom w:val="0"/>
                  <w:divBdr>
                    <w:top w:val="none" w:sz="0" w:space="0" w:color="auto"/>
                    <w:left w:val="none" w:sz="0" w:space="0" w:color="auto"/>
                    <w:bottom w:val="none" w:sz="0" w:space="0" w:color="auto"/>
                    <w:right w:val="none" w:sz="0" w:space="0" w:color="auto"/>
                  </w:divBdr>
                  <w:divsChild>
                    <w:div w:id="441731297">
                      <w:marLeft w:val="0"/>
                      <w:marRight w:val="0"/>
                      <w:marTop w:val="0"/>
                      <w:marBottom w:val="0"/>
                      <w:divBdr>
                        <w:top w:val="none" w:sz="0" w:space="0" w:color="auto"/>
                        <w:left w:val="none" w:sz="0" w:space="0" w:color="auto"/>
                        <w:bottom w:val="none" w:sz="0" w:space="0" w:color="auto"/>
                        <w:right w:val="none" w:sz="0" w:space="0" w:color="auto"/>
                      </w:divBdr>
                      <w:divsChild>
                        <w:div w:id="147015872">
                          <w:marLeft w:val="0"/>
                          <w:marRight w:val="0"/>
                          <w:marTop w:val="0"/>
                          <w:marBottom w:val="0"/>
                          <w:divBdr>
                            <w:top w:val="none" w:sz="0" w:space="0" w:color="auto"/>
                            <w:left w:val="none" w:sz="0" w:space="0" w:color="auto"/>
                            <w:bottom w:val="none" w:sz="0" w:space="0" w:color="auto"/>
                            <w:right w:val="none" w:sz="0" w:space="0" w:color="auto"/>
                          </w:divBdr>
                          <w:divsChild>
                            <w:div w:id="1019746086">
                              <w:marLeft w:val="0"/>
                              <w:marRight w:val="0"/>
                              <w:marTop w:val="0"/>
                              <w:marBottom w:val="0"/>
                              <w:divBdr>
                                <w:top w:val="none" w:sz="0" w:space="0" w:color="auto"/>
                                <w:left w:val="none" w:sz="0" w:space="0" w:color="auto"/>
                                <w:bottom w:val="none" w:sz="0" w:space="0" w:color="auto"/>
                                <w:right w:val="none" w:sz="0" w:space="0" w:color="auto"/>
                              </w:divBdr>
                              <w:divsChild>
                                <w:div w:id="12242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26D14-4185-4574-988B-531475BB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6</TotalTime>
  <Pages>5</Pages>
  <Words>1327</Words>
  <Characters>7299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Jean-Pierre Bonin</cp:lastModifiedBy>
  <cp:revision>3</cp:revision>
  <cp:lastPrinted>2013-07-18T08:59:00Z</cp:lastPrinted>
  <dcterms:created xsi:type="dcterms:W3CDTF">2013-08-21T15:15:00Z</dcterms:created>
  <dcterms:modified xsi:type="dcterms:W3CDTF">2013-08-21T17:54:00Z</dcterms:modified>
</cp:coreProperties>
</file>