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B7B" w:rsidRPr="0049416B" w:rsidRDefault="00352B7B" w:rsidP="00352B7B">
      <w:pPr>
        <w:pStyle w:val="ET"/>
      </w:pPr>
      <w:r w:rsidRPr="0049416B">
        <w:t>COUR DES COMPTES</w:t>
      </w:r>
    </w:p>
    <w:p w:rsidR="00352B7B" w:rsidRPr="0049416B" w:rsidRDefault="00352B7B" w:rsidP="00352B7B">
      <w:pPr>
        <w:pStyle w:val="ET"/>
      </w:pPr>
      <w:r w:rsidRPr="0049416B">
        <w:tab/>
        <w:t>----------</w:t>
      </w:r>
    </w:p>
    <w:p w:rsidR="00352B7B" w:rsidRPr="0049416B" w:rsidRDefault="00352B7B" w:rsidP="00352B7B">
      <w:pPr>
        <w:pStyle w:val="ET"/>
      </w:pPr>
      <w:r w:rsidRPr="0049416B">
        <w:t>QUATRIEME CHAMBRE</w:t>
      </w:r>
    </w:p>
    <w:p w:rsidR="00352B7B" w:rsidRPr="0049416B" w:rsidRDefault="00352B7B" w:rsidP="00352B7B">
      <w:pPr>
        <w:pStyle w:val="ET"/>
      </w:pPr>
      <w:r w:rsidRPr="0049416B">
        <w:tab/>
        <w:t>----------</w:t>
      </w:r>
    </w:p>
    <w:p w:rsidR="00352B7B" w:rsidRPr="0049416B" w:rsidRDefault="00352B7B" w:rsidP="00352B7B">
      <w:pPr>
        <w:pStyle w:val="ET"/>
      </w:pPr>
      <w:r w:rsidRPr="0049416B">
        <w:t>PREMIERE SECTION</w:t>
      </w:r>
    </w:p>
    <w:p w:rsidR="00352B7B" w:rsidRDefault="00352B7B" w:rsidP="00352B7B">
      <w:pPr>
        <w:pStyle w:val="ET"/>
      </w:pPr>
      <w:r w:rsidRPr="0049416B">
        <w:tab/>
        <w:t>----------</w:t>
      </w:r>
    </w:p>
    <w:p w:rsidR="00F95BE9" w:rsidRPr="0049416B" w:rsidRDefault="00F95BE9" w:rsidP="00352B7B">
      <w:pPr>
        <w:pStyle w:val="ET"/>
      </w:pPr>
    </w:p>
    <w:p w:rsidR="00352B7B" w:rsidRPr="006F1F1B" w:rsidRDefault="00165ECA" w:rsidP="00165ECA">
      <w:pPr>
        <w:pStyle w:val="Observation"/>
        <w:ind w:left="0"/>
        <w:rPr>
          <w:i/>
        </w:rPr>
      </w:pPr>
      <w:r>
        <w:t xml:space="preserve">     </w:t>
      </w:r>
      <w:r w:rsidRPr="006F1F1B">
        <w:rPr>
          <w:i/>
        </w:rPr>
        <w:t>Arrêt n° 67725</w:t>
      </w:r>
    </w:p>
    <w:p w:rsidR="00352B7B" w:rsidRPr="0049416B" w:rsidRDefault="00D16C5B" w:rsidP="00E76DDA">
      <w:pPr>
        <w:pStyle w:val="OR"/>
        <w:tabs>
          <w:tab w:val="left" w:pos="5387"/>
        </w:tabs>
        <w:ind w:left="4536"/>
      </w:pPr>
      <w:r w:rsidRPr="0049416B">
        <w:t>GESTION DE FAIT</w:t>
      </w:r>
      <w:r>
        <w:t xml:space="preserve"> </w:t>
      </w:r>
      <w:r w:rsidR="00D10362">
        <w:t>DES DENIERS DU</w:t>
      </w:r>
      <w:r>
        <w:t xml:space="preserve"> </w:t>
      </w:r>
      <w:r w:rsidR="00165ECA">
        <w:t>CENTRE HOSPITALIER DE</w:t>
      </w:r>
      <w:r w:rsidR="00352B7B" w:rsidRPr="0049416B">
        <w:t xml:space="preserve"> CHAMPAGNOLE (</w:t>
      </w:r>
      <w:r w:rsidR="00E758DE">
        <w:t>JURA</w:t>
      </w:r>
      <w:r w:rsidR="00352B7B" w:rsidRPr="0049416B">
        <w:t>)</w:t>
      </w:r>
    </w:p>
    <w:p w:rsidR="0049416B" w:rsidRPr="0049416B" w:rsidRDefault="0049416B" w:rsidP="00E76DDA">
      <w:pPr>
        <w:pStyle w:val="OR"/>
        <w:tabs>
          <w:tab w:val="left" w:pos="5387"/>
        </w:tabs>
        <w:ind w:left="4536"/>
      </w:pPr>
    </w:p>
    <w:p w:rsidR="00352B7B" w:rsidRPr="0049416B" w:rsidRDefault="00352B7B" w:rsidP="00E76DDA">
      <w:pPr>
        <w:pStyle w:val="OR"/>
        <w:tabs>
          <w:tab w:val="left" w:pos="5387"/>
        </w:tabs>
        <w:ind w:left="4536"/>
      </w:pPr>
    </w:p>
    <w:p w:rsidR="00352B7B" w:rsidRPr="0049416B" w:rsidRDefault="00352B7B" w:rsidP="00E76DDA">
      <w:pPr>
        <w:pStyle w:val="OR"/>
        <w:tabs>
          <w:tab w:val="left" w:pos="5387"/>
        </w:tabs>
        <w:ind w:left="4536"/>
      </w:pPr>
      <w:r w:rsidRPr="0049416B">
        <w:t>Appel d’un jugement de la chambre régionale des comptes de Franche-Comté</w:t>
      </w:r>
    </w:p>
    <w:p w:rsidR="00352B7B" w:rsidRPr="0049416B" w:rsidRDefault="00352B7B" w:rsidP="00E76DDA">
      <w:pPr>
        <w:pStyle w:val="OR"/>
        <w:tabs>
          <w:tab w:val="left" w:pos="5387"/>
        </w:tabs>
        <w:ind w:left="4536"/>
      </w:pPr>
    </w:p>
    <w:p w:rsidR="00352B7B" w:rsidRPr="0049416B" w:rsidRDefault="007B469D" w:rsidP="00E76DDA">
      <w:pPr>
        <w:pStyle w:val="OR"/>
        <w:tabs>
          <w:tab w:val="left" w:pos="5387"/>
        </w:tabs>
        <w:ind w:left="4536"/>
      </w:pPr>
      <w:r>
        <w:t>Rapport n°  2012</w:t>
      </w:r>
      <w:r w:rsidR="00B32BD4">
        <w:t>-</w:t>
      </w:r>
      <w:r>
        <w:t>610</w:t>
      </w:r>
      <w:r w:rsidR="00352B7B" w:rsidRPr="0049416B">
        <w:t>-0</w:t>
      </w:r>
    </w:p>
    <w:p w:rsidR="00352B7B" w:rsidRPr="0049416B" w:rsidRDefault="00352B7B" w:rsidP="00E76DDA">
      <w:pPr>
        <w:pStyle w:val="OR"/>
        <w:tabs>
          <w:tab w:val="left" w:pos="5387"/>
        </w:tabs>
        <w:ind w:left="4536"/>
      </w:pPr>
    </w:p>
    <w:p w:rsidR="00352B7B" w:rsidRDefault="007B469D" w:rsidP="00E76DDA">
      <w:pPr>
        <w:tabs>
          <w:tab w:val="left" w:pos="5387"/>
        </w:tabs>
        <w:ind w:left="4536"/>
        <w:rPr>
          <w:rFonts w:ascii="Times New Roman" w:hAnsi="Times New Roman"/>
          <w:sz w:val="24"/>
          <w:szCs w:val="24"/>
        </w:rPr>
      </w:pPr>
      <w:r>
        <w:rPr>
          <w:rFonts w:ascii="Times New Roman" w:hAnsi="Times New Roman"/>
          <w:sz w:val="24"/>
          <w:szCs w:val="24"/>
        </w:rPr>
        <w:t>Audience publique du 11 juillet</w:t>
      </w:r>
      <w:r w:rsidR="00352B7B" w:rsidRPr="0049416B">
        <w:rPr>
          <w:rFonts w:ascii="Times New Roman" w:hAnsi="Times New Roman"/>
          <w:sz w:val="24"/>
          <w:szCs w:val="24"/>
        </w:rPr>
        <w:t xml:space="preserve"> 201</w:t>
      </w:r>
      <w:r w:rsidR="00165ECA">
        <w:rPr>
          <w:rFonts w:ascii="Times New Roman" w:hAnsi="Times New Roman"/>
          <w:sz w:val="24"/>
          <w:szCs w:val="24"/>
        </w:rPr>
        <w:t>3</w:t>
      </w:r>
    </w:p>
    <w:p w:rsidR="00165ECA" w:rsidRPr="0049416B" w:rsidRDefault="00165ECA" w:rsidP="00E76DDA">
      <w:pPr>
        <w:tabs>
          <w:tab w:val="left" w:pos="5387"/>
        </w:tabs>
        <w:ind w:left="4536"/>
        <w:rPr>
          <w:rFonts w:ascii="Times New Roman" w:hAnsi="Times New Roman"/>
          <w:sz w:val="24"/>
          <w:szCs w:val="24"/>
        </w:rPr>
      </w:pPr>
      <w:r>
        <w:rPr>
          <w:rFonts w:ascii="Times New Roman" w:hAnsi="Times New Roman"/>
          <w:sz w:val="24"/>
          <w:szCs w:val="24"/>
        </w:rPr>
        <w:t>Délibéré du 15 juillet 2013</w:t>
      </w:r>
    </w:p>
    <w:p w:rsidR="00352B7B" w:rsidRDefault="007B469D" w:rsidP="00E76DDA">
      <w:pPr>
        <w:pStyle w:val="OR"/>
        <w:tabs>
          <w:tab w:val="left" w:pos="5387"/>
        </w:tabs>
        <w:ind w:left="4536"/>
      </w:pPr>
      <w:r>
        <w:t xml:space="preserve">Lecture </w:t>
      </w:r>
      <w:r w:rsidR="00AE415D">
        <w:t xml:space="preserve">publique </w:t>
      </w:r>
      <w:r>
        <w:t xml:space="preserve">du 12 septembre </w:t>
      </w:r>
      <w:r w:rsidR="00352B7B" w:rsidRPr="0049416B">
        <w:t>201</w:t>
      </w:r>
      <w:r w:rsidR="00165ECA">
        <w:t>3</w:t>
      </w:r>
    </w:p>
    <w:p w:rsidR="00876BD3" w:rsidRDefault="00876BD3" w:rsidP="00E76DDA">
      <w:pPr>
        <w:pStyle w:val="OR"/>
        <w:tabs>
          <w:tab w:val="left" w:pos="5387"/>
        </w:tabs>
        <w:ind w:left="4536"/>
      </w:pPr>
    </w:p>
    <w:p w:rsidR="00876BD3" w:rsidRPr="0049416B" w:rsidRDefault="00876BD3" w:rsidP="00E76DDA">
      <w:pPr>
        <w:pStyle w:val="OR"/>
        <w:tabs>
          <w:tab w:val="left" w:pos="5387"/>
        </w:tabs>
        <w:ind w:left="4536"/>
      </w:pPr>
    </w:p>
    <w:p w:rsidR="00876BD3" w:rsidRPr="00690D05" w:rsidRDefault="00876BD3" w:rsidP="00876BD3">
      <w:pPr>
        <w:pStyle w:val="P0"/>
        <w:ind w:left="0" w:right="-284" w:firstLine="595"/>
        <w:jc w:val="center"/>
      </w:pPr>
    </w:p>
    <w:p w:rsidR="00876BD3" w:rsidRDefault="00876BD3" w:rsidP="00876BD3">
      <w:pPr>
        <w:pStyle w:val="P0"/>
        <w:ind w:left="0" w:right="-284" w:firstLine="595"/>
        <w:jc w:val="center"/>
      </w:pPr>
      <w:r w:rsidRPr="00690D05">
        <w:t>LA COUR DES COMPTES a rendu l’arrêt suivant :</w:t>
      </w:r>
    </w:p>
    <w:p w:rsidR="00876BD3" w:rsidRPr="00690D05" w:rsidRDefault="00876BD3" w:rsidP="00876BD3">
      <w:pPr>
        <w:pStyle w:val="P0"/>
        <w:ind w:left="0" w:right="-284" w:firstLine="595"/>
        <w:jc w:val="center"/>
      </w:pPr>
    </w:p>
    <w:p w:rsidR="00352B7B" w:rsidRPr="0049416B" w:rsidRDefault="00352B7B" w:rsidP="00876BD3">
      <w:pPr>
        <w:pStyle w:val="PS"/>
        <w:ind w:firstLine="567"/>
      </w:pPr>
      <w:r w:rsidRPr="0049416B">
        <w:t>LA COUR,</w:t>
      </w:r>
    </w:p>
    <w:p w:rsidR="00817356" w:rsidRDefault="00352B7B" w:rsidP="00FC7B2E">
      <w:pPr>
        <w:pStyle w:val="PS"/>
        <w:spacing w:after="360"/>
        <w:ind w:left="1134"/>
      </w:pPr>
      <w:r w:rsidRPr="0049416B">
        <w:t>Vu la requête, enregistrée au greffe de la chambre régionale des comptes d</w:t>
      </w:r>
      <w:r w:rsidR="00BF43F5" w:rsidRPr="0049416B">
        <w:t>e Franche-Comté le 6 septembre 2011</w:t>
      </w:r>
      <w:r w:rsidRPr="0049416B">
        <w:t>, par laquelle</w:t>
      </w:r>
      <w:r w:rsidR="00FC7B2E">
        <w:t xml:space="preserve"> </w:t>
      </w:r>
      <w:r w:rsidR="00CA607E">
        <w:t>M. X</w:t>
      </w:r>
      <w:r w:rsidRPr="0049416B">
        <w:t xml:space="preserve">, ancien </w:t>
      </w:r>
      <w:r w:rsidR="00BF43F5" w:rsidRPr="0049416B">
        <w:t xml:space="preserve">directeur du </w:t>
      </w:r>
      <w:r w:rsidR="0049416B" w:rsidRPr="00D16C5B">
        <w:rPr>
          <w:caps/>
        </w:rPr>
        <w:t>c</w:t>
      </w:r>
      <w:r w:rsidR="00BF43F5" w:rsidRPr="00D16C5B">
        <w:rPr>
          <w:caps/>
        </w:rPr>
        <w:t>entre hospitalier de Champagnole</w:t>
      </w:r>
      <w:r w:rsidRPr="0049416B">
        <w:t xml:space="preserve">, </w:t>
      </w:r>
      <w:r w:rsidR="00BF43F5" w:rsidRPr="0049416B">
        <w:t xml:space="preserve">a élevé appel </w:t>
      </w:r>
      <w:r w:rsidRPr="0049416B">
        <w:t>du jugement</w:t>
      </w:r>
      <w:r w:rsidR="00D16C5B">
        <w:t xml:space="preserve"> </w:t>
      </w:r>
      <w:r w:rsidRPr="0049416B">
        <w:t>n° 201</w:t>
      </w:r>
      <w:r w:rsidR="00BF43F5" w:rsidRPr="0049416B">
        <w:t>1</w:t>
      </w:r>
      <w:r w:rsidRPr="0049416B">
        <w:t>-00</w:t>
      </w:r>
      <w:r w:rsidR="00BF43F5" w:rsidRPr="0049416B">
        <w:t xml:space="preserve">06 </w:t>
      </w:r>
      <w:r w:rsidR="00492FF8">
        <w:t xml:space="preserve">du 5 juillet 2011 </w:t>
      </w:r>
      <w:r w:rsidRPr="0049416B">
        <w:t xml:space="preserve">par lequel ladite chambre régionale l’a </w:t>
      </w:r>
      <w:r w:rsidR="00BF43F5" w:rsidRPr="0049416B">
        <w:t xml:space="preserve">déclaré gestionnaire de fait des deniers dudit centre hospitalier, conjointement </w:t>
      </w:r>
      <w:r w:rsidR="00AE415D">
        <w:t xml:space="preserve">et solidairement </w:t>
      </w:r>
      <w:r w:rsidR="00BF43F5" w:rsidRPr="0049416B">
        <w:t xml:space="preserve">avec </w:t>
      </w:r>
      <w:r w:rsidR="00CA607E">
        <w:t>Mme Y</w:t>
      </w:r>
      <w:r w:rsidR="00BF43F5" w:rsidRPr="0049416B">
        <w:t>, ancienne responsable des ressources humaines ;</w:t>
      </w:r>
    </w:p>
    <w:p w:rsidR="00817356" w:rsidRDefault="00FF7322" w:rsidP="00FC7B2E">
      <w:pPr>
        <w:pStyle w:val="PS"/>
        <w:spacing w:after="360"/>
        <w:ind w:left="1134"/>
      </w:pPr>
      <w:r w:rsidRPr="0049416B">
        <w:t>Vu le réquisitoire n°</w:t>
      </w:r>
      <w:r w:rsidR="00817356">
        <w:t xml:space="preserve"> </w:t>
      </w:r>
      <w:r w:rsidRPr="0049416B">
        <w:t xml:space="preserve">2010/15 du </w:t>
      </w:r>
      <w:r w:rsidR="00D24793">
        <w:t>7</w:t>
      </w:r>
      <w:r w:rsidRPr="0049416B">
        <w:t xml:space="preserve"> juin 2010 </w:t>
      </w:r>
      <w:r w:rsidR="00817356">
        <w:t>par lequel le</w:t>
      </w:r>
      <w:r w:rsidRPr="0049416B">
        <w:t xml:space="preserve"> procureur financier près la chambre régionale</w:t>
      </w:r>
      <w:r w:rsidR="003C24DC">
        <w:t xml:space="preserve"> </w:t>
      </w:r>
      <w:r w:rsidR="00817356" w:rsidRPr="0049416B">
        <w:t xml:space="preserve">des comptes de Franche-Comté </w:t>
      </w:r>
      <w:r w:rsidR="00817356">
        <w:t xml:space="preserve">a </w:t>
      </w:r>
      <w:r w:rsidRPr="0049416B">
        <w:t>saisi ladite chambre d’éléments p</w:t>
      </w:r>
      <w:r w:rsidR="00817356">
        <w:t>résomptifs de gestion de fait ;</w:t>
      </w:r>
    </w:p>
    <w:p w:rsidR="00817356" w:rsidRDefault="00352B7B" w:rsidP="00FC7B2E">
      <w:pPr>
        <w:pStyle w:val="PS"/>
        <w:spacing w:after="360"/>
        <w:ind w:left="1134"/>
      </w:pPr>
      <w:r w:rsidRPr="0049416B">
        <w:t>V</w:t>
      </w:r>
      <w:r w:rsidR="00817356">
        <w:t>u les observations du</w:t>
      </w:r>
      <w:r w:rsidRPr="0049416B">
        <w:t xml:space="preserve"> procureur financier en date du </w:t>
      </w:r>
      <w:r w:rsidR="00BF43F5" w:rsidRPr="0049416B">
        <w:t xml:space="preserve">7 octobre </w:t>
      </w:r>
      <w:r w:rsidRPr="0049416B">
        <w:t>201</w:t>
      </w:r>
      <w:r w:rsidR="00817356">
        <w:t>1 ;</w:t>
      </w:r>
    </w:p>
    <w:p w:rsidR="00817356" w:rsidRDefault="00BF43F5" w:rsidP="00FC7B2E">
      <w:pPr>
        <w:pStyle w:val="PS"/>
        <w:spacing w:after="360"/>
        <w:ind w:left="1134"/>
      </w:pPr>
      <w:r w:rsidRPr="0049416B">
        <w:t>Vu le mémoire en</w:t>
      </w:r>
      <w:r w:rsidR="00CC2B07">
        <w:t xml:space="preserve"> réplique du 14 novembre 2011,</w:t>
      </w:r>
      <w:r w:rsidRPr="0049416B">
        <w:t xml:space="preserve"> la lettre du</w:t>
      </w:r>
      <w:r w:rsidR="00FC7B2E">
        <w:t xml:space="preserve"> </w:t>
      </w:r>
      <w:r w:rsidRPr="0049416B">
        <w:t xml:space="preserve">2 décembre 2011 </w:t>
      </w:r>
      <w:r w:rsidR="00CC2B07">
        <w:t>et le mémoire complémentaire</w:t>
      </w:r>
      <w:r w:rsidRPr="0049416B">
        <w:t xml:space="preserve"> </w:t>
      </w:r>
      <w:r w:rsidR="00CC2B07">
        <w:t xml:space="preserve">du 11 mars 2013 </w:t>
      </w:r>
      <w:r w:rsidRPr="0049416B">
        <w:t xml:space="preserve">produits par </w:t>
      </w:r>
      <w:r w:rsidR="00CA607E">
        <w:t>M. X</w:t>
      </w:r>
      <w:r w:rsidR="00817356">
        <w:t>, ensemble</w:t>
      </w:r>
      <w:r w:rsidRPr="0049416B">
        <w:t xml:space="preserve"> les pièces </w:t>
      </w:r>
      <w:r w:rsidR="00817356">
        <w:t>annexées ;</w:t>
      </w:r>
    </w:p>
    <w:p w:rsidR="00D16C5B" w:rsidRDefault="00817356" w:rsidP="00203FBF">
      <w:pPr>
        <w:pStyle w:val="PS"/>
        <w:spacing w:after="360"/>
        <w:ind w:left="1247"/>
      </w:pPr>
      <w:r>
        <w:t>Vu le réquisitoire du P</w:t>
      </w:r>
      <w:r w:rsidR="00352B7B" w:rsidRPr="0049416B">
        <w:t xml:space="preserve">rocureur général </w:t>
      </w:r>
      <w:r w:rsidR="00203FBF">
        <w:t xml:space="preserve">près la Cour des </w:t>
      </w:r>
      <w:r>
        <w:t>comptes</w:t>
      </w:r>
      <w:r w:rsidR="00203FBF">
        <w:t xml:space="preserve"> </w:t>
      </w:r>
      <w:r w:rsidR="001F5625">
        <w:t>n°</w:t>
      </w:r>
      <w:r w:rsidR="00203FBF">
        <w:t> </w:t>
      </w:r>
      <w:r w:rsidR="00D16C5B">
        <w:t>2012</w:t>
      </w:r>
      <w:r w:rsidR="00203FBF">
        <w:t>-</w:t>
      </w:r>
      <w:r w:rsidR="00D16C5B">
        <w:t xml:space="preserve">1 </w:t>
      </w:r>
      <w:r w:rsidR="00352B7B" w:rsidRPr="0049416B">
        <w:t xml:space="preserve">du </w:t>
      </w:r>
      <w:r w:rsidR="00BF43F5" w:rsidRPr="0049416B">
        <w:t xml:space="preserve">4 </w:t>
      </w:r>
      <w:r w:rsidR="00352B7B" w:rsidRPr="0049416B">
        <w:t>janvier 201</w:t>
      </w:r>
      <w:r w:rsidR="00BF43F5" w:rsidRPr="0049416B">
        <w:t>2</w:t>
      </w:r>
      <w:r w:rsidR="00352B7B" w:rsidRPr="0049416B">
        <w:t xml:space="preserve"> transmettant </w:t>
      </w:r>
      <w:r>
        <w:t>à la Cour la requête en appel précitée ;</w:t>
      </w:r>
    </w:p>
    <w:p w:rsidR="00817356" w:rsidRDefault="00352B7B" w:rsidP="00FC7B2E">
      <w:pPr>
        <w:pStyle w:val="PS"/>
        <w:spacing w:after="360"/>
        <w:ind w:left="1134"/>
      </w:pPr>
      <w:r w:rsidRPr="0049416B">
        <w:lastRenderedPageBreak/>
        <w:t>Vu les pièces de la p</w:t>
      </w:r>
      <w:r w:rsidR="00817356">
        <w:t>rocédure de première instance ;</w:t>
      </w:r>
    </w:p>
    <w:p w:rsidR="00817356" w:rsidRDefault="00352B7B" w:rsidP="00FC7B2E">
      <w:pPr>
        <w:pStyle w:val="PS"/>
        <w:spacing w:after="360"/>
        <w:ind w:left="1134"/>
      </w:pPr>
      <w:r w:rsidRPr="0049416B">
        <w:t>Vu le code</w:t>
      </w:r>
      <w:r w:rsidR="00817356">
        <w:t xml:space="preserve"> des juridictions financières ;</w:t>
      </w:r>
    </w:p>
    <w:p w:rsidR="00817356" w:rsidRDefault="00352B7B" w:rsidP="00FC7B2E">
      <w:pPr>
        <w:pStyle w:val="PS"/>
        <w:spacing w:after="360"/>
        <w:ind w:left="1134"/>
      </w:pPr>
      <w:r w:rsidRPr="0049416B">
        <w:t>Vu l’article 60 modifié de la loi de finances</w:t>
      </w:r>
      <w:r w:rsidR="00817356">
        <w:t xml:space="preserve"> n° 63-156 du 23 février 1963</w:t>
      </w:r>
      <w:r w:rsidR="003C24DC">
        <w:t> </w:t>
      </w:r>
      <w:r w:rsidR="00817356">
        <w:t>;</w:t>
      </w:r>
    </w:p>
    <w:p w:rsidR="00817356" w:rsidRDefault="00352B7B" w:rsidP="00FC7B2E">
      <w:pPr>
        <w:pStyle w:val="PS"/>
        <w:spacing w:after="360"/>
        <w:ind w:left="1134"/>
      </w:pPr>
      <w:r w:rsidRPr="0049416B">
        <w:t>Vu le décret n° 62-1587 du 29 décembre 1962 portant règlement général sur la comptabilité publique</w:t>
      </w:r>
      <w:r w:rsidR="00817356">
        <w:t>, en vigueur au moment des faits ;</w:t>
      </w:r>
    </w:p>
    <w:p w:rsidR="00817356" w:rsidRDefault="00352B7B" w:rsidP="00FC7B2E">
      <w:pPr>
        <w:pStyle w:val="PS"/>
        <w:spacing w:after="360"/>
        <w:ind w:left="1134"/>
      </w:pPr>
      <w:r w:rsidRPr="0049416B">
        <w:t xml:space="preserve">Vu le rapport de M. </w:t>
      </w:r>
      <w:r w:rsidR="00BF43F5" w:rsidRPr="0049416B">
        <w:t>Philippe Geoffroy</w:t>
      </w:r>
      <w:r w:rsidRPr="0049416B">
        <w:t>, conseiller maître ;</w:t>
      </w:r>
    </w:p>
    <w:p w:rsidR="00817356" w:rsidRDefault="00352B7B" w:rsidP="00FC7B2E">
      <w:pPr>
        <w:pStyle w:val="PS"/>
        <w:spacing w:after="360"/>
        <w:ind w:left="1134"/>
      </w:pPr>
      <w:r w:rsidRPr="0049416B">
        <w:t xml:space="preserve">Vu les conclusions </w:t>
      </w:r>
      <w:r w:rsidR="00817356">
        <w:t>du P</w:t>
      </w:r>
      <w:r w:rsidRPr="0049416B">
        <w:t xml:space="preserve">rocureur général </w:t>
      </w:r>
      <w:r w:rsidR="00817356">
        <w:t xml:space="preserve">près la Cour des comptes </w:t>
      </w:r>
      <w:r w:rsidR="00817356" w:rsidRPr="0049416B">
        <w:t xml:space="preserve">n° </w:t>
      </w:r>
      <w:r w:rsidR="00817356">
        <w:t xml:space="preserve">721 </w:t>
      </w:r>
      <w:r w:rsidR="00817356" w:rsidRPr="0049416B">
        <w:t xml:space="preserve">du </w:t>
      </w:r>
      <w:r w:rsidR="00817356">
        <w:t>17 octobre</w:t>
      </w:r>
      <w:r w:rsidR="00817356" w:rsidRPr="0049416B">
        <w:t xml:space="preserve"> 2012</w:t>
      </w:r>
      <w:r w:rsidR="00817356">
        <w:t xml:space="preserve"> et n° 28 du 16 janvier 2013 ;</w:t>
      </w:r>
    </w:p>
    <w:p w:rsidR="00817356" w:rsidRDefault="00352B7B" w:rsidP="00FC7B2E">
      <w:pPr>
        <w:pStyle w:val="PS"/>
        <w:spacing w:after="360"/>
        <w:ind w:left="1134"/>
      </w:pPr>
      <w:r w:rsidRPr="0049416B">
        <w:t>Après avoir entendu, lors de l’audience publique de ce jour, M.</w:t>
      </w:r>
      <w:r w:rsidR="00165ECA">
        <w:t xml:space="preserve"> </w:t>
      </w:r>
      <w:r w:rsidR="00BF43F5" w:rsidRPr="0049416B">
        <w:t>Geoffroy</w:t>
      </w:r>
      <w:r w:rsidRPr="0049416B">
        <w:t>, r</w:t>
      </w:r>
      <w:r w:rsidR="007230C2">
        <w:t xml:space="preserve">apporteur, en son rapport, M. </w:t>
      </w:r>
      <w:r w:rsidR="00165ECA">
        <w:t xml:space="preserve">Christian </w:t>
      </w:r>
      <w:r w:rsidR="007230C2">
        <w:t>Michaut</w:t>
      </w:r>
      <w:r w:rsidR="00817356">
        <w:t>,</w:t>
      </w:r>
      <w:r w:rsidR="00BF43F5" w:rsidRPr="0049416B">
        <w:t xml:space="preserve"> </w:t>
      </w:r>
      <w:r w:rsidRPr="0049416B">
        <w:t xml:space="preserve">avocat général, en les conclusions du </w:t>
      </w:r>
      <w:r w:rsidR="00817356">
        <w:t>ministère public</w:t>
      </w:r>
      <w:r w:rsidRPr="0049416B">
        <w:t xml:space="preserve">, </w:t>
      </w:r>
      <w:r w:rsidR="00CB064B">
        <w:t xml:space="preserve">les ayant-droits de </w:t>
      </w:r>
      <w:r w:rsidRPr="0049416B">
        <w:t>l’appelant,</w:t>
      </w:r>
      <w:r w:rsidR="00CB064B">
        <w:t xml:space="preserve"> décédé, </w:t>
      </w:r>
      <w:r w:rsidRPr="0049416B">
        <w:t>informé</w:t>
      </w:r>
      <w:r w:rsidR="00CB064B">
        <w:t>s</w:t>
      </w:r>
      <w:r w:rsidRPr="0049416B">
        <w:t xml:space="preserve"> de la tenue de l’audience, </w:t>
      </w:r>
      <w:r w:rsidR="00CB064B">
        <w:t>étant représentés et leur conseil ayant eu la parole en dernier</w:t>
      </w:r>
      <w:r w:rsidR="003C24DC">
        <w:t> </w:t>
      </w:r>
      <w:r w:rsidRPr="0049416B">
        <w:t>;</w:t>
      </w:r>
    </w:p>
    <w:p w:rsidR="00352B7B" w:rsidRDefault="00352B7B" w:rsidP="00FC7B2E">
      <w:pPr>
        <w:pStyle w:val="PS"/>
        <w:spacing w:after="360"/>
        <w:ind w:left="1134"/>
      </w:pPr>
      <w:r w:rsidRPr="0049416B">
        <w:t>Après avoir entendu, hors la présence du public, du rap</w:t>
      </w:r>
      <w:r w:rsidR="00032010">
        <w:t xml:space="preserve">porteur et du ministère public, M. </w:t>
      </w:r>
      <w:r w:rsidR="00817356">
        <w:t xml:space="preserve">Jean-Pierre </w:t>
      </w:r>
      <w:r w:rsidR="00032010">
        <w:t>Lafaure</w:t>
      </w:r>
      <w:r w:rsidRPr="0049416B">
        <w:t>, conseill</w:t>
      </w:r>
      <w:r w:rsidR="00BF43F5" w:rsidRPr="0049416B">
        <w:t>er</w:t>
      </w:r>
      <w:r w:rsidRPr="0049416B">
        <w:t xml:space="preserve"> maître, en ses observations ; </w:t>
      </w:r>
    </w:p>
    <w:p w:rsidR="00311471" w:rsidRPr="00311471" w:rsidRDefault="00311471" w:rsidP="00A97CA4">
      <w:pPr>
        <w:pStyle w:val="Corpsdetexte"/>
        <w:spacing w:before="600" w:after="360"/>
        <w:ind w:left="1134" w:firstLine="1134"/>
        <w:rPr>
          <w:b/>
        </w:rPr>
      </w:pPr>
      <w:r w:rsidRPr="00311471">
        <w:rPr>
          <w:b/>
        </w:rPr>
        <w:t>Sur les moyens d’annulation</w:t>
      </w:r>
    </w:p>
    <w:p w:rsidR="00D5123D" w:rsidRPr="0049416B" w:rsidRDefault="00D5123D" w:rsidP="00A97CA4">
      <w:pPr>
        <w:pStyle w:val="Corpsdetexte"/>
        <w:spacing w:after="360"/>
        <w:ind w:left="1134" w:firstLine="1134"/>
        <w:rPr>
          <w:i/>
        </w:rPr>
      </w:pPr>
      <w:r w:rsidRPr="0049416B">
        <w:rPr>
          <w:i/>
        </w:rPr>
        <w:t xml:space="preserve">Sur la forme du </w:t>
      </w:r>
      <w:r w:rsidR="0049416B">
        <w:rPr>
          <w:i/>
        </w:rPr>
        <w:t>docu</w:t>
      </w:r>
      <w:r w:rsidRPr="0049416B">
        <w:rPr>
          <w:i/>
        </w:rPr>
        <w:t>ment notifié :</w:t>
      </w:r>
    </w:p>
    <w:p w:rsidR="00817356" w:rsidRDefault="00E03890" w:rsidP="00A97CA4">
      <w:pPr>
        <w:pStyle w:val="Corpsdetexte"/>
        <w:spacing w:after="360"/>
        <w:ind w:left="1134" w:firstLine="1134"/>
      </w:pPr>
      <w:r>
        <w:t xml:space="preserve">Attendu que </w:t>
      </w:r>
      <w:r w:rsidR="00CA607E">
        <w:t>M. X</w:t>
      </w:r>
      <w:r>
        <w:t xml:space="preserve"> fait valoir que </w:t>
      </w:r>
      <w:r w:rsidR="00DA6CE2">
        <w:t xml:space="preserve">la copie certifiée conforme du </w:t>
      </w:r>
      <w:r>
        <w:t xml:space="preserve">jugement qui lui a été </w:t>
      </w:r>
      <w:r w:rsidR="00DA6CE2">
        <w:t>adressée pour notification ne comporte pas les signatures du président et du greffier ;</w:t>
      </w:r>
      <w:r w:rsidR="00576101">
        <w:t xml:space="preserve"> que dès lors, soit l’original ne comporterait pas les signatures, soit la copie ne serait pas conforme ; </w:t>
      </w:r>
      <w:r w:rsidR="00DA6CE2">
        <w:t xml:space="preserve">que le jugement manquerait </w:t>
      </w:r>
      <w:r w:rsidR="00576101">
        <w:t xml:space="preserve">ainsi </w:t>
      </w:r>
      <w:r>
        <w:t>aux formes prescrites par l’art</w:t>
      </w:r>
      <w:r w:rsidR="00DA6CE2">
        <w:t>icle</w:t>
      </w:r>
      <w:r>
        <w:t xml:space="preserve"> R. 241-41 du code des juridictions financières</w:t>
      </w:r>
      <w:r w:rsidR="00DA6CE2">
        <w:t xml:space="preserve"> </w:t>
      </w:r>
      <w:r>
        <w:t>;</w:t>
      </w:r>
      <w:r w:rsidR="00576101">
        <w:t xml:space="preserve"> </w:t>
      </w:r>
    </w:p>
    <w:p w:rsidR="009F6158" w:rsidRDefault="00817356" w:rsidP="00A97CA4">
      <w:pPr>
        <w:pStyle w:val="Corpsdetexte"/>
        <w:spacing w:after="360"/>
        <w:ind w:left="1134" w:firstLine="1134"/>
      </w:pPr>
      <w:r>
        <w:t>Considérant</w:t>
      </w:r>
      <w:r w:rsidR="0049416B">
        <w:t xml:space="preserve"> </w:t>
      </w:r>
      <w:r w:rsidR="00E03890">
        <w:t>qu’il résulte des dispositions combinées des articles R.</w:t>
      </w:r>
      <w:r w:rsidR="003C24DC">
        <w:t> </w:t>
      </w:r>
      <w:r w:rsidR="00E03890">
        <w:t>212</w:t>
      </w:r>
      <w:r w:rsidR="003C24DC">
        <w:noBreakHyphen/>
      </w:r>
      <w:r w:rsidR="00E03890">
        <w:t>24</w:t>
      </w:r>
      <w:r w:rsidR="00D5123D">
        <w:t>, R. 231-9</w:t>
      </w:r>
      <w:r w:rsidR="00E03890">
        <w:t xml:space="preserve"> et R. 241-41 du code des juridictions financières </w:t>
      </w:r>
      <w:r w:rsidR="00D5123D">
        <w:t xml:space="preserve">que si la minute originale du jugement doit obligatoirement porter la signature du président et du greffier, </w:t>
      </w:r>
      <w:r w:rsidR="008821E3">
        <w:t>ce</w:t>
      </w:r>
      <w:r w:rsidR="007D5C6A">
        <w:t>s</w:t>
      </w:r>
      <w:r w:rsidR="008821E3">
        <w:t xml:space="preserve"> mention</w:t>
      </w:r>
      <w:r w:rsidR="007D5C6A">
        <w:t>s</w:t>
      </w:r>
      <w:r w:rsidR="008821E3">
        <w:t xml:space="preserve"> </w:t>
      </w:r>
      <w:r w:rsidR="007D5C6A">
        <w:t xml:space="preserve">ne sont </w:t>
      </w:r>
      <w:r w:rsidR="008821E3">
        <w:t xml:space="preserve">pas </w:t>
      </w:r>
      <w:r w:rsidR="00311471">
        <w:t xml:space="preserve">réglementairement </w:t>
      </w:r>
      <w:r w:rsidR="008821E3">
        <w:t>prévue</w:t>
      </w:r>
      <w:r w:rsidR="007D5C6A">
        <w:t>s</w:t>
      </w:r>
      <w:r w:rsidR="008821E3">
        <w:t xml:space="preserve"> sur les notifications adressées sous forme de copies par le secrétaire général ;</w:t>
      </w:r>
      <w:r w:rsidR="00DA6CE2">
        <w:t xml:space="preserve"> que la certification de conformité </w:t>
      </w:r>
      <w:r w:rsidR="007D5C6A">
        <w:t xml:space="preserve">porte sur le fait que les visas, les motifs et le dispositif reproduits sont identiques à ceux </w:t>
      </w:r>
      <w:r w:rsidR="00DA6CE2">
        <w:t>du jugement</w:t>
      </w:r>
      <w:r w:rsidR="003C24DC">
        <w:t xml:space="preserve"> </w:t>
      </w:r>
      <w:r w:rsidR="007D5C6A">
        <w:t xml:space="preserve">conservé au greffe et </w:t>
      </w:r>
      <w:r w:rsidR="00576101">
        <w:t xml:space="preserve">n’impose pas </w:t>
      </w:r>
      <w:r w:rsidR="007D5C6A">
        <w:t>que soit délivrée une photocopie de la minute originale signée</w:t>
      </w:r>
      <w:r w:rsidR="003C24DC">
        <w:t> ;</w:t>
      </w:r>
    </w:p>
    <w:p w:rsidR="008E128A" w:rsidRDefault="009F6158" w:rsidP="00A97CA4">
      <w:pPr>
        <w:pStyle w:val="Corpsdetexte"/>
        <w:spacing w:after="360"/>
        <w:ind w:left="1134" w:firstLine="1134"/>
      </w:pPr>
      <w:r>
        <w:t>Q</w:t>
      </w:r>
      <w:r w:rsidR="008821E3">
        <w:t>u’ainsi l’irrégularité alléguée</w:t>
      </w:r>
      <w:r w:rsidR="00DA6CE2">
        <w:t xml:space="preserve"> à ce motif n’est pas établie ;</w:t>
      </w:r>
    </w:p>
    <w:p w:rsidR="008E128A" w:rsidRPr="0049416B" w:rsidRDefault="003C24DC" w:rsidP="00A97CA4">
      <w:pPr>
        <w:pStyle w:val="alina-western"/>
        <w:spacing w:before="480" w:beforeAutospacing="0"/>
        <w:ind w:left="1134" w:firstLine="1134"/>
        <w:jc w:val="both"/>
        <w:rPr>
          <w:i/>
        </w:rPr>
      </w:pPr>
      <w:r>
        <w:rPr>
          <w:i/>
        </w:rPr>
        <w:br w:type="page"/>
      </w:r>
      <w:r w:rsidR="00DA6CE2" w:rsidRPr="0049416B">
        <w:rPr>
          <w:i/>
        </w:rPr>
        <w:lastRenderedPageBreak/>
        <w:t xml:space="preserve">Sur le défaut de notification de </w:t>
      </w:r>
      <w:r w:rsidR="0049416B" w:rsidRPr="0049416B">
        <w:rPr>
          <w:i/>
        </w:rPr>
        <w:t xml:space="preserve">trois </w:t>
      </w:r>
      <w:r w:rsidR="00DA6CE2" w:rsidRPr="0049416B">
        <w:rPr>
          <w:i/>
        </w:rPr>
        <w:t>pièces :</w:t>
      </w:r>
    </w:p>
    <w:p w:rsidR="00817356" w:rsidRDefault="006E2508" w:rsidP="00A97CA4">
      <w:pPr>
        <w:pStyle w:val="Corpsdetexte"/>
        <w:spacing w:after="360"/>
        <w:ind w:left="1134" w:firstLine="1134"/>
      </w:pPr>
      <w:r>
        <w:t>Attendu que l’appelant fait grief à la chambre régionale de ne pas lui avoir</w:t>
      </w:r>
      <w:r w:rsidR="00352B7B">
        <w:t xml:space="preserve"> </w:t>
      </w:r>
      <w:r>
        <w:t>notifié l’existence de pièces qui lui auraient été importantes pour assurer sa défense, à savoir une réponse de l’ordonnateur en fonctions cotée n°</w:t>
      </w:r>
      <w:r w:rsidR="00817356">
        <w:t xml:space="preserve"> </w:t>
      </w:r>
      <w:r>
        <w:t>27 au dossier, une réponse du comptable public, cotée n°</w:t>
      </w:r>
      <w:r w:rsidR="00817356">
        <w:t xml:space="preserve"> </w:t>
      </w:r>
      <w:r>
        <w:t xml:space="preserve">29 bis, ainsi qu’une réponse du comptable public en date du 8 avril </w:t>
      </w:r>
      <w:r w:rsidR="003128F8">
        <w:t xml:space="preserve">2010 </w:t>
      </w:r>
      <w:r>
        <w:t>sur un courriel daté du 9 juin 2011</w:t>
      </w:r>
      <w:r w:rsidR="008B487A">
        <w:t xml:space="preserve"> </w:t>
      </w:r>
      <w:r w:rsidR="00311471">
        <w:t xml:space="preserve">et </w:t>
      </w:r>
      <w:r>
        <w:t>jointe au dossier après la clôture de l’instruction</w:t>
      </w:r>
      <w:r w:rsidR="008B487A">
        <w:t xml:space="preserve"> ; qu’il y </w:t>
      </w:r>
      <w:r>
        <w:t xml:space="preserve">aurait ainsi </w:t>
      </w:r>
      <w:r w:rsidR="00311471">
        <w:t>eu</w:t>
      </w:r>
      <w:r w:rsidR="00352B7B">
        <w:t>, en</w:t>
      </w:r>
      <w:r w:rsidR="00311471">
        <w:t xml:space="preserve"> </w:t>
      </w:r>
      <w:r w:rsidR="00277A14">
        <w:t xml:space="preserve">méconnaissance des dispositions du code des juridictions financières, </w:t>
      </w:r>
      <w:r>
        <w:t>manquement au principe du contradictoire</w:t>
      </w:r>
      <w:r w:rsidR="008B487A">
        <w:t> ;</w:t>
      </w:r>
    </w:p>
    <w:p w:rsidR="009F6158" w:rsidRDefault="00817356" w:rsidP="00A97CA4">
      <w:pPr>
        <w:pStyle w:val="Corpsdetexte"/>
        <w:spacing w:after="360"/>
        <w:ind w:left="1134" w:firstLine="1134"/>
      </w:pPr>
      <w:r>
        <w:t>Considérant</w:t>
      </w:r>
      <w:r w:rsidR="008B487A">
        <w:t xml:space="preserve"> qu’en application de l’article R. 241-35 du code </w:t>
      </w:r>
      <w:r>
        <w:t>des juridictions financières</w:t>
      </w:r>
      <w:r w:rsidRPr="00277A14">
        <w:rPr>
          <w:i/>
        </w:rPr>
        <w:t xml:space="preserve"> </w:t>
      </w:r>
      <w:r w:rsidR="008B487A" w:rsidRPr="00277A14">
        <w:rPr>
          <w:i/>
        </w:rPr>
        <w:t>« les comptables et les autres personnes mis en cause, ainsi que l'ordonnateur en fonctions, sont tenus de déférer aux demandes d'explication ou de production de pièces formulées par le magistrat chargé de l'instruction jusqu'à la clôture de celle-ci, dans un délai fixé par ce magistrat et qui ne peut être inférieur à quinze jours suivant la réception de cette demande »</w:t>
      </w:r>
      <w:r w:rsidR="008B487A">
        <w:t xml:space="preserve">, que </w:t>
      </w:r>
      <w:r w:rsidR="008B487A" w:rsidRPr="00277A14">
        <w:rPr>
          <w:i/>
        </w:rPr>
        <w:t>« les mêmes personnes ont accès au dossier et peuvent demander au greffe copie de pièces du dossier »</w:t>
      </w:r>
      <w:r w:rsidR="008B487A">
        <w:t>, qu’</w:t>
      </w:r>
      <w:r w:rsidR="008B487A" w:rsidRPr="00277A14">
        <w:rPr>
          <w:i/>
        </w:rPr>
        <w:t>«</w:t>
      </w:r>
      <w:r w:rsidR="003C24DC">
        <w:rPr>
          <w:i/>
        </w:rPr>
        <w:t> </w:t>
      </w:r>
      <w:r w:rsidR="008B487A" w:rsidRPr="00277A14">
        <w:rPr>
          <w:i/>
        </w:rPr>
        <w:t>elles peuvent adresser au magistrat chargé de l'instruction leurs observations écrites, dont la production est notifiée à chaque partie »</w:t>
      </w:r>
      <w:r w:rsidR="008B487A">
        <w:t xml:space="preserve"> et que </w:t>
      </w:r>
      <w:r w:rsidR="008B487A" w:rsidRPr="00277A14">
        <w:rPr>
          <w:i/>
        </w:rPr>
        <w:t>« ces observations sont versées au dossier »</w:t>
      </w:r>
      <w:r w:rsidR="009F6158">
        <w:t> ;</w:t>
      </w:r>
    </w:p>
    <w:p w:rsidR="009F6158" w:rsidRDefault="009F6158" w:rsidP="00A97CA4">
      <w:pPr>
        <w:pStyle w:val="Corpsdetexte"/>
        <w:spacing w:after="360"/>
        <w:ind w:left="1134" w:firstLine="1134"/>
      </w:pPr>
      <w:r>
        <w:t>Considérant</w:t>
      </w:r>
      <w:r w:rsidR="008B487A">
        <w:t xml:space="preserve"> qu’en application de l’article R. 241-36 du même code </w:t>
      </w:r>
      <w:r w:rsidR="008B487A" w:rsidRPr="00277A14">
        <w:rPr>
          <w:i/>
        </w:rPr>
        <w:t>« si des observations ou des pièces nouvelles sont produites par une partie entre la clôture de l'instruction et la mise en délibéré de l'affaire, elles sont communiquées au magistrat chargé de l'instruction et au ministère public »</w:t>
      </w:r>
      <w:r w:rsidR="008B487A">
        <w:t xml:space="preserve"> ; que </w:t>
      </w:r>
      <w:r w:rsidR="008B487A" w:rsidRPr="00277A14">
        <w:rPr>
          <w:i/>
        </w:rPr>
        <w:t>« les autres parties sont informées de la production de ces observations et pièces nouvelles ainsi que de la possibilité de les consulter »</w:t>
      </w:r>
      <w:r>
        <w:t> ;</w:t>
      </w:r>
    </w:p>
    <w:p w:rsidR="009F6158" w:rsidRDefault="009F6158" w:rsidP="00A97CA4">
      <w:pPr>
        <w:pStyle w:val="Corpsdetexte"/>
        <w:spacing w:after="360"/>
        <w:ind w:left="1134" w:firstLine="1134"/>
      </w:pPr>
      <w:r>
        <w:t>Considérant</w:t>
      </w:r>
      <w:r w:rsidR="0049416B">
        <w:t xml:space="preserve"> q</w:t>
      </w:r>
      <w:r w:rsidR="008B487A">
        <w:t>u’il résulte de</w:t>
      </w:r>
      <w:r>
        <w:t>s</w:t>
      </w:r>
      <w:r w:rsidR="008B487A">
        <w:t xml:space="preserve"> textes </w:t>
      </w:r>
      <w:r>
        <w:t xml:space="preserve">précités </w:t>
      </w:r>
      <w:r w:rsidR="008B487A">
        <w:t>qu</w:t>
      </w:r>
      <w:r w:rsidR="00DF1E7C">
        <w:t xml:space="preserve">’un jugement ne peut régulièrement se fonder que sur des pièces versées au dossier avant la clôture de l’instruction, où elles sont communicables, ou sur des pièces versées postérieurement à ladite clôture, à condition que ce versement tardif ait fait l’objet d’une information </w:t>
      </w:r>
      <w:r w:rsidR="00FC2545">
        <w:t xml:space="preserve">expresse </w:t>
      </w:r>
      <w:r>
        <w:t>des</w:t>
      </w:r>
      <w:r w:rsidR="003C24DC">
        <w:t xml:space="preserve"> parties concernées ;</w:t>
      </w:r>
    </w:p>
    <w:p w:rsidR="009F6158" w:rsidRDefault="009F6158" w:rsidP="00A97CA4">
      <w:pPr>
        <w:pStyle w:val="Corpsdetexte"/>
        <w:spacing w:after="360"/>
        <w:ind w:left="1134" w:firstLine="1134"/>
      </w:pPr>
      <w:r>
        <w:t>Considérant</w:t>
      </w:r>
      <w:r w:rsidR="008B487A">
        <w:t xml:space="preserve"> que les pièces cotées n° 27 et n° 29 bis sont des réponses aux questions du magistrat instructeur ; qu’elles ont été versées au dossier</w:t>
      </w:r>
      <w:r w:rsidR="00DF1E7C">
        <w:t xml:space="preserve"> </w:t>
      </w:r>
      <w:r w:rsidR="008B487A">
        <w:t>avant la clôture de l’instruction ; qu</w:t>
      </w:r>
      <w:r w:rsidR="00FC2545">
        <w:t>’ainsi</w:t>
      </w:r>
      <w:r w:rsidR="008B487A">
        <w:t xml:space="preserve"> la chambre régionale n’avait pas à en notifier le versement ; </w:t>
      </w:r>
      <w:proofErr w:type="gramStart"/>
      <w:r w:rsidR="008B487A">
        <w:t>que</w:t>
      </w:r>
      <w:proofErr w:type="gramEnd"/>
      <w:r w:rsidR="008B487A">
        <w:t xml:space="preserve"> cette </w:t>
      </w:r>
      <w:r w:rsidR="00277A14">
        <w:t xml:space="preserve">première </w:t>
      </w:r>
      <w:r w:rsidR="008B487A">
        <w:t xml:space="preserve">branche du moyen ne peut </w:t>
      </w:r>
      <w:r w:rsidR="00FC2545">
        <w:t xml:space="preserve">donc </w:t>
      </w:r>
      <w:r>
        <w:t>être retenue ;</w:t>
      </w:r>
    </w:p>
    <w:p w:rsidR="00277A14" w:rsidRDefault="009F6158" w:rsidP="00A97CA4">
      <w:pPr>
        <w:pStyle w:val="Corpsdetexte"/>
        <w:spacing w:after="360"/>
        <w:ind w:left="1134" w:firstLine="1134"/>
      </w:pPr>
      <w:r>
        <w:t>Considérant</w:t>
      </w:r>
      <w:r w:rsidR="008B487A">
        <w:t xml:space="preserve"> </w:t>
      </w:r>
      <w:r w:rsidR="00FC2545">
        <w:t xml:space="preserve">que </w:t>
      </w:r>
      <w:r w:rsidR="008B487A">
        <w:t>l’extrait d’un échange de courriels en date du</w:t>
      </w:r>
      <w:r w:rsidR="003C24DC">
        <w:t xml:space="preserve"> </w:t>
      </w:r>
      <w:r w:rsidR="008B487A">
        <w:t xml:space="preserve">8 avril 2010 entre le magistrat instructeur et le comptable en fonctions n’a été joint au dossier, </w:t>
      </w:r>
      <w:r w:rsidR="00DF1E7C">
        <w:t xml:space="preserve">où </w:t>
      </w:r>
      <w:r w:rsidR="00352B7B">
        <w:t xml:space="preserve">il </w:t>
      </w:r>
      <w:r w:rsidR="00DF1E7C">
        <w:t xml:space="preserve">n’est au demeurant pas </w:t>
      </w:r>
      <w:r w:rsidR="008B487A">
        <w:t xml:space="preserve">coté, que postérieurement à la clôture de l’instruction ; </w:t>
      </w:r>
      <w:r w:rsidR="00311471">
        <w:t xml:space="preserve">que cet échange atteste que le comptable patent avait, au cours de l’année 2007, régularisé par un prélèvement sur salaire le paiement de primes indues à </w:t>
      </w:r>
      <w:r w:rsidR="003C24DC" w:rsidRPr="00934033">
        <w:t>M</w:t>
      </w:r>
      <w:r w:rsidR="003C24DC" w:rsidRPr="00934033">
        <w:rPr>
          <w:vertAlign w:val="superscript"/>
        </w:rPr>
        <w:t>me</w:t>
      </w:r>
      <w:r w:rsidR="003C24DC">
        <w:t xml:space="preserve"> </w:t>
      </w:r>
      <w:r w:rsidR="00CA607E">
        <w:t>Y</w:t>
      </w:r>
      <w:r w:rsidR="003C24DC">
        <w:t> </w:t>
      </w:r>
      <w:r w:rsidR="00311471">
        <w:t>;</w:t>
      </w:r>
      <w:r>
        <w:t xml:space="preserve"> </w:t>
      </w:r>
      <w:r w:rsidR="00311471">
        <w:t xml:space="preserve">que les faits </w:t>
      </w:r>
      <w:r w:rsidR="00352B7B">
        <w:t xml:space="preserve">établis par cette pièce </w:t>
      </w:r>
      <w:r w:rsidR="00DF1E7C">
        <w:t>sont évoqués dans le rapport du magistrat instructeur</w:t>
      </w:r>
      <w:r w:rsidR="00311471">
        <w:t xml:space="preserve">, en tant qu’éléments de contexte contribuant à écarter les arguments </w:t>
      </w:r>
      <w:r w:rsidR="004C2158">
        <w:t xml:space="preserve">présentés à décharge par </w:t>
      </w:r>
      <w:r w:rsidR="00311471">
        <w:t>M. </w:t>
      </w:r>
      <w:r w:rsidR="00CA607E">
        <w:t>X</w:t>
      </w:r>
      <w:r w:rsidR="00311471">
        <w:t xml:space="preserve"> sur les insuffisances du contrôle exercé par le comptable patent</w:t>
      </w:r>
      <w:r w:rsidR="004C2158">
        <w:t xml:space="preserve"> en ce qui concerne la fausseté des pièces ayant permis la rémunération de </w:t>
      </w:r>
      <w:r w:rsidR="003C24DC" w:rsidRPr="00934033">
        <w:t>M</w:t>
      </w:r>
      <w:r w:rsidR="003C24DC" w:rsidRPr="00934033">
        <w:rPr>
          <w:vertAlign w:val="superscript"/>
        </w:rPr>
        <w:t>me</w:t>
      </w:r>
      <w:r w:rsidR="003C24DC">
        <w:t xml:space="preserve"> </w:t>
      </w:r>
      <w:r w:rsidR="00CA607E">
        <w:t>Y</w:t>
      </w:r>
      <w:r w:rsidR="004C2158">
        <w:t xml:space="preserve"> comme agent </w:t>
      </w:r>
      <w:r w:rsidR="004C2158">
        <w:lastRenderedPageBreak/>
        <w:t>titulaire</w:t>
      </w:r>
      <w:r w:rsidR="003C24DC">
        <w:t> </w:t>
      </w:r>
      <w:r w:rsidR="00DF1E7C">
        <w:t xml:space="preserve">; que </w:t>
      </w:r>
      <w:r w:rsidR="0049416B">
        <w:t xml:space="preserve">toutefois </w:t>
      </w:r>
      <w:r w:rsidR="00DF1E7C">
        <w:t xml:space="preserve">le jugement </w:t>
      </w:r>
      <w:r w:rsidR="00311471">
        <w:t xml:space="preserve">entrepris </w:t>
      </w:r>
      <w:r w:rsidR="00DF1E7C">
        <w:t xml:space="preserve">ne retient, directement ou non, aucun élément issu de cette pièce, fût-il de simple contexte, pour motiver l’existence et l’imputation d’une gestion de fait ; </w:t>
      </w:r>
      <w:r w:rsidR="00277A14">
        <w:t>que cette seconde branche du moyen ne peut donc être retenue ;</w:t>
      </w:r>
    </w:p>
    <w:p w:rsidR="00DF1E7C" w:rsidRDefault="00277A14" w:rsidP="00A97CA4">
      <w:pPr>
        <w:pStyle w:val="Corpsdetexte"/>
        <w:spacing w:after="360"/>
        <w:ind w:left="1134" w:firstLine="1134"/>
      </w:pPr>
      <w:r>
        <w:t>Q</w:t>
      </w:r>
      <w:r w:rsidR="00DF1E7C">
        <w:t>u’</w:t>
      </w:r>
      <w:r w:rsidR="00311471">
        <w:t xml:space="preserve">ainsi le jugement </w:t>
      </w:r>
      <w:r w:rsidR="00DF1E7C">
        <w:t>n’est pas entaché d</w:t>
      </w:r>
      <w:r w:rsidR="004C2158">
        <w:t>’irrégulari</w:t>
      </w:r>
      <w:r w:rsidR="00DF1E7C">
        <w:t>té à ce motif ;</w:t>
      </w:r>
    </w:p>
    <w:p w:rsidR="00DA6CE2" w:rsidRPr="0049416B" w:rsidRDefault="00A81DFF" w:rsidP="00A97CA4">
      <w:pPr>
        <w:pStyle w:val="alina-western"/>
        <w:spacing w:before="480" w:beforeAutospacing="0"/>
        <w:ind w:left="1134" w:firstLine="1134"/>
        <w:jc w:val="both"/>
        <w:rPr>
          <w:i/>
        </w:rPr>
      </w:pPr>
      <w:r w:rsidRPr="0049416B">
        <w:rPr>
          <w:i/>
        </w:rPr>
        <w:t>Sur le manquement à l’impartialité :</w:t>
      </w:r>
    </w:p>
    <w:p w:rsidR="009F6158" w:rsidRDefault="00A81DFF" w:rsidP="00A97CA4">
      <w:pPr>
        <w:pStyle w:val="alina-western"/>
        <w:ind w:left="1134" w:firstLine="1134"/>
        <w:jc w:val="both"/>
      </w:pPr>
      <w:r>
        <w:t xml:space="preserve">Attendu que </w:t>
      </w:r>
      <w:r w:rsidR="00CA607E">
        <w:t>M. X</w:t>
      </w:r>
      <w:r>
        <w:t xml:space="preserve"> fait valoir </w:t>
      </w:r>
      <w:r w:rsidR="0049416B">
        <w:t xml:space="preserve">dans son mémoire du 14 novembre 2011 </w:t>
      </w:r>
      <w:r>
        <w:t xml:space="preserve">que la </w:t>
      </w:r>
      <w:r w:rsidR="00D16C5B">
        <w:t>c</w:t>
      </w:r>
      <w:r>
        <w:t>hambre régionale aurait préjugé de l’existence d</w:t>
      </w:r>
      <w:r w:rsidR="006E0BDF">
        <w:t>’une</w:t>
      </w:r>
      <w:r>
        <w:t xml:space="preserve"> gestion </w:t>
      </w:r>
      <w:r w:rsidR="006E0BDF">
        <w:t xml:space="preserve">occulte </w:t>
      </w:r>
      <w:r>
        <w:t>en évoquant les faits dans un rapport d’observations définitives concernant le centre hospitalier</w:t>
      </w:r>
      <w:r w:rsidR="00492FF8">
        <w:t xml:space="preserve"> de Champagnole</w:t>
      </w:r>
      <w:r>
        <w:t xml:space="preserve"> et publié avant la lecture du jugement entrepris ;</w:t>
      </w:r>
      <w:r w:rsidR="0049416B">
        <w:t xml:space="preserve"> qu’ainsi il y aurait manquement à l’impartialité de la formation de jugement ;</w:t>
      </w:r>
    </w:p>
    <w:p w:rsidR="009F6158" w:rsidRDefault="009F6158" w:rsidP="00A97CA4">
      <w:pPr>
        <w:pStyle w:val="alina-western"/>
        <w:ind w:left="1134" w:firstLine="1134"/>
        <w:jc w:val="both"/>
      </w:pPr>
      <w:r>
        <w:t>Considérant</w:t>
      </w:r>
      <w:r w:rsidR="0049416B">
        <w:t xml:space="preserve"> que ce moyen a été présenté après l’expiration du dél</w:t>
      </w:r>
      <w:r>
        <w:t xml:space="preserve">ai réglementaire d’appel ; </w:t>
      </w:r>
      <w:r w:rsidR="0049416B">
        <w:t xml:space="preserve">que </w:t>
      </w:r>
      <w:r>
        <w:t xml:space="preserve">toutefois, </w:t>
      </w:r>
      <w:r w:rsidR="0049416B">
        <w:t>s’agissant d’un moyen d’ordre public à relever d’office par le j</w:t>
      </w:r>
      <w:r>
        <w:t>uge, il y a lieu d’y répondre ;</w:t>
      </w:r>
    </w:p>
    <w:p w:rsidR="00A81DFF" w:rsidRDefault="009F6158" w:rsidP="00A97CA4">
      <w:pPr>
        <w:pStyle w:val="alina-western"/>
        <w:ind w:left="1134" w:firstLine="1134"/>
        <w:jc w:val="both"/>
      </w:pPr>
      <w:r>
        <w:t>Considérant</w:t>
      </w:r>
      <w:r w:rsidR="00A81DFF">
        <w:t xml:space="preserve"> que si ledit rapport</w:t>
      </w:r>
      <w:r w:rsidR="00492FF8">
        <w:t xml:space="preserve"> d’observations définitives</w:t>
      </w:r>
      <w:r w:rsidR="004C2158">
        <w:t xml:space="preserve">, publié avant le délibéré du jugement, </w:t>
      </w:r>
      <w:r w:rsidR="00A81DFF">
        <w:t xml:space="preserve">fait état d’irrégularités dans la gestion du personnel et d’un défaut de contrôle et de surveillance imputable au directeur, contrairement à ce que soutient l’appelant, les faits de la cause relatifs au versement de rémunérations indues à </w:t>
      </w:r>
      <w:r w:rsidR="003C24DC" w:rsidRPr="00934033">
        <w:t>M</w:t>
      </w:r>
      <w:r w:rsidR="003C24DC" w:rsidRPr="00934033">
        <w:rPr>
          <w:vertAlign w:val="superscript"/>
        </w:rPr>
        <w:t>me</w:t>
      </w:r>
      <w:r w:rsidR="003C24DC">
        <w:t xml:space="preserve"> </w:t>
      </w:r>
      <w:r w:rsidR="00CA607E">
        <w:t>Y</w:t>
      </w:r>
      <w:r w:rsidR="007A5BF4">
        <w:t xml:space="preserve"> </w:t>
      </w:r>
      <w:r w:rsidR="00A81DFF">
        <w:t>n</w:t>
      </w:r>
      <w:r w:rsidR="004C2158">
        <w:t>’y</w:t>
      </w:r>
      <w:r w:rsidR="00A81DFF">
        <w:t xml:space="preserve"> sont </w:t>
      </w:r>
      <w:r w:rsidR="007A5BF4">
        <w:t xml:space="preserve">nullement </w:t>
      </w:r>
      <w:r w:rsidR="004C2158">
        <w:t>évoqués, fût-ce de manière allusive ou succincte</w:t>
      </w:r>
      <w:r w:rsidR="003C24DC">
        <w:t> </w:t>
      </w:r>
      <w:r w:rsidR="00A81DFF">
        <w:t xml:space="preserve">; qu’ainsi </w:t>
      </w:r>
      <w:r w:rsidR="007A5BF4">
        <w:t xml:space="preserve">le moyen manque </w:t>
      </w:r>
      <w:r w:rsidR="00A81DFF">
        <w:t>en fait ;</w:t>
      </w:r>
    </w:p>
    <w:p w:rsidR="00A81DFF" w:rsidRPr="00311471" w:rsidRDefault="00311471" w:rsidP="00A97CA4">
      <w:pPr>
        <w:pStyle w:val="alina-western"/>
        <w:spacing w:before="480" w:beforeAutospacing="0"/>
        <w:ind w:left="1134" w:firstLine="1134"/>
        <w:jc w:val="both"/>
        <w:rPr>
          <w:b/>
        </w:rPr>
      </w:pPr>
      <w:r>
        <w:rPr>
          <w:b/>
        </w:rPr>
        <w:t xml:space="preserve">Sur le </w:t>
      </w:r>
      <w:r w:rsidRPr="00311471">
        <w:rPr>
          <w:b/>
        </w:rPr>
        <w:t>fond</w:t>
      </w:r>
      <w:r>
        <w:rPr>
          <w:b/>
        </w:rPr>
        <w:t> :</w:t>
      </w:r>
    </w:p>
    <w:p w:rsidR="008E128A" w:rsidRPr="00492FF8" w:rsidRDefault="00D5123D" w:rsidP="00A97CA4">
      <w:pPr>
        <w:pStyle w:val="alina-western"/>
        <w:ind w:left="1134" w:firstLine="1134"/>
        <w:jc w:val="both"/>
        <w:rPr>
          <w:i/>
        </w:rPr>
      </w:pPr>
      <w:r w:rsidRPr="00492FF8">
        <w:rPr>
          <w:i/>
        </w:rPr>
        <w:t>Sur l’existence d’une gestion de fait</w:t>
      </w:r>
      <w:r w:rsidR="00DA6CE2" w:rsidRPr="00492FF8">
        <w:rPr>
          <w:i/>
        </w:rPr>
        <w:t> :</w:t>
      </w:r>
    </w:p>
    <w:p w:rsidR="008E128A" w:rsidRDefault="008E128A" w:rsidP="00A97CA4">
      <w:pPr>
        <w:pStyle w:val="alina-western"/>
        <w:ind w:left="1134" w:firstLine="1134"/>
        <w:jc w:val="both"/>
      </w:pPr>
      <w:r>
        <w:t>Attendu que</w:t>
      </w:r>
      <w:r w:rsidR="009F6158">
        <w:t>,</w:t>
      </w:r>
      <w:r>
        <w:t xml:space="preserve"> </w:t>
      </w:r>
      <w:r w:rsidR="006E0BDF">
        <w:t xml:space="preserve">dans sa requête </w:t>
      </w:r>
      <w:r w:rsidR="00492FF8">
        <w:t xml:space="preserve">du 6 septembre 2011 </w:t>
      </w:r>
      <w:r w:rsidR="006E0BDF">
        <w:t>susvisée</w:t>
      </w:r>
      <w:r w:rsidR="009F6158">
        <w:t>,</w:t>
      </w:r>
      <w:r w:rsidR="003C24DC">
        <w:t xml:space="preserve"> </w:t>
      </w:r>
      <w:r w:rsidR="00CA607E">
        <w:t>M. X</w:t>
      </w:r>
      <w:r w:rsidR="006E0BDF">
        <w:t xml:space="preserve"> fait valoir </w:t>
      </w:r>
      <w:r w:rsidR="004C2158">
        <w:t xml:space="preserve">que </w:t>
      </w:r>
      <w:r w:rsidR="004C2158" w:rsidRPr="004C2158">
        <w:rPr>
          <w:i/>
        </w:rPr>
        <w:t xml:space="preserve">« si </w:t>
      </w:r>
      <w:r w:rsidR="003C24DC" w:rsidRPr="003C24DC">
        <w:rPr>
          <w:i/>
        </w:rPr>
        <w:t>M</w:t>
      </w:r>
      <w:r w:rsidR="003C24DC" w:rsidRPr="003C24DC">
        <w:rPr>
          <w:i/>
          <w:vertAlign w:val="superscript"/>
        </w:rPr>
        <w:t>me</w:t>
      </w:r>
      <w:r w:rsidR="003C24DC">
        <w:rPr>
          <w:i/>
        </w:rPr>
        <w:t xml:space="preserve"> </w:t>
      </w:r>
      <w:r w:rsidR="00CA607E">
        <w:rPr>
          <w:i/>
        </w:rPr>
        <w:t>Y</w:t>
      </w:r>
      <w:r w:rsidR="004C2158" w:rsidRPr="004C2158">
        <w:rPr>
          <w:i/>
        </w:rPr>
        <w:t xml:space="preserve"> n’avait pas invoqué la titularisation, le centre hospitalier de Champagnole aurait pu conserver ses services soit en renouvelant son contrat à durée déterminée, soit en la contractualisant pour une durée indéterminée en qualité de directrice adjointe »</w:t>
      </w:r>
      <w:r w:rsidR="004C2158">
        <w:t xml:space="preserve"> et qu’ainsi </w:t>
      </w:r>
      <w:r w:rsidR="004C2158" w:rsidRPr="004C2158">
        <w:rPr>
          <w:i/>
        </w:rPr>
        <w:t xml:space="preserve">« la prolongation [de </w:t>
      </w:r>
      <w:r w:rsidR="003C24DC" w:rsidRPr="003C24DC">
        <w:rPr>
          <w:i/>
        </w:rPr>
        <w:t>M</w:t>
      </w:r>
      <w:r w:rsidR="003C24DC" w:rsidRPr="003C24DC">
        <w:rPr>
          <w:i/>
          <w:vertAlign w:val="superscript"/>
        </w:rPr>
        <w:t>me</w:t>
      </w:r>
      <w:r w:rsidR="003C24DC">
        <w:rPr>
          <w:i/>
        </w:rPr>
        <w:t xml:space="preserve"> </w:t>
      </w:r>
      <w:r w:rsidR="00CA607E">
        <w:rPr>
          <w:i/>
        </w:rPr>
        <w:t>Y</w:t>
      </w:r>
      <w:r w:rsidR="004C2158" w:rsidRPr="004C2158">
        <w:rPr>
          <w:i/>
        </w:rPr>
        <w:t>] dans ses fonctions ne posait aucun problème »</w:t>
      </w:r>
      <w:r w:rsidR="004C2158">
        <w:t xml:space="preserve"> ; qu’il ajoute que </w:t>
      </w:r>
      <w:r w:rsidR="004C2158" w:rsidRPr="004C2158">
        <w:rPr>
          <w:i/>
        </w:rPr>
        <w:t xml:space="preserve">« la </w:t>
      </w:r>
      <w:r w:rsidR="003C24DC">
        <w:rPr>
          <w:i/>
        </w:rPr>
        <w:t>t</w:t>
      </w:r>
      <w:r w:rsidR="004C2158" w:rsidRPr="004C2158">
        <w:rPr>
          <w:i/>
        </w:rPr>
        <w:t xml:space="preserve">résorerie de Champagnole [ne l’a jamais alerté] d’une quelconque anomalie relative au changement de catégorie juridique de </w:t>
      </w:r>
      <w:r w:rsidR="003C24DC" w:rsidRPr="003C24DC">
        <w:rPr>
          <w:i/>
        </w:rPr>
        <w:t>M</w:t>
      </w:r>
      <w:r w:rsidR="003C24DC" w:rsidRPr="003C24DC">
        <w:rPr>
          <w:i/>
          <w:vertAlign w:val="superscript"/>
        </w:rPr>
        <w:t>me</w:t>
      </w:r>
      <w:r w:rsidR="003C24DC">
        <w:rPr>
          <w:i/>
        </w:rPr>
        <w:t xml:space="preserve"> </w:t>
      </w:r>
      <w:r w:rsidR="00CA607E">
        <w:rPr>
          <w:i/>
        </w:rPr>
        <w:t>Y</w:t>
      </w:r>
      <w:r w:rsidR="004C2158" w:rsidRPr="004C2158">
        <w:rPr>
          <w:i/>
        </w:rPr>
        <w:t xml:space="preserve"> en</w:t>
      </w:r>
      <w:r w:rsidR="003C24DC">
        <w:rPr>
          <w:i/>
        </w:rPr>
        <w:t xml:space="preserve"> </w:t>
      </w:r>
      <w:r w:rsidR="004C2158" w:rsidRPr="004C2158">
        <w:rPr>
          <w:i/>
        </w:rPr>
        <w:t>suite de sa titularisation dans la fonction publique »</w:t>
      </w:r>
      <w:r w:rsidR="00352B7B">
        <w:rPr>
          <w:i/>
        </w:rPr>
        <w:t xml:space="preserve">, et que </w:t>
      </w:r>
      <w:r w:rsidR="00352B7B" w:rsidRPr="006E5E2A">
        <w:rPr>
          <w:i/>
        </w:rPr>
        <w:t>« la seule perception d’un avantage irrégulier…</w:t>
      </w:r>
      <w:r w:rsidR="00B65F37">
        <w:rPr>
          <w:i/>
        </w:rPr>
        <w:t xml:space="preserve"> </w:t>
      </w:r>
      <w:r w:rsidR="00352B7B" w:rsidRPr="006E5E2A">
        <w:rPr>
          <w:i/>
        </w:rPr>
        <w:t>ne peut suffire à caractériser une véritable gestion de fait »</w:t>
      </w:r>
      <w:r w:rsidR="00352B7B">
        <w:rPr>
          <w:i/>
        </w:rPr>
        <w:t> </w:t>
      </w:r>
      <w:r>
        <w:t xml:space="preserve">; </w:t>
      </w:r>
      <w:r w:rsidR="007A5BF4">
        <w:t xml:space="preserve">que, dans son mémoire en réplique susvisé, </w:t>
      </w:r>
      <w:r w:rsidR="00492FF8">
        <w:t xml:space="preserve">présenté après expiration des délais d’appel, </w:t>
      </w:r>
      <w:r w:rsidR="007A5BF4">
        <w:t xml:space="preserve">l’appelant </w:t>
      </w:r>
      <w:r w:rsidR="00CC2B07">
        <w:t xml:space="preserve">demande l’infirmation du jugement principalement en ce qu’il déclare l’existence d’une gestion de fait et </w:t>
      </w:r>
      <w:r w:rsidR="007A5BF4">
        <w:t xml:space="preserve">développe l’argumentation selon laquelle le mandat fictif ne serait pas établi ; </w:t>
      </w:r>
      <w:r>
        <w:t xml:space="preserve">que </w:t>
      </w:r>
      <w:r w:rsidR="007A5BF4">
        <w:t>l</w:t>
      </w:r>
      <w:r>
        <w:t xml:space="preserve">es éléments </w:t>
      </w:r>
      <w:r w:rsidR="006E0BDF">
        <w:t xml:space="preserve">précités </w:t>
      </w:r>
      <w:r w:rsidR="007A5BF4">
        <w:t>de la requête initiale</w:t>
      </w:r>
      <w:r w:rsidR="00352B7B">
        <w:t xml:space="preserve"> </w:t>
      </w:r>
      <w:r w:rsidR="004C2158">
        <w:t xml:space="preserve">tendent à établir la continuité de l’objet des dépenses en cause et le fait qu’il n’aurait pas été dissimulé au comptable patent ; </w:t>
      </w:r>
      <w:r w:rsidR="00492FF8">
        <w:t xml:space="preserve">qu’ainsi </w:t>
      </w:r>
      <w:r w:rsidR="007A5BF4">
        <w:t>l’argumentation formalisée dans le mémoire en réplique</w:t>
      </w:r>
      <w:r w:rsidR="00492FF8">
        <w:t xml:space="preserve"> est rattachable à plusieurs éléments de la requête initiale ; qu’ainsi il y a lieu pour le juge d’appel d’examiner le moyen visant à contester </w:t>
      </w:r>
      <w:r>
        <w:t>l’existence d’une gestion de fait à raison d’un mandat fictif ;</w:t>
      </w:r>
      <w:r w:rsidR="00FC2545">
        <w:t xml:space="preserve"> </w:t>
      </w:r>
    </w:p>
    <w:p w:rsidR="009F6158" w:rsidRDefault="009F6158" w:rsidP="00A97CA4">
      <w:pPr>
        <w:pStyle w:val="alina-western"/>
        <w:ind w:left="1134" w:firstLine="1134"/>
        <w:jc w:val="both"/>
      </w:pPr>
      <w:r>
        <w:lastRenderedPageBreak/>
        <w:t>Considérant,</w:t>
      </w:r>
      <w:r w:rsidR="008E128A">
        <w:t xml:space="preserve"> </w:t>
      </w:r>
      <w:r>
        <w:t xml:space="preserve">en premier lieu, </w:t>
      </w:r>
      <w:r w:rsidR="008E128A">
        <w:t>que</w:t>
      </w:r>
      <w:r w:rsidR="00492FF8">
        <w:t>, comme le soutient l’appelant,</w:t>
      </w:r>
      <w:r w:rsidR="008E128A">
        <w:t xml:space="preserve"> si les pièces transmises au comptable patent, et sur lesquelles celui-ci s’est appuyé pour procéder aux paiements à partir de mars 2006, étaient fausses, </w:t>
      </w:r>
      <w:r w:rsidR="003C24DC" w:rsidRPr="00934033">
        <w:t>M</w:t>
      </w:r>
      <w:r w:rsidR="003C24DC" w:rsidRPr="00934033">
        <w:rPr>
          <w:vertAlign w:val="superscript"/>
        </w:rPr>
        <w:t>me</w:t>
      </w:r>
      <w:r w:rsidR="003C24DC">
        <w:t xml:space="preserve"> </w:t>
      </w:r>
      <w:r w:rsidR="00CA607E">
        <w:t>Y</w:t>
      </w:r>
      <w:r w:rsidR="008E128A">
        <w:t xml:space="preserve"> n’en a pas moins exercé les mêmes fonctions avant et après mars 2006</w:t>
      </w:r>
      <w:r w:rsidR="003C24DC">
        <w:t> </w:t>
      </w:r>
      <w:r w:rsidR="008E128A">
        <w:t xml:space="preserve">; </w:t>
      </w:r>
      <w:r w:rsidR="006E0BDF">
        <w:t>qu’il y a eu, en dépit d</w:t>
      </w:r>
      <w:r w:rsidR="002B0B50">
        <w:t>u fait que les</w:t>
      </w:r>
      <w:r w:rsidR="006E0BDF">
        <w:t xml:space="preserve"> rémunérations versées </w:t>
      </w:r>
      <w:r w:rsidR="002B0B50">
        <w:t xml:space="preserve">à partir de cette date étaient supérieures </w:t>
      </w:r>
      <w:r w:rsidR="006E0BDF">
        <w:t xml:space="preserve">à ce qui était </w:t>
      </w:r>
      <w:r w:rsidR="002B0B50">
        <w:t xml:space="preserve">légalement </w:t>
      </w:r>
      <w:r w:rsidR="006E0BDF">
        <w:t>dû, un service fait pour l’établissement</w:t>
      </w:r>
      <w:r w:rsidR="002B0B50">
        <w:t xml:space="preserve"> ; que ce service était </w:t>
      </w:r>
      <w:r w:rsidR="006E0BDF">
        <w:t>conforme à l’affectation réelle de l’intéressée</w:t>
      </w:r>
      <w:r w:rsidR="0054236F">
        <w:t> </w:t>
      </w:r>
      <w:r w:rsidR="006E0BDF">
        <w:t xml:space="preserve">; </w:t>
      </w:r>
      <w:r w:rsidR="008E128A">
        <w:t>que dès lors, l’objet des rémunérations versées</w:t>
      </w:r>
      <w:r w:rsidR="00FC2545">
        <w:t xml:space="preserve"> </w:t>
      </w:r>
      <w:r w:rsidR="008E128A">
        <w:t xml:space="preserve">à l’intéressée </w:t>
      </w:r>
      <w:r w:rsidR="00FC2545">
        <w:t xml:space="preserve">en sa </w:t>
      </w:r>
      <w:r w:rsidR="008E128A">
        <w:t>qualité d</w:t>
      </w:r>
      <w:r w:rsidR="002B0B50">
        <w:t>’agent de l’établissement, exerçant en qualité d</w:t>
      </w:r>
      <w:r w:rsidR="008E128A">
        <w:t xml:space="preserve">e </w:t>
      </w:r>
      <w:r w:rsidR="007A5BF4">
        <w:t xml:space="preserve">responsable </w:t>
      </w:r>
      <w:r w:rsidR="008E128A">
        <w:t>des ressources humaines</w:t>
      </w:r>
      <w:r w:rsidR="002B0B50">
        <w:t xml:space="preserve">, </w:t>
      </w:r>
      <w:r w:rsidR="008E128A">
        <w:t>n’a pas été dissimulé au comptable patent</w:t>
      </w:r>
      <w:r w:rsidR="0054236F">
        <w:t> </w:t>
      </w:r>
      <w:r w:rsidR="008E128A">
        <w:t xml:space="preserve">; qu’ainsi, </w:t>
      </w:r>
      <w:r w:rsidR="00492FF8">
        <w:t xml:space="preserve">comme le soutient l’appelant, le </w:t>
      </w:r>
      <w:r w:rsidR="00FC2545">
        <w:t xml:space="preserve">mandat fictif </w:t>
      </w:r>
      <w:r w:rsidR="00492FF8">
        <w:t>n’est pas établi</w:t>
      </w:r>
      <w:r w:rsidR="0054236F">
        <w:t> </w:t>
      </w:r>
      <w:r w:rsidR="008E128A">
        <w:t>;</w:t>
      </w:r>
      <w:r>
        <w:t xml:space="preserve"> qu’en conséquence</w:t>
      </w:r>
      <w:r w:rsidR="00492FF8">
        <w:t xml:space="preserve">, sans qu’il soit besoin d’examiner les autres moyens au fond, </w:t>
      </w:r>
      <w:r>
        <w:t xml:space="preserve">il y a </w:t>
      </w:r>
      <w:r w:rsidR="002B0B50">
        <w:t>lieu d’infirmer le jugement sur ce point</w:t>
      </w:r>
      <w:r>
        <w:t> ;</w:t>
      </w:r>
    </w:p>
    <w:p w:rsidR="00094E6A" w:rsidRDefault="009F6158" w:rsidP="00A97CA4">
      <w:pPr>
        <w:pStyle w:val="alina-western"/>
        <w:ind w:left="1134" w:firstLine="1134"/>
        <w:jc w:val="both"/>
      </w:pPr>
      <w:r>
        <w:t>Considérant,</w:t>
      </w:r>
      <w:r w:rsidR="00352B7B">
        <w:t xml:space="preserve"> </w:t>
      </w:r>
      <w:r>
        <w:t xml:space="preserve">en second lieu, </w:t>
      </w:r>
      <w:r w:rsidR="00352B7B">
        <w:t>qu</w:t>
      </w:r>
      <w:r w:rsidR="00492FF8">
        <w:t xml:space="preserve">e le dossier ne fait pas apparaître </w:t>
      </w:r>
      <w:r w:rsidR="00352B7B">
        <w:t>d’autres présompti</w:t>
      </w:r>
      <w:r w:rsidR="00492FF8">
        <w:t>on</w:t>
      </w:r>
      <w:r w:rsidR="00352B7B">
        <w:t xml:space="preserve">s de gestion </w:t>
      </w:r>
      <w:r w:rsidR="00492FF8">
        <w:t xml:space="preserve">occulte au regard des faits relevés dans le réquisitoire susvisé du </w:t>
      </w:r>
      <w:r w:rsidR="003128F8">
        <w:t>7</w:t>
      </w:r>
      <w:r w:rsidR="00492FF8">
        <w:t xml:space="preserve"> juin 2010</w:t>
      </w:r>
      <w:r w:rsidR="0054236F">
        <w:t> </w:t>
      </w:r>
      <w:r w:rsidR="00094E6A">
        <w:t>; q</w:t>
      </w:r>
      <w:r w:rsidR="00352B7B">
        <w:t>u’ainsi, comme le soutient</w:t>
      </w:r>
      <w:r w:rsidR="003128F8">
        <w:t xml:space="preserve"> </w:t>
      </w:r>
      <w:r w:rsidR="00CA607E">
        <w:t>M. X</w:t>
      </w:r>
      <w:r w:rsidR="00352B7B">
        <w:t xml:space="preserve">, il n’y a pas lieu à gestion de fait ; </w:t>
      </w:r>
    </w:p>
    <w:p w:rsidR="00352B7B" w:rsidRDefault="00094E6A" w:rsidP="00A97CA4">
      <w:pPr>
        <w:pStyle w:val="alina-western"/>
        <w:ind w:left="1134" w:firstLine="1134"/>
        <w:jc w:val="both"/>
      </w:pPr>
      <w:r>
        <w:t>Considérant, en troisième lieu,</w:t>
      </w:r>
      <w:r w:rsidR="00FF7322" w:rsidRPr="00FF7322">
        <w:rPr>
          <w:rStyle w:val="CorpsdetexteCarCar"/>
        </w:rPr>
        <w:t xml:space="preserve"> que </w:t>
      </w:r>
      <w:r w:rsidR="0054236F" w:rsidRPr="0054236F">
        <w:rPr>
          <w:rStyle w:val="CorpsdetexteCarCar"/>
        </w:rPr>
        <w:t>M</w:t>
      </w:r>
      <w:r w:rsidR="0054236F" w:rsidRPr="0054236F">
        <w:rPr>
          <w:rStyle w:val="CorpsdetexteCarCar"/>
          <w:vertAlign w:val="superscript"/>
        </w:rPr>
        <w:t>me</w:t>
      </w:r>
      <w:r w:rsidR="0054236F">
        <w:rPr>
          <w:rStyle w:val="CorpsdetexteCarCar"/>
        </w:rPr>
        <w:t xml:space="preserve"> </w:t>
      </w:r>
      <w:r w:rsidR="00CA607E">
        <w:rPr>
          <w:rStyle w:val="CorpsdetexteCarCar"/>
        </w:rPr>
        <w:t>Y</w:t>
      </w:r>
      <w:r w:rsidR="00FF7322" w:rsidRPr="00FF7322">
        <w:rPr>
          <w:rStyle w:val="CorpsdetexteCarCar"/>
        </w:rPr>
        <w:t xml:space="preserve"> a été déclarée comptable de fait pour les mêmes opérations et pour la même période ; </w:t>
      </w:r>
      <w:r w:rsidR="00352B7B" w:rsidRPr="00FF7322">
        <w:t>que, compte tenu de la solidarité entre comptables de fait, le non-lieu qui bénéficie</w:t>
      </w:r>
      <w:r w:rsidR="00492FF8">
        <w:t>rait</w:t>
      </w:r>
      <w:r w:rsidR="00352B7B" w:rsidRPr="00FF7322">
        <w:t xml:space="preserve"> à M. </w:t>
      </w:r>
      <w:r w:rsidR="00CA607E">
        <w:t>X</w:t>
      </w:r>
      <w:r w:rsidR="00352B7B" w:rsidRPr="00FF7322">
        <w:t>, appelant, d</w:t>
      </w:r>
      <w:r w:rsidR="00492FF8">
        <w:t>evrai</w:t>
      </w:r>
      <w:r w:rsidR="00352B7B" w:rsidRPr="00FF7322">
        <w:t xml:space="preserve">t être étendu à </w:t>
      </w:r>
      <w:r w:rsidR="00CA607E">
        <w:t>Mme Y</w:t>
      </w:r>
      <w:r w:rsidR="00352B7B" w:rsidRPr="00FF7322">
        <w:t>;</w:t>
      </w:r>
    </w:p>
    <w:p w:rsidR="00492FF8" w:rsidRPr="00E76DDA" w:rsidRDefault="00E76DDA" w:rsidP="00A97CA4">
      <w:pPr>
        <w:pStyle w:val="alina-western"/>
        <w:ind w:left="1134" w:firstLine="1134"/>
        <w:jc w:val="both"/>
        <w:rPr>
          <w:i/>
        </w:rPr>
      </w:pPr>
      <w:r w:rsidRPr="00E76DDA">
        <w:rPr>
          <w:i/>
        </w:rPr>
        <w:t>Sur les dépens</w:t>
      </w:r>
      <w:r w:rsidR="0054236F">
        <w:rPr>
          <w:i/>
        </w:rPr>
        <w:t xml:space="preserve"> </w:t>
      </w:r>
      <w:r w:rsidRPr="00E76DDA">
        <w:rPr>
          <w:i/>
        </w:rPr>
        <w:t>et frais irrépétibles :</w:t>
      </w:r>
    </w:p>
    <w:p w:rsidR="00E76DDA" w:rsidRPr="00E76DDA" w:rsidRDefault="00094E6A" w:rsidP="00A97CA4">
      <w:pPr>
        <w:pStyle w:val="western"/>
        <w:spacing w:after="113" w:afterAutospacing="0"/>
        <w:ind w:left="1134" w:right="170" w:firstLine="1134"/>
        <w:jc w:val="both"/>
      </w:pPr>
      <w:r>
        <w:t>Considérant</w:t>
      </w:r>
      <w:r w:rsidR="00E76DDA" w:rsidRPr="00E76DDA">
        <w:t xml:space="preserve"> qu'il n'entre pas dans les compétences du juge des comptes de se prononcer sur la condamnation d'une collectivité publique au paiement des frais et dépens</w:t>
      </w:r>
      <w:r w:rsidR="0054236F">
        <w:t> </w:t>
      </w:r>
      <w:r w:rsidR="00E76DDA" w:rsidRPr="00E76DDA">
        <w:t>; que, par suite, l</w:t>
      </w:r>
      <w:r w:rsidR="00E76DDA">
        <w:t xml:space="preserve">es </w:t>
      </w:r>
      <w:r w:rsidR="00E76DDA" w:rsidRPr="00E76DDA">
        <w:t>demande</w:t>
      </w:r>
      <w:r w:rsidR="00E76DDA">
        <w:t>s</w:t>
      </w:r>
      <w:r w:rsidR="00E76DDA" w:rsidRPr="00E76DDA">
        <w:t xml:space="preserve"> de </w:t>
      </w:r>
      <w:r w:rsidR="00CA607E">
        <w:t>M. X</w:t>
      </w:r>
      <w:r w:rsidR="00E76DDA" w:rsidRPr="00E76DDA">
        <w:t xml:space="preserve"> visant </w:t>
      </w:r>
      <w:r w:rsidR="003128F8">
        <w:t xml:space="preserve">à </w:t>
      </w:r>
      <w:r w:rsidR="00E76DDA">
        <w:t>ce que la Cour statue sur les dépens éventuels et décide que l’Etat lui versera 5 000 € au titre des frais irrépétibles sont</w:t>
      </w:r>
      <w:r w:rsidR="00E76DDA" w:rsidRPr="00E76DDA">
        <w:t>, en toute hypothèse, irrecevable</w:t>
      </w:r>
      <w:r w:rsidR="00E76DDA">
        <w:t>s</w:t>
      </w:r>
      <w:r w:rsidR="0054236F">
        <w:t> ;</w:t>
      </w:r>
    </w:p>
    <w:p w:rsidR="00BF43F5" w:rsidRPr="00492FF8" w:rsidRDefault="00BF43F5" w:rsidP="00A97CA4">
      <w:pPr>
        <w:pStyle w:val="NormalWeb"/>
        <w:ind w:left="1134" w:firstLine="1134"/>
        <w:jc w:val="both"/>
      </w:pPr>
      <w:r w:rsidRPr="00492FF8">
        <w:t>Par ces motifs,</w:t>
      </w:r>
    </w:p>
    <w:p w:rsidR="00BF43F5" w:rsidRPr="00492FF8" w:rsidRDefault="00094E6A" w:rsidP="0054236F">
      <w:pPr>
        <w:pStyle w:val="PS"/>
        <w:ind w:left="1134" w:firstLine="0"/>
        <w:jc w:val="center"/>
      </w:pPr>
      <w:r>
        <w:t>DECIDE</w:t>
      </w:r>
      <w:r w:rsidR="00BF43F5" w:rsidRPr="00492FF8">
        <w:t> :</w:t>
      </w:r>
    </w:p>
    <w:p w:rsidR="00FF7322" w:rsidRPr="00492FF8" w:rsidRDefault="00FF7322" w:rsidP="00CD789B">
      <w:pPr>
        <w:pStyle w:val="PS"/>
        <w:ind w:left="1418" w:firstLine="1559"/>
      </w:pPr>
      <w:r w:rsidRPr="00492FF8">
        <w:t xml:space="preserve">Article 1. – </w:t>
      </w:r>
      <w:r w:rsidR="00BF43F5" w:rsidRPr="00492FF8">
        <w:t>Le jugement n°</w:t>
      </w:r>
      <w:r w:rsidR="00094E6A">
        <w:t xml:space="preserve"> </w:t>
      </w:r>
      <w:r w:rsidR="00BF43F5" w:rsidRPr="00492FF8">
        <w:t>2011-0006 du 5 juillet 2011 est infirmé</w:t>
      </w:r>
      <w:r w:rsidRPr="00492FF8">
        <w:t xml:space="preserve"> en ce qu’il déclare </w:t>
      </w:r>
      <w:r w:rsidR="00CA607E">
        <w:t>M. X</w:t>
      </w:r>
      <w:r w:rsidRPr="00492FF8">
        <w:t xml:space="preserve"> et </w:t>
      </w:r>
      <w:r w:rsidR="0054236F" w:rsidRPr="00934033">
        <w:t>M</w:t>
      </w:r>
      <w:r w:rsidR="0054236F" w:rsidRPr="00934033">
        <w:rPr>
          <w:vertAlign w:val="superscript"/>
        </w:rPr>
        <w:t>me</w:t>
      </w:r>
      <w:r w:rsidR="0054236F">
        <w:t xml:space="preserve"> </w:t>
      </w:r>
      <w:r w:rsidR="00CA607E">
        <w:t>Y</w:t>
      </w:r>
      <w:r w:rsidRPr="00492FF8">
        <w:t xml:space="preserve"> gestionnaire</w:t>
      </w:r>
      <w:r w:rsidR="00A4719C" w:rsidRPr="00492FF8">
        <w:t>s</w:t>
      </w:r>
      <w:r w:rsidRPr="00492FF8">
        <w:t xml:space="preserve"> de fait des </w:t>
      </w:r>
      <w:r w:rsidR="00BF43F5" w:rsidRPr="00492FF8">
        <w:t>deniers du centre hospitalier de Champagnole à raison</w:t>
      </w:r>
      <w:r w:rsidR="00CA607E">
        <w:t xml:space="preserve"> </w:t>
      </w:r>
      <w:r w:rsidR="00BF43F5" w:rsidRPr="00492FF8">
        <w:t>des éléments relevés dans le réquisitoire</w:t>
      </w:r>
      <w:r w:rsidRPr="00492FF8">
        <w:t xml:space="preserve"> n°</w:t>
      </w:r>
      <w:r w:rsidR="0054236F">
        <w:t> </w:t>
      </w:r>
      <w:r w:rsidRPr="00492FF8">
        <w:t xml:space="preserve">2010/15 du </w:t>
      </w:r>
      <w:r w:rsidR="00D16C5B">
        <w:t>7</w:t>
      </w:r>
      <w:r w:rsidRPr="00492FF8">
        <w:t xml:space="preserve"> juin 2010 du procureur financier près la chambre régionale </w:t>
      </w:r>
      <w:r w:rsidR="00D16C5B">
        <w:t xml:space="preserve">des comptes </w:t>
      </w:r>
      <w:r w:rsidRPr="00492FF8">
        <w:t xml:space="preserve">de Franche-Comté. </w:t>
      </w:r>
    </w:p>
    <w:p w:rsidR="00FF7322" w:rsidRDefault="00FF7322" w:rsidP="00CD789B">
      <w:pPr>
        <w:pStyle w:val="PS"/>
        <w:ind w:left="1134" w:firstLine="1843"/>
      </w:pPr>
      <w:r w:rsidRPr="00492FF8">
        <w:t>Article 2. – La requête est rejetée pour le surplus.</w:t>
      </w:r>
    </w:p>
    <w:p w:rsidR="00D16C5B" w:rsidRPr="00492FF8" w:rsidRDefault="00D16C5B" w:rsidP="0054236F">
      <w:pPr>
        <w:pStyle w:val="PS"/>
        <w:ind w:left="1134" w:firstLine="0"/>
        <w:jc w:val="center"/>
      </w:pPr>
      <w:r w:rsidRPr="00D16C5B">
        <w:t>-</w:t>
      </w:r>
      <w:r>
        <w:t xml:space="preserve"> - -</w:t>
      </w:r>
    </w:p>
    <w:p w:rsidR="00352B7B" w:rsidRPr="0039775C" w:rsidRDefault="00BF43F5" w:rsidP="006132D9">
      <w:pPr>
        <w:pStyle w:val="alina-western"/>
        <w:ind w:left="1418" w:firstLine="1417"/>
        <w:jc w:val="both"/>
        <w:rPr>
          <w:color w:val="auto"/>
        </w:rPr>
      </w:pPr>
      <w:r w:rsidRPr="00492FF8">
        <w:rPr>
          <w:color w:val="auto"/>
        </w:rPr>
        <w:t>Fait et jugé en la Cour des comptes, quatrième cha</w:t>
      </w:r>
      <w:r w:rsidR="00B96982">
        <w:rPr>
          <w:color w:val="auto"/>
        </w:rPr>
        <w:t xml:space="preserve">mbre, première section, le </w:t>
      </w:r>
      <w:r w:rsidR="00165ECA">
        <w:rPr>
          <w:color w:val="auto"/>
        </w:rPr>
        <w:t>quin</w:t>
      </w:r>
      <w:r w:rsidR="00B96982">
        <w:rPr>
          <w:color w:val="auto"/>
        </w:rPr>
        <w:t>ze juillet deux mille treize</w:t>
      </w:r>
      <w:r w:rsidRPr="00492FF8">
        <w:rPr>
          <w:color w:val="auto"/>
        </w:rPr>
        <w:t xml:space="preserve">. Présents : M. Bayle, président de </w:t>
      </w:r>
      <w:r w:rsidRPr="00492FF8">
        <w:rPr>
          <w:color w:val="auto"/>
        </w:rPr>
        <w:lastRenderedPageBreak/>
        <w:t xml:space="preserve">chambre, </w:t>
      </w:r>
      <w:r w:rsidR="00374351">
        <w:rPr>
          <w:color w:val="auto"/>
        </w:rPr>
        <w:t>MM</w:t>
      </w:r>
      <w:r w:rsidR="00E701AE">
        <w:rPr>
          <w:color w:val="auto"/>
        </w:rPr>
        <w:t xml:space="preserve">. Ganser, </w:t>
      </w:r>
      <w:proofErr w:type="spellStart"/>
      <w:r w:rsidR="00D16C5B">
        <w:rPr>
          <w:color w:val="auto"/>
        </w:rPr>
        <w:t>Lafaure</w:t>
      </w:r>
      <w:proofErr w:type="spellEnd"/>
      <w:r w:rsidR="00D16C5B">
        <w:rPr>
          <w:color w:val="auto"/>
        </w:rPr>
        <w:t xml:space="preserve">, </w:t>
      </w:r>
      <w:r w:rsidR="00E701AE">
        <w:rPr>
          <w:color w:val="auto"/>
        </w:rPr>
        <w:t xml:space="preserve">Vermeulen, </w:t>
      </w:r>
      <w:proofErr w:type="spellStart"/>
      <w:r w:rsidR="00E701AE">
        <w:rPr>
          <w:color w:val="auto"/>
        </w:rPr>
        <w:t>Vachia</w:t>
      </w:r>
      <w:proofErr w:type="spellEnd"/>
      <w:r w:rsidR="00E701AE">
        <w:rPr>
          <w:color w:val="auto"/>
        </w:rPr>
        <w:t>, M</w:t>
      </w:r>
      <w:r w:rsidR="00E701AE" w:rsidRPr="0054236F">
        <w:rPr>
          <w:color w:val="auto"/>
          <w:vertAlign w:val="superscript"/>
        </w:rPr>
        <w:t>me</w:t>
      </w:r>
      <w:r w:rsidR="00D16C5B" w:rsidRPr="0054236F">
        <w:rPr>
          <w:color w:val="auto"/>
          <w:vertAlign w:val="superscript"/>
        </w:rPr>
        <w:t>s</w:t>
      </w:r>
      <w:r w:rsidR="0054236F">
        <w:rPr>
          <w:color w:val="auto"/>
        </w:rPr>
        <w:t xml:space="preserve"> </w:t>
      </w:r>
      <w:proofErr w:type="spellStart"/>
      <w:r w:rsidR="00E701AE">
        <w:rPr>
          <w:color w:val="auto"/>
        </w:rPr>
        <w:t>Gadriot</w:t>
      </w:r>
      <w:proofErr w:type="spellEnd"/>
      <w:r w:rsidR="00E701AE">
        <w:rPr>
          <w:color w:val="auto"/>
        </w:rPr>
        <w:t>-Renard</w:t>
      </w:r>
      <w:r w:rsidR="008E1E69">
        <w:rPr>
          <w:color w:val="auto"/>
        </w:rPr>
        <w:t>,</w:t>
      </w:r>
      <w:r w:rsidR="00E701AE">
        <w:rPr>
          <w:color w:val="auto"/>
        </w:rPr>
        <w:t xml:space="preserve"> </w:t>
      </w:r>
      <w:proofErr w:type="spellStart"/>
      <w:r w:rsidR="00E701AE">
        <w:rPr>
          <w:color w:val="auto"/>
        </w:rPr>
        <w:t>Démier</w:t>
      </w:r>
      <w:proofErr w:type="spellEnd"/>
      <w:r w:rsidR="008E1E69">
        <w:rPr>
          <w:color w:val="auto"/>
        </w:rPr>
        <w:t xml:space="preserve"> et</w:t>
      </w:r>
      <w:r w:rsidR="00E701AE">
        <w:rPr>
          <w:color w:val="auto"/>
        </w:rPr>
        <w:t xml:space="preserve"> M. Rousselot,</w:t>
      </w:r>
      <w:r w:rsidR="00FF7322" w:rsidRPr="00492FF8">
        <w:rPr>
          <w:color w:val="auto"/>
        </w:rPr>
        <w:t xml:space="preserve"> </w:t>
      </w:r>
      <w:r w:rsidRPr="00492FF8">
        <w:rPr>
          <w:color w:val="auto"/>
        </w:rPr>
        <w:t>conseillers maîtres.</w:t>
      </w:r>
      <w:bookmarkStart w:id="0" w:name="_GoBack"/>
      <w:bookmarkEnd w:id="0"/>
    </w:p>
    <w:p w:rsidR="0039775C" w:rsidRPr="0039775C" w:rsidRDefault="0039775C" w:rsidP="0039775C">
      <w:pPr>
        <w:tabs>
          <w:tab w:val="left" w:pos="5103"/>
        </w:tabs>
        <w:autoSpaceDE w:val="0"/>
        <w:autoSpaceDN w:val="0"/>
        <w:adjustRightInd w:val="0"/>
        <w:ind w:left="1134" w:firstLine="1134"/>
        <w:jc w:val="both"/>
        <w:rPr>
          <w:rFonts w:ascii="Times New Roman" w:hAnsi="Times New Roman"/>
          <w:color w:val="000000"/>
          <w:sz w:val="24"/>
          <w:szCs w:val="24"/>
        </w:rPr>
      </w:pPr>
      <w:r w:rsidRPr="0039775C">
        <w:rPr>
          <w:rFonts w:ascii="Times New Roman" w:hAnsi="Times New Roman"/>
          <w:color w:val="000000"/>
          <w:sz w:val="24"/>
          <w:szCs w:val="24"/>
        </w:rPr>
        <w:t xml:space="preserve">Signé : </w:t>
      </w:r>
      <w:r>
        <w:rPr>
          <w:rFonts w:ascii="Times New Roman" w:hAnsi="Times New Roman"/>
          <w:color w:val="000000"/>
          <w:sz w:val="24"/>
          <w:szCs w:val="24"/>
        </w:rPr>
        <w:t>Bayle</w:t>
      </w:r>
      <w:r w:rsidRPr="0039775C">
        <w:rPr>
          <w:rFonts w:ascii="Times New Roman" w:hAnsi="Times New Roman"/>
          <w:color w:val="000000"/>
          <w:sz w:val="24"/>
          <w:szCs w:val="24"/>
        </w:rPr>
        <w:t>, président, et Le Baron greffier.</w:t>
      </w:r>
    </w:p>
    <w:p w:rsidR="0039775C" w:rsidRPr="0039775C" w:rsidRDefault="0039775C" w:rsidP="0039775C">
      <w:pPr>
        <w:tabs>
          <w:tab w:val="left" w:pos="5103"/>
        </w:tabs>
        <w:autoSpaceDE w:val="0"/>
        <w:autoSpaceDN w:val="0"/>
        <w:adjustRightInd w:val="0"/>
        <w:ind w:left="1134" w:firstLine="1134"/>
        <w:jc w:val="both"/>
        <w:rPr>
          <w:rFonts w:ascii="Times New Roman" w:hAnsi="Times New Roman"/>
          <w:color w:val="000000"/>
          <w:sz w:val="24"/>
          <w:szCs w:val="24"/>
        </w:rPr>
      </w:pPr>
    </w:p>
    <w:p w:rsidR="0039775C" w:rsidRPr="0039775C" w:rsidRDefault="0039775C" w:rsidP="0039775C">
      <w:pPr>
        <w:tabs>
          <w:tab w:val="left" w:pos="5103"/>
        </w:tabs>
        <w:autoSpaceDE w:val="0"/>
        <w:autoSpaceDN w:val="0"/>
        <w:adjustRightInd w:val="0"/>
        <w:ind w:left="1134" w:firstLine="1134"/>
        <w:jc w:val="both"/>
        <w:rPr>
          <w:rFonts w:ascii="Times New Roman" w:hAnsi="Times New Roman"/>
          <w:color w:val="000000"/>
          <w:sz w:val="24"/>
          <w:szCs w:val="24"/>
        </w:rPr>
      </w:pPr>
      <w:r w:rsidRPr="0039775C">
        <w:rPr>
          <w:rFonts w:ascii="Times New Roman" w:hAnsi="Times New Roman"/>
          <w:color w:val="000000"/>
          <w:sz w:val="24"/>
          <w:szCs w:val="24"/>
        </w:rPr>
        <w:t>Collationné, certifié conforme à la minute  étant au greffe de la Cour des Comptes.</w:t>
      </w:r>
    </w:p>
    <w:p w:rsidR="0039775C" w:rsidRPr="0039775C" w:rsidRDefault="0039775C" w:rsidP="0039775C">
      <w:pPr>
        <w:ind w:left="1134" w:firstLine="1035"/>
        <w:jc w:val="both"/>
        <w:rPr>
          <w:rFonts w:ascii="Times New Roman" w:hAnsi="Times New Roman"/>
          <w:color w:val="000000"/>
          <w:sz w:val="24"/>
          <w:szCs w:val="24"/>
        </w:rPr>
      </w:pPr>
      <w:r w:rsidRPr="0039775C">
        <w:rPr>
          <w:rFonts w:ascii="Times New Roman" w:hAnsi="Times New Roman"/>
          <w:color w:val="000000"/>
          <w:sz w:val="24"/>
          <w:szCs w:val="24"/>
        </w:rPr>
        <w:t>Délivré par moi, secrétaire général.</w:t>
      </w:r>
    </w:p>
    <w:p w:rsidR="0039775C" w:rsidRPr="0039775C" w:rsidRDefault="0039775C" w:rsidP="0039775C">
      <w:pPr>
        <w:ind w:left="1134" w:firstLine="1035"/>
        <w:jc w:val="both"/>
        <w:rPr>
          <w:rFonts w:ascii="Times New Roman" w:hAnsi="Times New Roman"/>
          <w:color w:val="000000"/>
          <w:sz w:val="24"/>
          <w:szCs w:val="24"/>
        </w:rPr>
      </w:pPr>
    </w:p>
    <w:p w:rsidR="0039775C" w:rsidRPr="0039775C" w:rsidRDefault="0039775C" w:rsidP="0039775C">
      <w:pPr>
        <w:pStyle w:val="P0"/>
        <w:spacing w:before="240"/>
        <w:ind w:left="567" w:firstLine="4395"/>
        <w:jc w:val="center"/>
        <w:rPr>
          <w:b/>
        </w:rPr>
      </w:pPr>
      <w:r w:rsidRPr="0039775C">
        <w:rPr>
          <w:b/>
        </w:rPr>
        <w:t>Pour le Secrétaire général</w:t>
      </w:r>
    </w:p>
    <w:p w:rsidR="0039775C" w:rsidRPr="0039775C" w:rsidRDefault="0039775C" w:rsidP="0039775C">
      <w:pPr>
        <w:pStyle w:val="P0"/>
        <w:ind w:left="567" w:firstLine="4395"/>
        <w:jc w:val="center"/>
        <w:rPr>
          <w:b/>
        </w:rPr>
      </w:pPr>
      <w:proofErr w:type="gramStart"/>
      <w:r w:rsidRPr="0039775C">
        <w:rPr>
          <w:b/>
        </w:rPr>
        <w:t>et</w:t>
      </w:r>
      <w:proofErr w:type="gramEnd"/>
      <w:r w:rsidRPr="0039775C">
        <w:rPr>
          <w:b/>
        </w:rPr>
        <w:t xml:space="preserve"> par délégation,</w:t>
      </w:r>
    </w:p>
    <w:p w:rsidR="0039775C" w:rsidRPr="0039775C" w:rsidRDefault="0039775C" w:rsidP="0039775C">
      <w:pPr>
        <w:pStyle w:val="P0"/>
        <w:ind w:left="567" w:firstLine="4395"/>
        <w:jc w:val="center"/>
        <w:rPr>
          <w:b/>
        </w:rPr>
      </w:pPr>
      <w:proofErr w:type="gramStart"/>
      <w:r w:rsidRPr="0039775C">
        <w:rPr>
          <w:b/>
        </w:rPr>
        <w:t>le</w:t>
      </w:r>
      <w:proofErr w:type="gramEnd"/>
      <w:r w:rsidRPr="0039775C">
        <w:rPr>
          <w:b/>
        </w:rPr>
        <w:t xml:space="preserve"> Chef du Greffe contentieux</w:t>
      </w:r>
    </w:p>
    <w:p w:rsidR="0039775C" w:rsidRPr="0039775C" w:rsidRDefault="0039775C" w:rsidP="0039775C">
      <w:pPr>
        <w:pStyle w:val="P0"/>
        <w:ind w:left="567" w:firstLine="4395"/>
        <w:jc w:val="center"/>
        <w:rPr>
          <w:b/>
        </w:rPr>
      </w:pPr>
    </w:p>
    <w:p w:rsidR="0039775C" w:rsidRPr="0039775C" w:rsidRDefault="0039775C" w:rsidP="0039775C">
      <w:pPr>
        <w:pStyle w:val="P0"/>
        <w:ind w:left="567" w:firstLine="4395"/>
        <w:jc w:val="center"/>
        <w:rPr>
          <w:b/>
        </w:rPr>
      </w:pPr>
    </w:p>
    <w:p w:rsidR="0039775C" w:rsidRPr="0039775C" w:rsidRDefault="0039775C" w:rsidP="0039775C">
      <w:pPr>
        <w:pStyle w:val="P0"/>
        <w:ind w:left="567" w:firstLine="4395"/>
        <w:jc w:val="center"/>
        <w:rPr>
          <w:b/>
        </w:rPr>
      </w:pPr>
    </w:p>
    <w:p w:rsidR="0039775C" w:rsidRPr="0039775C" w:rsidRDefault="0039775C" w:rsidP="0039775C">
      <w:pPr>
        <w:pStyle w:val="P0"/>
        <w:ind w:left="567" w:firstLine="4395"/>
        <w:jc w:val="center"/>
        <w:rPr>
          <w:b/>
        </w:rPr>
      </w:pPr>
    </w:p>
    <w:p w:rsidR="0039775C" w:rsidRPr="0039775C" w:rsidRDefault="0039775C" w:rsidP="0039775C">
      <w:pPr>
        <w:pStyle w:val="P0"/>
        <w:ind w:left="567" w:firstLine="4395"/>
        <w:jc w:val="center"/>
        <w:rPr>
          <w:b/>
        </w:rPr>
      </w:pPr>
    </w:p>
    <w:p w:rsidR="0039775C" w:rsidRPr="0039775C" w:rsidRDefault="0039775C" w:rsidP="0039775C">
      <w:pPr>
        <w:pStyle w:val="P0"/>
        <w:ind w:left="567" w:firstLine="4395"/>
        <w:jc w:val="center"/>
        <w:rPr>
          <w:b/>
        </w:rPr>
      </w:pPr>
    </w:p>
    <w:p w:rsidR="0039775C" w:rsidRPr="0039775C" w:rsidRDefault="0039775C" w:rsidP="0039775C">
      <w:pPr>
        <w:pStyle w:val="P0"/>
        <w:ind w:left="567" w:firstLine="4395"/>
        <w:jc w:val="center"/>
        <w:rPr>
          <w:b/>
        </w:rPr>
      </w:pPr>
    </w:p>
    <w:p w:rsidR="0039775C" w:rsidRPr="0039775C" w:rsidRDefault="0039775C" w:rsidP="0039775C">
      <w:pPr>
        <w:pStyle w:val="P0"/>
        <w:ind w:left="567" w:firstLine="4395"/>
        <w:jc w:val="center"/>
        <w:rPr>
          <w:b/>
        </w:rPr>
      </w:pPr>
      <w:r w:rsidRPr="0039775C">
        <w:rPr>
          <w:b/>
        </w:rPr>
        <w:t>Daniel FEREZ</w:t>
      </w:r>
    </w:p>
    <w:sectPr w:rsidR="0039775C" w:rsidRPr="0039775C" w:rsidSect="003C24DC">
      <w:footerReference w:type="default" r:id="rId9"/>
      <w:pgSz w:w="11906" w:h="16838"/>
      <w:pgMar w:top="1418" w:right="1418" w:bottom="1418" w:left="99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931" w:rsidRDefault="009E7931" w:rsidP="00492FF8">
      <w:pPr>
        <w:spacing w:after="0" w:line="240" w:lineRule="auto"/>
      </w:pPr>
      <w:r>
        <w:separator/>
      </w:r>
    </w:p>
  </w:endnote>
  <w:endnote w:type="continuationSeparator" w:id="0">
    <w:p w:rsidR="009E7931" w:rsidRDefault="009E7931" w:rsidP="0049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FF8" w:rsidRPr="007F2173" w:rsidRDefault="00492FF8" w:rsidP="0054236F">
    <w:pPr>
      <w:pStyle w:val="Pieddepage"/>
      <w:jc w:val="center"/>
      <w:rPr>
        <w:rFonts w:ascii="Times New Roman" w:hAnsi="Times New Roman"/>
      </w:rPr>
    </w:pPr>
    <w:r w:rsidRPr="007F2173">
      <w:rPr>
        <w:rFonts w:ascii="Times New Roman" w:hAnsi="Times New Roman"/>
      </w:rPr>
      <w:fldChar w:fldCharType="begin"/>
    </w:r>
    <w:r w:rsidRPr="007F2173">
      <w:rPr>
        <w:rFonts w:ascii="Times New Roman" w:hAnsi="Times New Roman"/>
      </w:rPr>
      <w:instrText>PAGE   \* MERGEFORMAT</w:instrText>
    </w:r>
    <w:r w:rsidRPr="007F2173">
      <w:rPr>
        <w:rFonts w:ascii="Times New Roman" w:hAnsi="Times New Roman"/>
      </w:rPr>
      <w:fldChar w:fldCharType="separate"/>
    </w:r>
    <w:r w:rsidR="0054236F">
      <w:rPr>
        <w:rFonts w:ascii="Times New Roman" w:hAnsi="Times New Roman"/>
        <w:noProof/>
      </w:rPr>
      <w:t>6</w:t>
    </w:r>
    <w:r w:rsidRPr="007F2173">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931" w:rsidRDefault="009E7931" w:rsidP="00492FF8">
      <w:pPr>
        <w:spacing w:after="0" w:line="240" w:lineRule="auto"/>
      </w:pPr>
      <w:r>
        <w:separator/>
      </w:r>
    </w:p>
  </w:footnote>
  <w:footnote w:type="continuationSeparator" w:id="0">
    <w:p w:rsidR="009E7931" w:rsidRDefault="009E7931" w:rsidP="00492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4530"/>
    <w:multiLevelType w:val="hybridMultilevel"/>
    <w:tmpl w:val="1D5462A8"/>
    <w:lvl w:ilvl="0" w:tplc="7E4A6168">
      <w:start w:val="1"/>
      <w:numFmt w:val="bullet"/>
      <w:lvlText w:val="−"/>
      <w:lvlJc w:val="left"/>
      <w:pPr>
        <w:tabs>
          <w:tab w:val="num" w:pos="709"/>
        </w:tabs>
        <w:ind w:left="1429" w:hanging="360"/>
      </w:pPr>
      <w:rPr>
        <w:rFonts w:ascii="Verdana" w:hAnsi="Tahoma" w:hint="default"/>
      </w:rPr>
    </w:lvl>
    <w:lvl w:ilvl="1" w:tplc="040C0003" w:tentative="1">
      <w:start w:val="1"/>
      <w:numFmt w:val="bullet"/>
      <w:lvlText w:val="o"/>
      <w:lvlJc w:val="left"/>
      <w:pPr>
        <w:tabs>
          <w:tab w:val="num" w:pos="2520"/>
        </w:tabs>
        <w:ind w:left="2520" w:hanging="360"/>
      </w:pPr>
      <w:rPr>
        <w:rFonts w:ascii="Courier New" w:hAnsi="Courier New" w:cs="Arial"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Arial"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Arial"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
    <w:nsid w:val="5C125ABE"/>
    <w:multiLevelType w:val="hybridMultilevel"/>
    <w:tmpl w:val="3F90FB98"/>
    <w:lvl w:ilvl="0" w:tplc="8D624EC4">
      <w:start w:val="2"/>
      <w:numFmt w:val="bullet"/>
      <w:lvlText w:val="-"/>
      <w:lvlJc w:val="left"/>
      <w:pPr>
        <w:ind w:left="3195" w:hanging="360"/>
      </w:pPr>
      <w:rPr>
        <w:rFonts w:ascii="Tms Rmn" w:eastAsia="Times New Roman" w:hAnsi="Tms Rm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669C3FF1"/>
    <w:multiLevelType w:val="multilevel"/>
    <w:tmpl w:val="6BDA1F4E"/>
    <w:lvl w:ilvl="0">
      <w:start w:val="1"/>
      <w:numFmt w:val="decimal"/>
      <w:pStyle w:val="enumration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D421BA7"/>
    <w:multiLevelType w:val="hybridMultilevel"/>
    <w:tmpl w:val="CE2E53FE"/>
    <w:lvl w:ilvl="0" w:tplc="1E9A824E">
      <w:start w:val="13"/>
      <w:numFmt w:val="bullet"/>
      <w:lvlText w:val="-"/>
      <w:lvlJc w:val="left"/>
      <w:pPr>
        <w:tabs>
          <w:tab w:val="num" w:pos="1069"/>
        </w:tabs>
        <w:ind w:left="1069" w:hanging="360"/>
      </w:pPr>
      <w:rPr>
        <w:rFonts w:ascii="Times New Roman" w:eastAsia="Times New Roman" w:hAnsi="Times New Roman" w:cs="Times New Roman" w:hint="default"/>
      </w:rPr>
    </w:lvl>
    <w:lvl w:ilvl="1" w:tplc="2190FD4E">
      <w:start w:val="13"/>
      <w:numFmt w:val="lowerLetter"/>
      <w:lvlText w:val="%2)"/>
      <w:lvlJc w:val="left"/>
      <w:pPr>
        <w:tabs>
          <w:tab w:val="num" w:pos="1789"/>
        </w:tabs>
        <w:ind w:left="1789" w:hanging="360"/>
      </w:pPr>
      <w:rPr>
        <w:rFonts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128A"/>
    <w:rsid w:val="00032010"/>
    <w:rsid w:val="00035753"/>
    <w:rsid w:val="00094E6A"/>
    <w:rsid w:val="000B1583"/>
    <w:rsid w:val="000C0985"/>
    <w:rsid w:val="000E1955"/>
    <w:rsid w:val="00101D35"/>
    <w:rsid w:val="001540BD"/>
    <w:rsid w:val="0015442A"/>
    <w:rsid w:val="00165ECA"/>
    <w:rsid w:val="001A300A"/>
    <w:rsid w:val="001F5625"/>
    <w:rsid w:val="00203FBF"/>
    <w:rsid w:val="00277A14"/>
    <w:rsid w:val="002A199A"/>
    <w:rsid w:val="002B0B50"/>
    <w:rsid w:val="002C61A3"/>
    <w:rsid w:val="002D5484"/>
    <w:rsid w:val="002F245F"/>
    <w:rsid w:val="003055A8"/>
    <w:rsid w:val="00311471"/>
    <w:rsid w:val="003128F8"/>
    <w:rsid w:val="00316381"/>
    <w:rsid w:val="003315A3"/>
    <w:rsid w:val="00340420"/>
    <w:rsid w:val="00352B7B"/>
    <w:rsid w:val="00374351"/>
    <w:rsid w:val="0038768A"/>
    <w:rsid w:val="0039775C"/>
    <w:rsid w:val="003C24DC"/>
    <w:rsid w:val="004342B5"/>
    <w:rsid w:val="00444900"/>
    <w:rsid w:val="00470863"/>
    <w:rsid w:val="00492FF8"/>
    <w:rsid w:val="0049416B"/>
    <w:rsid w:val="004C2158"/>
    <w:rsid w:val="004C54EE"/>
    <w:rsid w:val="004D3FC0"/>
    <w:rsid w:val="0050700C"/>
    <w:rsid w:val="0054236F"/>
    <w:rsid w:val="00576101"/>
    <w:rsid w:val="005C030D"/>
    <w:rsid w:val="005D28FB"/>
    <w:rsid w:val="005F42A8"/>
    <w:rsid w:val="006132D9"/>
    <w:rsid w:val="00624AE7"/>
    <w:rsid w:val="006424F4"/>
    <w:rsid w:val="006672BE"/>
    <w:rsid w:val="006E0BDF"/>
    <w:rsid w:val="006E2508"/>
    <w:rsid w:val="006F1F1B"/>
    <w:rsid w:val="007230C2"/>
    <w:rsid w:val="00723F97"/>
    <w:rsid w:val="0075172E"/>
    <w:rsid w:val="00763730"/>
    <w:rsid w:val="007817F7"/>
    <w:rsid w:val="00792B1E"/>
    <w:rsid w:val="007A5BF4"/>
    <w:rsid w:val="007B469D"/>
    <w:rsid w:val="007D5C6A"/>
    <w:rsid w:val="007F2173"/>
    <w:rsid w:val="0080052A"/>
    <w:rsid w:val="00810DB1"/>
    <w:rsid w:val="00815730"/>
    <w:rsid w:val="00817356"/>
    <w:rsid w:val="00852B10"/>
    <w:rsid w:val="00876BD3"/>
    <w:rsid w:val="008821E3"/>
    <w:rsid w:val="008A07A6"/>
    <w:rsid w:val="008B487A"/>
    <w:rsid w:val="008E128A"/>
    <w:rsid w:val="008E1E69"/>
    <w:rsid w:val="0094713F"/>
    <w:rsid w:val="009E7931"/>
    <w:rsid w:val="009F3EE9"/>
    <w:rsid w:val="009F6158"/>
    <w:rsid w:val="00A46B7B"/>
    <w:rsid w:val="00A4719C"/>
    <w:rsid w:val="00A65B2F"/>
    <w:rsid w:val="00A81DFF"/>
    <w:rsid w:val="00A97CA4"/>
    <w:rsid w:val="00AC0420"/>
    <w:rsid w:val="00AE415D"/>
    <w:rsid w:val="00B14DC5"/>
    <w:rsid w:val="00B32BD4"/>
    <w:rsid w:val="00B65F37"/>
    <w:rsid w:val="00B96982"/>
    <w:rsid w:val="00BA0629"/>
    <w:rsid w:val="00BF43F5"/>
    <w:rsid w:val="00C33600"/>
    <w:rsid w:val="00CA607E"/>
    <w:rsid w:val="00CB064B"/>
    <w:rsid w:val="00CC2B07"/>
    <w:rsid w:val="00CC79C1"/>
    <w:rsid w:val="00CD789B"/>
    <w:rsid w:val="00D10362"/>
    <w:rsid w:val="00D16C5B"/>
    <w:rsid w:val="00D24793"/>
    <w:rsid w:val="00D358F7"/>
    <w:rsid w:val="00D5123D"/>
    <w:rsid w:val="00D77AF8"/>
    <w:rsid w:val="00DA6CE2"/>
    <w:rsid w:val="00DB4BAE"/>
    <w:rsid w:val="00DF1E7C"/>
    <w:rsid w:val="00E03890"/>
    <w:rsid w:val="00E408F6"/>
    <w:rsid w:val="00E54FB7"/>
    <w:rsid w:val="00E701AE"/>
    <w:rsid w:val="00E758DE"/>
    <w:rsid w:val="00E76DDA"/>
    <w:rsid w:val="00EC1033"/>
    <w:rsid w:val="00EC6C68"/>
    <w:rsid w:val="00EF2A29"/>
    <w:rsid w:val="00EF7B49"/>
    <w:rsid w:val="00F756BA"/>
    <w:rsid w:val="00F95BE9"/>
    <w:rsid w:val="00FC2545"/>
    <w:rsid w:val="00FC7B2E"/>
    <w:rsid w:val="00FD2132"/>
    <w:rsid w:val="00FD343E"/>
    <w:rsid w:val="00FF7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lina-western">
    <w:name w:val="alinéa-western"/>
    <w:basedOn w:val="Normal"/>
    <w:rsid w:val="008E128A"/>
    <w:pPr>
      <w:spacing w:before="100" w:beforeAutospacing="1" w:after="100" w:afterAutospacing="1" w:line="240" w:lineRule="auto"/>
    </w:pPr>
    <w:rPr>
      <w:rFonts w:ascii="Times New Roman" w:eastAsia="Times New Roman" w:hAnsi="Times New Roman"/>
      <w:color w:val="000000"/>
      <w:sz w:val="24"/>
      <w:szCs w:val="24"/>
      <w:lang w:eastAsia="fr-FR"/>
    </w:rPr>
  </w:style>
  <w:style w:type="paragraph" w:customStyle="1" w:styleId="CarCar1CarCarCarCarCarCar">
    <w:name w:val="Car Car1 Car Car Car Car Car Car"/>
    <w:basedOn w:val="Normal"/>
    <w:rsid w:val="008E128A"/>
    <w:pPr>
      <w:spacing w:after="160" w:line="240" w:lineRule="exact"/>
    </w:pPr>
    <w:rPr>
      <w:rFonts w:ascii="Tahoma" w:eastAsia="Times New Roman" w:hAnsi="Tahoma"/>
      <w:sz w:val="20"/>
      <w:szCs w:val="20"/>
      <w:lang w:val="en-US"/>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rsid w:val="00E03890"/>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rsid w:val="00E03890"/>
    <w:rPr>
      <w:rFonts w:ascii="Times New Roman" w:eastAsia="Times New Roman" w:hAnsi="Times New Roman"/>
      <w:sz w:val="24"/>
    </w:rPr>
  </w:style>
  <w:style w:type="character" w:customStyle="1" w:styleId="Normal1">
    <w:name w:val="Normal1"/>
    <w:rsid w:val="00E408F6"/>
  </w:style>
  <w:style w:type="paragraph" w:customStyle="1" w:styleId="Observation">
    <w:name w:val="Observation"/>
    <w:rsid w:val="00352B7B"/>
    <w:pPr>
      <w:spacing w:line="240" w:lineRule="exact"/>
      <w:ind w:left="567"/>
    </w:pPr>
    <w:rPr>
      <w:rFonts w:ascii="Tms Rmn" w:eastAsia="Times New Roman" w:hAnsi="Tms Rmn"/>
      <w:b/>
      <w:sz w:val="24"/>
    </w:rPr>
  </w:style>
  <w:style w:type="paragraph" w:customStyle="1" w:styleId="ET">
    <w:name w:val="ET"/>
    <w:basedOn w:val="Normal"/>
    <w:rsid w:val="00352B7B"/>
    <w:pPr>
      <w:spacing w:after="0" w:line="240" w:lineRule="auto"/>
    </w:pPr>
    <w:rPr>
      <w:rFonts w:ascii="Times New Roman" w:eastAsia="Times New Roman" w:hAnsi="Times New Roman"/>
      <w:b/>
      <w:caps/>
      <w:sz w:val="24"/>
      <w:szCs w:val="20"/>
      <w:lang w:eastAsia="fr-FR"/>
    </w:rPr>
  </w:style>
  <w:style w:type="paragraph" w:customStyle="1" w:styleId="OR">
    <w:name w:val="OR"/>
    <w:basedOn w:val="ET"/>
    <w:rsid w:val="00352B7B"/>
    <w:pPr>
      <w:ind w:left="5670"/>
    </w:pPr>
    <w:rPr>
      <w:b w:val="0"/>
      <w:caps w:val="0"/>
    </w:rPr>
  </w:style>
  <w:style w:type="paragraph" w:customStyle="1" w:styleId="PS">
    <w:name w:val="PS"/>
    <w:basedOn w:val="Normal"/>
    <w:link w:val="PSCar"/>
    <w:rsid w:val="00352B7B"/>
    <w:pPr>
      <w:spacing w:after="480" w:line="240" w:lineRule="auto"/>
      <w:ind w:left="1701" w:firstLine="1134"/>
      <w:jc w:val="both"/>
    </w:pPr>
    <w:rPr>
      <w:rFonts w:ascii="Tms Rmn" w:eastAsia="Times New Roman" w:hAnsi="Tms Rmn"/>
      <w:sz w:val="24"/>
      <w:szCs w:val="20"/>
      <w:lang w:eastAsia="fr-FR"/>
    </w:rPr>
  </w:style>
  <w:style w:type="paragraph" w:customStyle="1" w:styleId="AR">
    <w:name w:val="AR"/>
    <w:basedOn w:val="Normal"/>
    <w:rsid w:val="00352B7B"/>
    <w:pPr>
      <w:spacing w:before="720" w:after="720" w:line="240" w:lineRule="auto"/>
      <w:ind w:left="5103"/>
    </w:pPr>
    <w:rPr>
      <w:rFonts w:ascii="Times New Roman" w:eastAsia="Times New Roman" w:hAnsi="Times New Roman"/>
      <w:caps/>
      <w:sz w:val="24"/>
      <w:szCs w:val="20"/>
      <w:u w:val="single"/>
      <w:lang w:eastAsia="fr-FR"/>
    </w:rPr>
  </w:style>
  <w:style w:type="character" w:customStyle="1" w:styleId="PSCar">
    <w:name w:val="PS Car"/>
    <w:link w:val="PS"/>
    <w:rsid w:val="00352B7B"/>
    <w:rPr>
      <w:rFonts w:ascii="Tms Rmn" w:eastAsia="Times New Roman" w:hAnsi="Tms Rmn"/>
      <w:sz w:val="24"/>
    </w:rPr>
  </w:style>
  <w:style w:type="character" w:styleId="Marquedecommentaire">
    <w:name w:val="annotation reference"/>
    <w:uiPriority w:val="99"/>
    <w:semiHidden/>
    <w:unhideWhenUsed/>
    <w:rsid w:val="00352B7B"/>
    <w:rPr>
      <w:sz w:val="16"/>
      <w:szCs w:val="16"/>
    </w:rPr>
  </w:style>
  <w:style w:type="paragraph" w:styleId="Commentaire">
    <w:name w:val="annotation text"/>
    <w:basedOn w:val="Normal"/>
    <w:link w:val="CommentaireCar"/>
    <w:uiPriority w:val="99"/>
    <w:semiHidden/>
    <w:unhideWhenUsed/>
    <w:rsid w:val="00352B7B"/>
    <w:pPr>
      <w:keepLines/>
      <w:spacing w:after="480" w:line="288" w:lineRule="exact"/>
      <w:ind w:left="1701" w:firstLine="1134"/>
      <w:jc w:val="both"/>
    </w:pPr>
    <w:rPr>
      <w:rFonts w:ascii="Tms Rmn" w:eastAsia="Times New Roman" w:hAnsi="Tms Rmn"/>
      <w:sz w:val="20"/>
      <w:szCs w:val="20"/>
      <w:lang w:eastAsia="fr-FR"/>
    </w:rPr>
  </w:style>
  <w:style w:type="character" w:customStyle="1" w:styleId="CommentaireCar">
    <w:name w:val="Commentaire Car"/>
    <w:link w:val="Commentaire"/>
    <w:uiPriority w:val="99"/>
    <w:semiHidden/>
    <w:rsid w:val="00352B7B"/>
    <w:rPr>
      <w:rFonts w:ascii="Tms Rmn" w:eastAsia="Times New Roman" w:hAnsi="Tms Rmn"/>
    </w:rPr>
  </w:style>
  <w:style w:type="paragraph" w:styleId="Textedebulles">
    <w:name w:val="Balloon Text"/>
    <w:basedOn w:val="Normal"/>
    <w:link w:val="TextedebullesCar"/>
    <w:uiPriority w:val="99"/>
    <w:semiHidden/>
    <w:unhideWhenUsed/>
    <w:rsid w:val="00352B7B"/>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352B7B"/>
    <w:rPr>
      <w:rFonts w:ascii="Tahoma" w:hAnsi="Tahoma" w:cs="Tahoma"/>
      <w:sz w:val="16"/>
      <w:szCs w:val="16"/>
      <w:lang w:eastAsia="en-US"/>
    </w:rPr>
  </w:style>
  <w:style w:type="paragraph" w:customStyle="1" w:styleId="enumration2">
    <w:name w:val="enumération 2"/>
    <w:basedOn w:val="Normal"/>
    <w:rsid w:val="00BF43F5"/>
    <w:pPr>
      <w:numPr>
        <w:numId w:val="4"/>
      </w:numPr>
      <w:spacing w:before="120" w:after="120" w:line="240" w:lineRule="auto"/>
      <w:jc w:val="both"/>
    </w:pPr>
    <w:rPr>
      <w:rFonts w:ascii="Times New Roman" w:eastAsia="Times New Roman" w:hAnsi="Times New Roman"/>
      <w:sz w:val="24"/>
      <w:szCs w:val="20"/>
      <w:lang w:eastAsia="fr-FR"/>
    </w:rPr>
  </w:style>
  <w:style w:type="character" w:styleId="Numrodepage">
    <w:name w:val="page number"/>
    <w:rsid w:val="00BF43F5"/>
  </w:style>
  <w:style w:type="paragraph" w:styleId="NormalWeb">
    <w:name w:val="Normal (Web)"/>
    <w:basedOn w:val="Normal"/>
    <w:uiPriority w:val="99"/>
    <w:rsid w:val="00BF43F5"/>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FF7322"/>
    <w:rPr>
      <w:sz w:val="24"/>
      <w:lang w:val="fr-FR" w:eastAsia="fr-FR" w:bidi="ar-SA"/>
    </w:rPr>
  </w:style>
  <w:style w:type="paragraph" w:styleId="En-tte">
    <w:name w:val="header"/>
    <w:basedOn w:val="Normal"/>
    <w:link w:val="En-tteCar"/>
    <w:uiPriority w:val="99"/>
    <w:unhideWhenUsed/>
    <w:rsid w:val="00492FF8"/>
    <w:pPr>
      <w:tabs>
        <w:tab w:val="center" w:pos="4536"/>
        <w:tab w:val="right" w:pos="9072"/>
      </w:tabs>
    </w:pPr>
  </w:style>
  <w:style w:type="character" w:customStyle="1" w:styleId="En-tteCar">
    <w:name w:val="En-tête Car"/>
    <w:link w:val="En-tte"/>
    <w:uiPriority w:val="99"/>
    <w:rsid w:val="00492FF8"/>
    <w:rPr>
      <w:sz w:val="22"/>
      <w:szCs w:val="22"/>
      <w:lang w:eastAsia="en-US"/>
    </w:rPr>
  </w:style>
  <w:style w:type="paragraph" w:styleId="Pieddepage">
    <w:name w:val="footer"/>
    <w:basedOn w:val="Normal"/>
    <w:link w:val="PieddepageCar"/>
    <w:uiPriority w:val="99"/>
    <w:unhideWhenUsed/>
    <w:rsid w:val="00492FF8"/>
    <w:pPr>
      <w:tabs>
        <w:tab w:val="center" w:pos="4536"/>
        <w:tab w:val="right" w:pos="9072"/>
      </w:tabs>
    </w:pPr>
  </w:style>
  <w:style w:type="character" w:customStyle="1" w:styleId="PieddepageCar">
    <w:name w:val="Pied de page Car"/>
    <w:link w:val="Pieddepage"/>
    <w:uiPriority w:val="99"/>
    <w:rsid w:val="00492FF8"/>
    <w:rPr>
      <w:sz w:val="22"/>
      <w:szCs w:val="22"/>
      <w:lang w:eastAsia="en-US"/>
    </w:rPr>
  </w:style>
  <w:style w:type="paragraph" w:customStyle="1" w:styleId="western">
    <w:name w:val="western"/>
    <w:basedOn w:val="Normal"/>
    <w:rsid w:val="00E76DDA"/>
    <w:pPr>
      <w:spacing w:before="100" w:beforeAutospacing="1" w:after="100" w:afterAutospacing="1" w:line="240" w:lineRule="auto"/>
    </w:pPr>
    <w:rPr>
      <w:rFonts w:ascii="Times New Roman" w:eastAsia="Times New Roman" w:hAnsi="Times New Roman"/>
      <w:color w:val="000000"/>
      <w:sz w:val="24"/>
      <w:szCs w:val="24"/>
      <w:lang w:eastAsia="fr-FR"/>
    </w:rPr>
  </w:style>
  <w:style w:type="paragraph" w:customStyle="1" w:styleId="P0">
    <w:name w:val="P0"/>
    <w:basedOn w:val="PS"/>
    <w:link w:val="P0Car"/>
    <w:rsid w:val="00876BD3"/>
    <w:pPr>
      <w:spacing w:after="0"/>
      <w:ind w:firstLine="0"/>
    </w:pPr>
    <w:rPr>
      <w:rFonts w:ascii="Times New Roman" w:hAnsi="Times New Roman"/>
    </w:rPr>
  </w:style>
  <w:style w:type="paragraph" w:customStyle="1" w:styleId="CarCar1CarCarCar">
    <w:name w:val="Car Car1 Car Car Car"/>
    <w:basedOn w:val="Normal"/>
    <w:rsid w:val="00876BD3"/>
    <w:pPr>
      <w:spacing w:after="160" w:line="240" w:lineRule="exact"/>
    </w:pPr>
    <w:rPr>
      <w:rFonts w:ascii="Tahoma" w:eastAsia="Times New Roman" w:hAnsi="Tahoma"/>
      <w:sz w:val="20"/>
      <w:szCs w:val="20"/>
      <w:lang w:val="en-US"/>
    </w:rPr>
  </w:style>
  <w:style w:type="character" w:customStyle="1" w:styleId="P0Car">
    <w:name w:val="P0 Car"/>
    <w:link w:val="P0"/>
    <w:locked/>
    <w:rsid w:val="00876BD3"/>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853884">
      <w:bodyDiv w:val="1"/>
      <w:marLeft w:val="0"/>
      <w:marRight w:val="0"/>
      <w:marTop w:val="0"/>
      <w:marBottom w:val="0"/>
      <w:divBdr>
        <w:top w:val="none" w:sz="0" w:space="0" w:color="auto"/>
        <w:left w:val="none" w:sz="0" w:space="0" w:color="auto"/>
        <w:bottom w:val="none" w:sz="0" w:space="0" w:color="auto"/>
        <w:right w:val="none" w:sz="0" w:space="0" w:color="auto"/>
      </w:divBdr>
    </w:div>
    <w:div w:id="18641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D4BA8-C8C5-47DA-8DB7-490D9231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1948</Words>
  <Characters>10719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pgeoffroy</dc:creator>
  <cp:keywords/>
  <cp:lastModifiedBy>Jean-Pierre Bonin</cp:lastModifiedBy>
  <cp:revision>4</cp:revision>
  <cp:lastPrinted>2013-09-03T07:20:00Z</cp:lastPrinted>
  <dcterms:created xsi:type="dcterms:W3CDTF">2013-09-12T16:02:00Z</dcterms:created>
  <dcterms:modified xsi:type="dcterms:W3CDTF">2013-09-15T16:19:00Z</dcterms:modified>
</cp:coreProperties>
</file>