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443" w:rsidRPr="00D4419F" w:rsidRDefault="00050BB7" w:rsidP="00050BB7">
      <w:pPr>
        <w:spacing w:before="0" w:after="0"/>
        <w:ind w:firstLine="0"/>
        <w:rPr>
          <w:b/>
          <w:caps/>
          <w:szCs w:val="24"/>
        </w:rPr>
      </w:pPr>
      <w:r>
        <w:rPr>
          <w:b/>
          <w:caps/>
          <w:szCs w:val="24"/>
        </w:rPr>
        <w:t xml:space="preserve">  </w:t>
      </w:r>
      <w:r w:rsidR="00512443" w:rsidRPr="00D4419F">
        <w:rPr>
          <w:b/>
          <w:caps/>
          <w:szCs w:val="24"/>
        </w:rPr>
        <w:t>COUR DES COMPTES</w:t>
      </w:r>
    </w:p>
    <w:p w:rsidR="00512443" w:rsidRPr="00D4419F" w:rsidRDefault="00512443" w:rsidP="00050BB7">
      <w:pPr>
        <w:spacing w:before="0" w:after="0"/>
        <w:ind w:firstLine="0"/>
        <w:rPr>
          <w:b/>
          <w:caps/>
          <w:szCs w:val="24"/>
        </w:rPr>
      </w:pPr>
      <w:r w:rsidRPr="00D4419F">
        <w:rPr>
          <w:b/>
          <w:caps/>
          <w:szCs w:val="24"/>
        </w:rPr>
        <w:t xml:space="preserve">               --------</w:t>
      </w:r>
    </w:p>
    <w:p w:rsidR="00512443" w:rsidRPr="00D4419F" w:rsidRDefault="00512443" w:rsidP="00050BB7">
      <w:pPr>
        <w:spacing w:before="0" w:after="0"/>
        <w:ind w:firstLine="0"/>
        <w:rPr>
          <w:b/>
          <w:caps/>
          <w:szCs w:val="24"/>
        </w:rPr>
      </w:pPr>
      <w:r w:rsidRPr="00D4419F">
        <w:rPr>
          <w:b/>
          <w:caps/>
          <w:szCs w:val="24"/>
        </w:rPr>
        <w:t>QUATRIEME CHAMBRE</w:t>
      </w:r>
    </w:p>
    <w:p w:rsidR="00512443" w:rsidRPr="00D4419F" w:rsidRDefault="00512443" w:rsidP="00050BB7">
      <w:pPr>
        <w:spacing w:before="0" w:after="0"/>
        <w:ind w:firstLine="0"/>
        <w:rPr>
          <w:b/>
          <w:caps/>
          <w:szCs w:val="24"/>
        </w:rPr>
      </w:pPr>
      <w:r w:rsidRPr="00D4419F">
        <w:rPr>
          <w:b/>
          <w:caps/>
          <w:szCs w:val="24"/>
        </w:rPr>
        <w:t xml:space="preserve">               --------</w:t>
      </w:r>
    </w:p>
    <w:p w:rsidR="00512443" w:rsidRDefault="00050BB7" w:rsidP="00050BB7">
      <w:pPr>
        <w:spacing w:before="0" w:after="0"/>
        <w:ind w:firstLine="0"/>
        <w:rPr>
          <w:b/>
          <w:caps/>
          <w:szCs w:val="24"/>
        </w:rPr>
      </w:pPr>
      <w:r>
        <w:rPr>
          <w:b/>
          <w:caps/>
          <w:szCs w:val="24"/>
        </w:rPr>
        <w:t xml:space="preserve">  </w:t>
      </w:r>
      <w:r w:rsidR="00512443" w:rsidRPr="00D4419F">
        <w:rPr>
          <w:b/>
          <w:caps/>
          <w:szCs w:val="24"/>
        </w:rPr>
        <w:t>PREMIERE SECTION</w:t>
      </w:r>
    </w:p>
    <w:p w:rsidR="00050BB7" w:rsidRPr="00050BB7" w:rsidRDefault="00050BB7" w:rsidP="00050BB7">
      <w:pPr>
        <w:pStyle w:val="Corpsdetexte"/>
        <w:spacing w:before="0"/>
        <w:ind w:firstLine="0"/>
      </w:pPr>
      <w:r>
        <w:t xml:space="preserve">               --------</w:t>
      </w:r>
    </w:p>
    <w:p w:rsidR="00512443" w:rsidRPr="00050BB7" w:rsidRDefault="00050BB7" w:rsidP="00050BB7">
      <w:pPr>
        <w:pStyle w:val="Corpsdetexte"/>
        <w:ind w:firstLine="0"/>
        <w:rPr>
          <w:b/>
          <w:i/>
          <w:sz w:val="22"/>
          <w:szCs w:val="22"/>
        </w:rPr>
      </w:pPr>
      <w:r>
        <w:rPr>
          <w:b/>
          <w:i/>
          <w:sz w:val="22"/>
          <w:szCs w:val="22"/>
        </w:rPr>
        <w:t xml:space="preserve">            </w:t>
      </w:r>
      <w:r w:rsidR="00512443" w:rsidRPr="00050BB7">
        <w:rPr>
          <w:b/>
          <w:i/>
          <w:sz w:val="22"/>
          <w:szCs w:val="22"/>
        </w:rPr>
        <w:t>Arrêt n°</w:t>
      </w:r>
      <w:r w:rsidRPr="00050BB7">
        <w:rPr>
          <w:b/>
          <w:i/>
          <w:sz w:val="22"/>
          <w:szCs w:val="22"/>
        </w:rPr>
        <w:t xml:space="preserve"> 67934</w:t>
      </w:r>
    </w:p>
    <w:p w:rsidR="00512443" w:rsidRPr="00D4419F" w:rsidRDefault="00290F22" w:rsidP="00050BB7">
      <w:pPr>
        <w:pStyle w:val="Titre2"/>
        <w:numPr>
          <w:ilvl w:val="0"/>
          <w:numId w:val="0"/>
        </w:numPr>
        <w:spacing w:before="120" w:after="160"/>
        <w:ind w:left="3969"/>
        <w:jc w:val="both"/>
        <w:rPr>
          <w:b w:val="0"/>
          <w:caps w:val="0"/>
          <w:szCs w:val="24"/>
        </w:rPr>
      </w:pPr>
      <w:r w:rsidRPr="00D4419F">
        <w:rPr>
          <w:b w:val="0"/>
          <w:caps w:val="0"/>
          <w:szCs w:val="24"/>
        </w:rPr>
        <w:t>MAISON de RETRAITE « FONDATION ROUX » à VERTHEUIL (Gironde)</w:t>
      </w:r>
    </w:p>
    <w:p w:rsidR="00512443" w:rsidRPr="00D4419F" w:rsidRDefault="00512443" w:rsidP="00050BB7">
      <w:pPr>
        <w:pStyle w:val="Titre2"/>
        <w:numPr>
          <w:ilvl w:val="0"/>
          <w:numId w:val="0"/>
        </w:numPr>
        <w:spacing w:before="120" w:after="160"/>
        <w:ind w:left="3969"/>
        <w:jc w:val="both"/>
        <w:rPr>
          <w:b w:val="0"/>
          <w:caps w:val="0"/>
          <w:szCs w:val="24"/>
        </w:rPr>
      </w:pPr>
      <w:r w:rsidRPr="00D4419F">
        <w:rPr>
          <w:b w:val="0"/>
          <w:caps w:val="0"/>
          <w:szCs w:val="24"/>
        </w:rPr>
        <w:t>Appel d’un jugement de la chambre régionale des comptes d</w:t>
      </w:r>
      <w:r w:rsidR="00290F22" w:rsidRPr="00D4419F">
        <w:rPr>
          <w:b w:val="0"/>
          <w:caps w:val="0"/>
          <w:szCs w:val="24"/>
        </w:rPr>
        <w:t>’Aquitaine, Poitou-Charentes</w:t>
      </w:r>
    </w:p>
    <w:p w:rsidR="00512443" w:rsidRPr="00D4419F" w:rsidRDefault="00512443" w:rsidP="00050BB7">
      <w:pPr>
        <w:pStyle w:val="Titre4"/>
        <w:numPr>
          <w:ilvl w:val="0"/>
          <w:numId w:val="0"/>
        </w:numPr>
        <w:spacing w:before="120" w:after="160"/>
        <w:ind w:left="3969"/>
        <w:rPr>
          <w:b w:val="0"/>
          <w:szCs w:val="24"/>
        </w:rPr>
      </w:pPr>
      <w:r w:rsidRPr="00D4419F">
        <w:rPr>
          <w:b w:val="0"/>
          <w:szCs w:val="24"/>
        </w:rPr>
        <w:t>Rapport n° 2013</w:t>
      </w:r>
      <w:r w:rsidR="00B3084B" w:rsidRPr="00D4419F">
        <w:rPr>
          <w:b w:val="0"/>
          <w:szCs w:val="24"/>
        </w:rPr>
        <w:t>-</w:t>
      </w:r>
      <w:r w:rsidR="00EC31BD" w:rsidRPr="00D4419F">
        <w:rPr>
          <w:b w:val="0"/>
          <w:szCs w:val="24"/>
        </w:rPr>
        <w:t>513-0</w:t>
      </w:r>
    </w:p>
    <w:p w:rsidR="00512443" w:rsidRPr="00D4419F" w:rsidRDefault="00512443" w:rsidP="00050BB7">
      <w:pPr>
        <w:spacing w:after="160"/>
        <w:ind w:left="3969" w:firstLine="0"/>
        <w:rPr>
          <w:szCs w:val="24"/>
        </w:rPr>
      </w:pPr>
      <w:r w:rsidRPr="00D4419F">
        <w:rPr>
          <w:szCs w:val="24"/>
        </w:rPr>
        <w:t xml:space="preserve">Audience publique et délibéré du </w:t>
      </w:r>
      <w:r w:rsidR="00EC31BD" w:rsidRPr="00D4419F">
        <w:rPr>
          <w:szCs w:val="24"/>
        </w:rPr>
        <w:t xml:space="preserve">12 </w:t>
      </w:r>
      <w:r w:rsidR="00290F22" w:rsidRPr="00D4419F">
        <w:rPr>
          <w:szCs w:val="24"/>
        </w:rPr>
        <w:t>septembre</w:t>
      </w:r>
      <w:r w:rsidRPr="00D4419F">
        <w:rPr>
          <w:szCs w:val="24"/>
        </w:rPr>
        <w:t xml:space="preserve"> 2013</w:t>
      </w:r>
    </w:p>
    <w:p w:rsidR="00512443" w:rsidRPr="00D4419F" w:rsidRDefault="00512443" w:rsidP="00050BB7">
      <w:pPr>
        <w:ind w:left="3969" w:firstLine="0"/>
        <w:rPr>
          <w:szCs w:val="24"/>
        </w:rPr>
      </w:pPr>
      <w:r w:rsidRPr="00D4419F">
        <w:rPr>
          <w:szCs w:val="24"/>
        </w:rPr>
        <w:t xml:space="preserve">Lecture publique du </w:t>
      </w:r>
      <w:r w:rsidR="00050BB7">
        <w:rPr>
          <w:szCs w:val="24"/>
        </w:rPr>
        <w:t>24 octobre 2013</w:t>
      </w:r>
    </w:p>
    <w:p w:rsidR="00512443" w:rsidRPr="00D4419F" w:rsidRDefault="00512443" w:rsidP="00512443">
      <w:pPr>
        <w:pStyle w:val="Corpsdetexte"/>
        <w:rPr>
          <w:szCs w:val="24"/>
        </w:rPr>
      </w:pPr>
    </w:p>
    <w:p w:rsidR="00050BB7" w:rsidRPr="00050BB7" w:rsidRDefault="00050BB7" w:rsidP="00050BB7">
      <w:pPr>
        <w:pStyle w:val="Corpsdetexte"/>
      </w:pPr>
    </w:p>
    <w:p w:rsidR="00512443" w:rsidRPr="00036E13" w:rsidRDefault="00036E13" w:rsidP="00036E13">
      <w:pPr>
        <w:pStyle w:val="PS"/>
        <w:ind w:left="567" w:firstLine="2268"/>
        <w:jc w:val="left"/>
        <w:rPr>
          <w:rFonts w:ascii="Times New Roman" w:hAnsi="Times New Roman"/>
          <w:szCs w:val="24"/>
        </w:rPr>
      </w:pPr>
      <w:r w:rsidRPr="00036E13">
        <w:rPr>
          <w:rFonts w:ascii="Times New Roman" w:hAnsi="Times New Roman"/>
          <w:szCs w:val="24"/>
        </w:rPr>
        <w:t>LA COUR DES COMPTES a rendu l’arrêt suivant :</w:t>
      </w:r>
    </w:p>
    <w:p w:rsidR="00512443" w:rsidRPr="00D4419F" w:rsidRDefault="00512443" w:rsidP="00512443">
      <w:pPr>
        <w:pStyle w:val="PS"/>
        <w:ind w:left="567" w:firstLine="2268"/>
        <w:jc w:val="left"/>
        <w:rPr>
          <w:rFonts w:ascii="Times New Roman" w:hAnsi="Times New Roman"/>
          <w:szCs w:val="24"/>
        </w:rPr>
      </w:pPr>
      <w:r w:rsidRPr="00D4419F">
        <w:rPr>
          <w:rFonts w:ascii="Times New Roman" w:hAnsi="Times New Roman"/>
          <w:szCs w:val="24"/>
        </w:rPr>
        <w:t>LA COUR,</w:t>
      </w:r>
    </w:p>
    <w:p w:rsidR="00512443" w:rsidRPr="00D4419F" w:rsidRDefault="00512443" w:rsidP="00512443">
      <w:pPr>
        <w:pStyle w:val="PS"/>
        <w:rPr>
          <w:rFonts w:ascii="Times New Roman" w:hAnsi="Times New Roman"/>
          <w:szCs w:val="24"/>
        </w:rPr>
      </w:pPr>
      <w:r w:rsidRPr="00D4419F">
        <w:rPr>
          <w:rFonts w:ascii="Times New Roman" w:hAnsi="Times New Roman"/>
          <w:szCs w:val="24"/>
        </w:rPr>
        <w:t>Vu la requête, enregistrée le 1</w:t>
      </w:r>
      <w:r w:rsidR="00290F22" w:rsidRPr="00D4419F">
        <w:rPr>
          <w:rFonts w:ascii="Times New Roman" w:hAnsi="Times New Roman"/>
          <w:szCs w:val="24"/>
        </w:rPr>
        <w:t xml:space="preserve">2 avril 2013 </w:t>
      </w:r>
      <w:r w:rsidRPr="00D4419F">
        <w:rPr>
          <w:rFonts w:ascii="Times New Roman" w:hAnsi="Times New Roman"/>
          <w:szCs w:val="24"/>
        </w:rPr>
        <w:t xml:space="preserve">au greffe de la chambre régionale des comptes </w:t>
      </w:r>
      <w:r w:rsidR="00290F22" w:rsidRPr="00D4419F">
        <w:rPr>
          <w:rFonts w:ascii="Times New Roman" w:hAnsi="Times New Roman"/>
          <w:szCs w:val="24"/>
        </w:rPr>
        <w:t>d’Aquitaine, Poitou-Charentes</w:t>
      </w:r>
      <w:r w:rsidRPr="00D4419F">
        <w:rPr>
          <w:rFonts w:ascii="Times New Roman" w:hAnsi="Times New Roman"/>
          <w:szCs w:val="24"/>
        </w:rPr>
        <w:t>, par laquelle M</w:t>
      </w:r>
      <w:r w:rsidR="00290F22" w:rsidRPr="00D4419F">
        <w:rPr>
          <w:rFonts w:ascii="Times New Roman" w:hAnsi="Times New Roman"/>
          <w:szCs w:val="24"/>
        </w:rPr>
        <w:t>.</w:t>
      </w:r>
      <w:r w:rsidR="008B1060">
        <w:rPr>
          <w:rFonts w:ascii="Times New Roman" w:hAnsi="Times New Roman"/>
          <w:szCs w:val="24"/>
        </w:rPr>
        <w:t> </w:t>
      </w:r>
      <w:r w:rsidR="00E11CB0">
        <w:rPr>
          <w:rFonts w:ascii="Times New Roman" w:hAnsi="Times New Roman"/>
          <w:szCs w:val="24"/>
        </w:rPr>
        <w:t>X</w:t>
      </w:r>
      <w:r w:rsidR="00290F22" w:rsidRPr="00D4419F">
        <w:rPr>
          <w:rFonts w:ascii="Times New Roman" w:hAnsi="Times New Roman"/>
          <w:szCs w:val="24"/>
        </w:rPr>
        <w:t xml:space="preserve">, comptable de la </w:t>
      </w:r>
      <w:r w:rsidR="00050BB7" w:rsidRPr="008B1060">
        <w:rPr>
          <w:rFonts w:ascii="Times New Roman" w:hAnsi="Times New Roman"/>
          <w:caps/>
          <w:szCs w:val="24"/>
        </w:rPr>
        <w:t>m</w:t>
      </w:r>
      <w:r w:rsidR="00290F22" w:rsidRPr="008B1060">
        <w:rPr>
          <w:rFonts w:ascii="Times New Roman" w:hAnsi="Times New Roman"/>
          <w:caps/>
          <w:szCs w:val="24"/>
        </w:rPr>
        <w:t>aison de retraite</w:t>
      </w:r>
      <w:r w:rsidR="00290F22" w:rsidRPr="00D4419F">
        <w:rPr>
          <w:rFonts w:ascii="Times New Roman" w:hAnsi="Times New Roman"/>
          <w:szCs w:val="24"/>
        </w:rPr>
        <w:t xml:space="preserve"> « </w:t>
      </w:r>
      <w:r w:rsidR="00290F22" w:rsidRPr="008B1060">
        <w:rPr>
          <w:rFonts w:ascii="Times New Roman" w:hAnsi="Times New Roman"/>
          <w:caps/>
          <w:szCs w:val="24"/>
        </w:rPr>
        <w:t>Fondation Roux</w:t>
      </w:r>
      <w:r w:rsidR="00290F22" w:rsidRPr="00D4419F">
        <w:rPr>
          <w:rFonts w:ascii="Times New Roman" w:hAnsi="Times New Roman"/>
          <w:szCs w:val="24"/>
        </w:rPr>
        <w:t xml:space="preserve"> » à </w:t>
      </w:r>
      <w:r w:rsidR="00290F22" w:rsidRPr="008B1060">
        <w:rPr>
          <w:rFonts w:ascii="Times New Roman" w:hAnsi="Times New Roman"/>
          <w:caps/>
          <w:szCs w:val="24"/>
        </w:rPr>
        <w:t>Vertheuil (Gironde</w:t>
      </w:r>
      <w:r w:rsidR="00290F22" w:rsidRPr="00D4419F">
        <w:rPr>
          <w:rFonts w:ascii="Times New Roman" w:hAnsi="Times New Roman"/>
          <w:szCs w:val="24"/>
        </w:rPr>
        <w:t>) au cours des exercices 2003 à 2006</w:t>
      </w:r>
      <w:r w:rsidRPr="00D4419F">
        <w:rPr>
          <w:rFonts w:ascii="Times New Roman" w:hAnsi="Times New Roman"/>
          <w:szCs w:val="24"/>
        </w:rPr>
        <w:t xml:space="preserve">, a élevé appel du jugement </w:t>
      </w:r>
      <w:r w:rsidR="00A50BE3" w:rsidRPr="00D4419F">
        <w:rPr>
          <w:rStyle w:val="CorpsdetexteCarCar"/>
          <w:rFonts w:ascii="Times New Roman" w:hAnsi="Times New Roman"/>
          <w:szCs w:val="24"/>
        </w:rPr>
        <w:t>n°</w:t>
      </w:r>
      <w:r w:rsidR="008B1060">
        <w:rPr>
          <w:rStyle w:val="CorpsdetexteCarCar"/>
          <w:rFonts w:ascii="Times New Roman" w:hAnsi="Times New Roman"/>
          <w:szCs w:val="24"/>
        </w:rPr>
        <w:t> </w:t>
      </w:r>
      <w:r w:rsidR="00A50BE3" w:rsidRPr="00D4419F">
        <w:rPr>
          <w:rStyle w:val="CorpsdetexteCarCar"/>
          <w:rFonts w:ascii="Times New Roman" w:hAnsi="Times New Roman"/>
          <w:szCs w:val="24"/>
        </w:rPr>
        <w:t>2012-0029 du 6</w:t>
      </w:r>
      <w:r w:rsidR="008B1060">
        <w:rPr>
          <w:rStyle w:val="CorpsdetexteCarCar"/>
          <w:rFonts w:ascii="Times New Roman" w:hAnsi="Times New Roman"/>
          <w:szCs w:val="24"/>
        </w:rPr>
        <w:t> </w:t>
      </w:r>
      <w:r w:rsidR="00A50BE3" w:rsidRPr="00D4419F">
        <w:rPr>
          <w:rStyle w:val="CorpsdetexteCarCar"/>
          <w:rFonts w:ascii="Times New Roman" w:hAnsi="Times New Roman"/>
          <w:szCs w:val="24"/>
        </w:rPr>
        <w:t>février</w:t>
      </w:r>
      <w:r w:rsidR="008B1060">
        <w:rPr>
          <w:rStyle w:val="CorpsdetexteCarCar"/>
          <w:rFonts w:ascii="Times New Roman" w:hAnsi="Times New Roman"/>
          <w:szCs w:val="24"/>
        </w:rPr>
        <w:t> </w:t>
      </w:r>
      <w:r w:rsidR="00A50BE3" w:rsidRPr="00D4419F">
        <w:rPr>
          <w:rStyle w:val="CorpsdetexteCarCar"/>
          <w:rFonts w:ascii="Times New Roman" w:hAnsi="Times New Roman"/>
          <w:szCs w:val="24"/>
        </w:rPr>
        <w:t xml:space="preserve">2013 </w:t>
      </w:r>
      <w:r w:rsidRPr="00D4419F">
        <w:rPr>
          <w:rFonts w:ascii="Times New Roman" w:hAnsi="Times New Roman"/>
          <w:szCs w:val="24"/>
        </w:rPr>
        <w:t>par lequel ladite chambre l’a constitué</w:t>
      </w:r>
      <w:r w:rsidR="00E54953" w:rsidRPr="00D4419F">
        <w:rPr>
          <w:rFonts w:ascii="Times New Roman" w:hAnsi="Times New Roman"/>
          <w:szCs w:val="24"/>
        </w:rPr>
        <w:t xml:space="preserve"> débiteur</w:t>
      </w:r>
      <w:r w:rsidRPr="00D4419F">
        <w:rPr>
          <w:rFonts w:ascii="Times New Roman" w:hAnsi="Times New Roman"/>
          <w:szCs w:val="24"/>
        </w:rPr>
        <w:t xml:space="preserve"> des deniers dudit </w:t>
      </w:r>
      <w:r w:rsidR="00E54953" w:rsidRPr="00D4419F">
        <w:rPr>
          <w:rFonts w:ascii="Times New Roman" w:hAnsi="Times New Roman"/>
          <w:szCs w:val="24"/>
        </w:rPr>
        <w:t>établissement</w:t>
      </w:r>
      <w:r w:rsidRPr="00D4419F">
        <w:rPr>
          <w:rFonts w:ascii="Times New Roman" w:hAnsi="Times New Roman"/>
          <w:szCs w:val="24"/>
        </w:rPr>
        <w:t xml:space="preserve"> pour </w:t>
      </w:r>
      <w:r w:rsidR="00E54953" w:rsidRPr="00D4419F">
        <w:rPr>
          <w:rStyle w:val="CorpsdetexteCarCar"/>
          <w:rFonts w:ascii="Times New Roman" w:hAnsi="Times New Roman"/>
          <w:szCs w:val="24"/>
        </w:rPr>
        <w:t>la somme totale de 123 745,38</w:t>
      </w:r>
      <w:r w:rsidR="008B1060">
        <w:rPr>
          <w:rStyle w:val="CorpsdetexteCarCar"/>
          <w:rFonts w:ascii="Times New Roman" w:hAnsi="Times New Roman"/>
          <w:szCs w:val="24"/>
        </w:rPr>
        <w:t> </w:t>
      </w:r>
      <w:r w:rsidR="00E54953" w:rsidRPr="00D4419F">
        <w:rPr>
          <w:rStyle w:val="CorpsdetexteCarCar"/>
          <w:rFonts w:ascii="Times New Roman" w:hAnsi="Times New Roman"/>
          <w:szCs w:val="24"/>
        </w:rPr>
        <w:t>€, augmentée des intérêts de droit calculés à compter du 14 octobre 2010</w:t>
      </w:r>
      <w:r w:rsidR="00FE1F5E">
        <w:rPr>
          <w:rStyle w:val="CorpsdetexteCarCar"/>
          <w:rFonts w:ascii="Times New Roman" w:hAnsi="Times New Roman"/>
          <w:szCs w:val="24"/>
        </w:rPr>
        <w:t> </w:t>
      </w:r>
      <w:r w:rsidR="00FE1F5E">
        <w:rPr>
          <w:rFonts w:ascii="Times New Roman" w:hAnsi="Times New Roman"/>
          <w:szCs w:val="24"/>
        </w:rPr>
        <w:t>;</w:t>
      </w:r>
    </w:p>
    <w:p w:rsidR="00512443" w:rsidRPr="00D4419F" w:rsidRDefault="00512443" w:rsidP="00512443">
      <w:pPr>
        <w:pStyle w:val="PS"/>
        <w:rPr>
          <w:rFonts w:ascii="Times New Roman" w:hAnsi="Times New Roman"/>
          <w:szCs w:val="24"/>
        </w:rPr>
      </w:pPr>
      <w:r w:rsidRPr="00D4419F">
        <w:rPr>
          <w:rFonts w:ascii="Times New Roman" w:hAnsi="Times New Roman"/>
          <w:szCs w:val="24"/>
        </w:rPr>
        <w:t xml:space="preserve">Vu le réquisitoire du Procureur général près la Cour des comptes </w:t>
      </w:r>
      <w:r w:rsidR="00E54953" w:rsidRPr="00D4419F">
        <w:rPr>
          <w:rFonts w:ascii="Times New Roman" w:hAnsi="Times New Roman"/>
          <w:szCs w:val="24"/>
        </w:rPr>
        <w:t>n°</w:t>
      </w:r>
      <w:r w:rsidR="008B1060">
        <w:rPr>
          <w:rFonts w:ascii="Times New Roman" w:hAnsi="Times New Roman"/>
          <w:szCs w:val="24"/>
        </w:rPr>
        <w:t> </w:t>
      </w:r>
      <w:r w:rsidR="00E54953" w:rsidRPr="00D4419F">
        <w:rPr>
          <w:rFonts w:ascii="Times New Roman" w:hAnsi="Times New Roman"/>
          <w:szCs w:val="24"/>
        </w:rPr>
        <w:t>2013-37 du 11 juin 2013</w:t>
      </w:r>
      <w:r w:rsidRPr="00D4419F">
        <w:rPr>
          <w:rFonts w:ascii="Times New Roman" w:hAnsi="Times New Roman"/>
          <w:szCs w:val="24"/>
        </w:rPr>
        <w:t xml:space="preserve"> transmettant la requête à la Cour ;</w:t>
      </w:r>
    </w:p>
    <w:p w:rsidR="00512443" w:rsidRDefault="00512443" w:rsidP="00512443">
      <w:pPr>
        <w:pStyle w:val="PS"/>
        <w:rPr>
          <w:rFonts w:ascii="Times New Roman" w:hAnsi="Times New Roman"/>
          <w:szCs w:val="24"/>
        </w:rPr>
      </w:pPr>
      <w:r w:rsidRPr="00D4419F">
        <w:rPr>
          <w:rFonts w:ascii="Times New Roman" w:hAnsi="Times New Roman"/>
          <w:szCs w:val="24"/>
        </w:rPr>
        <w:t>Vu les pièces de la procédure suivie en première instance ;</w:t>
      </w:r>
    </w:p>
    <w:p w:rsidR="000C136B" w:rsidRPr="00D4419F" w:rsidRDefault="000C136B" w:rsidP="000C136B">
      <w:pPr>
        <w:pStyle w:val="PS"/>
        <w:rPr>
          <w:rFonts w:ascii="Times New Roman" w:hAnsi="Times New Roman"/>
          <w:szCs w:val="24"/>
        </w:rPr>
      </w:pPr>
      <w:r w:rsidRPr="00D4419F">
        <w:rPr>
          <w:rFonts w:ascii="Times New Roman" w:hAnsi="Times New Roman"/>
          <w:szCs w:val="24"/>
        </w:rPr>
        <w:t>Vu le code des juridictions financières ;</w:t>
      </w:r>
    </w:p>
    <w:p w:rsidR="00512443" w:rsidRDefault="00512443" w:rsidP="00512443">
      <w:pPr>
        <w:pStyle w:val="PS"/>
        <w:rPr>
          <w:rFonts w:ascii="Times New Roman" w:hAnsi="Times New Roman"/>
          <w:szCs w:val="24"/>
        </w:rPr>
      </w:pPr>
      <w:r w:rsidRPr="00D4419F">
        <w:rPr>
          <w:rFonts w:ascii="Times New Roman" w:hAnsi="Times New Roman"/>
          <w:szCs w:val="24"/>
        </w:rPr>
        <w:t>Vu le code général des collectivités territoriales ;</w:t>
      </w:r>
    </w:p>
    <w:p w:rsidR="00D4419F" w:rsidRDefault="00D4419F" w:rsidP="008B1060">
      <w:pPr>
        <w:pStyle w:val="PS"/>
        <w:spacing w:after="400"/>
        <w:rPr>
          <w:rFonts w:ascii="Times New Roman" w:hAnsi="Times New Roman"/>
          <w:szCs w:val="24"/>
        </w:rPr>
      </w:pPr>
      <w:r>
        <w:rPr>
          <w:rFonts w:ascii="Times New Roman" w:hAnsi="Times New Roman"/>
          <w:szCs w:val="24"/>
        </w:rPr>
        <w:t>Vu le code de l’aide sociale et des familles ;</w:t>
      </w:r>
    </w:p>
    <w:p w:rsidR="000C136B" w:rsidRPr="00D4419F" w:rsidRDefault="000C136B" w:rsidP="008B1060">
      <w:pPr>
        <w:pStyle w:val="PS"/>
        <w:spacing w:after="400"/>
        <w:rPr>
          <w:rFonts w:ascii="Times New Roman" w:hAnsi="Times New Roman"/>
          <w:szCs w:val="24"/>
        </w:rPr>
      </w:pPr>
      <w:r w:rsidRPr="00D4419F">
        <w:rPr>
          <w:rFonts w:ascii="Times New Roman" w:hAnsi="Times New Roman"/>
          <w:szCs w:val="24"/>
        </w:rPr>
        <w:lastRenderedPageBreak/>
        <w:t>Vu l’article 60 de la loi de finances n°</w:t>
      </w:r>
      <w:r w:rsidR="008B1060">
        <w:rPr>
          <w:rFonts w:ascii="Times New Roman" w:hAnsi="Times New Roman"/>
          <w:szCs w:val="24"/>
        </w:rPr>
        <w:t> </w:t>
      </w:r>
      <w:r w:rsidRPr="00D4419F">
        <w:rPr>
          <w:rFonts w:ascii="Times New Roman" w:hAnsi="Times New Roman"/>
          <w:szCs w:val="24"/>
        </w:rPr>
        <w:t>63-156 du 23 février 1963 modifiée</w:t>
      </w:r>
      <w:r w:rsidR="00FE1F5E">
        <w:rPr>
          <w:rFonts w:ascii="Times New Roman" w:hAnsi="Times New Roman"/>
          <w:szCs w:val="24"/>
        </w:rPr>
        <w:t> ;</w:t>
      </w:r>
    </w:p>
    <w:p w:rsidR="00D4419F" w:rsidRPr="008B1060" w:rsidRDefault="00D4419F" w:rsidP="008B1060">
      <w:pPr>
        <w:pStyle w:val="PS"/>
        <w:spacing w:after="400"/>
        <w:rPr>
          <w:rStyle w:val="Normal1"/>
          <w:rFonts w:ascii="Times New Roman" w:hAnsi="Times New Roman"/>
          <w:szCs w:val="24"/>
        </w:rPr>
      </w:pPr>
      <w:r>
        <w:rPr>
          <w:rFonts w:ascii="Times New Roman" w:hAnsi="Times New Roman"/>
          <w:szCs w:val="24"/>
        </w:rPr>
        <w:t xml:space="preserve">Vu </w:t>
      </w:r>
      <w:r w:rsidRPr="00D4419F">
        <w:rPr>
          <w:rFonts w:ascii="Times New Roman" w:hAnsi="Times New Roman"/>
          <w:szCs w:val="24"/>
        </w:rPr>
        <w:t>la loi n°</w:t>
      </w:r>
      <w:r w:rsidR="008B1060">
        <w:rPr>
          <w:rFonts w:ascii="Times New Roman" w:hAnsi="Times New Roman"/>
          <w:szCs w:val="24"/>
        </w:rPr>
        <w:t> </w:t>
      </w:r>
      <w:r w:rsidRPr="00D4419F">
        <w:rPr>
          <w:rFonts w:ascii="Times New Roman" w:hAnsi="Times New Roman"/>
          <w:szCs w:val="24"/>
        </w:rPr>
        <w:t xml:space="preserve">91-73 du 18 janvier </w:t>
      </w:r>
      <w:r w:rsidRPr="008B1060">
        <w:rPr>
          <w:rFonts w:ascii="Times New Roman" w:hAnsi="Times New Roman"/>
          <w:szCs w:val="24"/>
        </w:rPr>
        <w:t xml:space="preserve">1991 </w:t>
      </w:r>
      <w:r w:rsidRPr="008B1060">
        <w:rPr>
          <w:rStyle w:val="Normal1"/>
          <w:rFonts w:ascii="Times New Roman" w:hAnsi="Times New Roman"/>
          <w:szCs w:val="24"/>
        </w:rPr>
        <w:t>portant dispositions relatives à la santé publique et aux assurances sociales ;</w:t>
      </w:r>
    </w:p>
    <w:p w:rsidR="00D4419F" w:rsidRDefault="00D4419F" w:rsidP="008B1060">
      <w:pPr>
        <w:pStyle w:val="PS"/>
        <w:spacing w:after="400"/>
        <w:rPr>
          <w:rFonts w:ascii="Times New Roman" w:hAnsi="Times New Roman"/>
          <w:szCs w:val="24"/>
        </w:rPr>
      </w:pPr>
      <w:r>
        <w:rPr>
          <w:rFonts w:ascii="Times New Roman" w:hAnsi="Times New Roman"/>
          <w:szCs w:val="24"/>
        </w:rPr>
        <w:t xml:space="preserve">Vu le </w:t>
      </w:r>
      <w:r w:rsidRPr="00D4419F">
        <w:rPr>
          <w:rFonts w:ascii="Times New Roman" w:hAnsi="Times New Roman"/>
          <w:szCs w:val="24"/>
        </w:rPr>
        <w:t>décret n°</w:t>
      </w:r>
      <w:r w:rsidR="008B1060">
        <w:rPr>
          <w:rFonts w:ascii="Times New Roman" w:hAnsi="Times New Roman"/>
          <w:szCs w:val="24"/>
        </w:rPr>
        <w:t> </w:t>
      </w:r>
      <w:r w:rsidRPr="00D4419F">
        <w:rPr>
          <w:rFonts w:ascii="Times New Roman" w:hAnsi="Times New Roman"/>
          <w:szCs w:val="24"/>
        </w:rPr>
        <w:t>93-92 du 19 janvier 1993 relatif à la nouvelle bonification indiciaire attachée à des emplois occupés par certains personnels de la fonction publique hospitalière</w:t>
      </w:r>
      <w:r>
        <w:rPr>
          <w:rFonts w:ascii="Times New Roman" w:hAnsi="Times New Roman"/>
          <w:szCs w:val="24"/>
        </w:rPr>
        <w:t> ;</w:t>
      </w:r>
    </w:p>
    <w:p w:rsidR="00A47334" w:rsidRPr="00D4419F" w:rsidRDefault="00A47334" w:rsidP="008B1060">
      <w:pPr>
        <w:pStyle w:val="PS"/>
        <w:spacing w:after="400"/>
        <w:rPr>
          <w:rFonts w:ascii="Times New Roman" w:hAnsi="Times New Roman"/>
          <w:szCs w:val="24"/>
        </w:rPr>
      </w:pPr>
      <w:r w:rsidRPr="00D4419F">
        <w:rPr>
          <w:rFonts w:ascii="Times New Roman" w:hAnsi="Times New Roman"/>
          <w:szCs w:val="24"/>
        </w:rPr>
        <w:t xml:space="preserve">Vu l’arrêté </w:t>
      </w:r>
      <w:r w:rsidRPr="00D4419F">
        <w:rPr>
          <w:rFonts w:ascii="Times New Roman" w:hAnsi="Times New Roman"/>
          <w:bCs/>
          <w:szCs w:val="24"/>
        </w:rPr>
        <w:t>du 24 mars 1967 relatif aux conditions d'attribution de primes de service aux personnels de certains établissements énumérés à l'article 2 de la loi du 9</w:t>
      </w:r>
      <w:r w:rsidR="00FE1F5E">
        <w:rPr>
          <w:rFonts w:ascii="Times New Roman" w:hAnsi="Times New Roman"/>
          <w:bCs/>
          <w:szCs w:val="24"/>
        </w:rPr>
        <w:t xml:space="preserve"> </w:t>
      </w:r>
      <w:r w:rsidRPr="00D4419F">
        <w:rPr>
          <w:rFonts w:ascii="Times New Roman" w:hAnsi="Times New Roman"/>
          <w:bCs/>
          <w:szCs w:val="24"/>
        </w:rPr>
        <w:t>janvier</w:t>
      </w:r>
      <w:r w:rsidR="00FE1F5E">
        <w:rPr>
          <w:rFonts w:ascii="Times New Roman" w:hAnsi="Times New Roman"/>
          <w:bCs/>
          <w:szCs w:val="24"/>
        </w:rPr>
        <w:t xml:space="preserve"> </w:t>
      </w:r>
      <w:r w:rsidRPr="00D4419F">
        <w:rPr>
          <w:rFonts w:ascii="Times New Roman" w:hAnsi="Times New Roman"/>
          <w:bCs/>
          <w:szCs w:val="24"/>
        </w:rPr>
        <w:t>1986 ;</w:t>
      </w:r>
    </w:p>
    <w:p w:rsidR="003416F8" w:rsidRPr="008B1060" w:rsidRDefault="003416F8" w:rsidP="008B1060">
      <w:pPr>
        <w:pStyle w:val="PS"/>
        <w:spacing w:after="400"/>
        <w:rPr>
          <w:rFonts w:ascii="Times New Roman" w:hAnsi="Times New Roman"/>
          <w:szCs w:val="24"/>
        </w:rPr>
      </w:pPr>
      <w:r>
        <w:rPr>
          <w:rFonts w:ascii="Times New Roman" w:hAnsi="Times New Roman"/>
          <w:szCs w:val="24"/>
        </w:rPr>
        <w:t>Vu l’</w:t>
      </w:r>
      <w:r w:rsidRPr="00D4419F">
        <w:rPr>
          <w:rFonts w:ascii="Times New Roman" w:hAnsi="Times New Roman"/>
          <w:szCs w:val="24"/>
        </w:rPr>
        <w:t xml:space="preserve">arrêté du 8 août </w:t>
      </w:r>
      <w:r w:rsidRPr="003416F8">
        <w:rPr>
          <w:rFonts w:ascii="Times New Roman" w:hAnsi="Times New Roman"/>
          <w:szCs w:val="24"/>
        </w:rPr>
        <w:t xml:space="preserve">2002 </w:t>
      </w:r>
      <w:r w:rsidRPr="008B1060">
        <w:rPr>
          <w:rStyle w:val="Normal1"/>
          <w:rFonts w:ascii="Times New Roman" w:hAnsi="Times New Roman"/>
          <w:szCs w:val="24"/>
        </w:rPr>
        <w:t>relatif à la composition des groupes fonctionnels prévus au I de l'article L.</w:t>
      </w:r>
      <w:r w:rsidR="008B1060">
        <w:rPr>
          <w:rStyle w:val="Normal1"/>
          <w:rFonts w:ascii="Times New Roman" w:hAnsi="Times New Roman"/>
          <w:szCs w:val="24"/>
        </w:rPr>
        <w:t> </w:t>
      </w:r>
      <w:r w:rsidRPr="008B1060">
        <w:rPr>
          <w:rStyle w:val="Normal1"/>
          <w:rFonts w:ascii="Times New Roman" w:hAnsi="Times New Roman"/>
          <w:szCs w:val="24"/>
        </w:rPr>
        <w:t>315-15 du code de l'action sociale et des familles ;</w:t>
      </w:r>
    </w:p>
    <w:p w:rsidR="00512443" w:rsidRPr="00D4419F" w:rsidRDefault="00512443" w:rsidP="008B1060">
      <w:pPr>
        <w:pStyle w:val="PS"/>
        <w:spacing w:after="400"/>
        <w:rPr>
          <w:rFonts w:ascii="Times New Roman" w:hAnsi="Times New Roman"/>
          <w:szCs w:val="24"/>
        </w:rPr>
      </w:pPr>
      <w:r w:rsidRPr="00D4419F">
        <w:rPr>
          <w:rFonts w:ascii="Times New Roman" w:hAnsi="Times New Roman"/>
          <w:szCs w:val="24"/>
        </w:rPr>
        <w:t>Vu le décret n°</w:t>
      </w:r>
      <w:r w:rsidR="00585B7F">
        <w:rPr>
          <w:rFonts w:ascii="Times New Roman" w:hAnsi="Times New Roman"/>
          <w:szCs w:val="24"/>
        </w:rPr>
        <w:t> </w:t>
      </w:r>
      <w:r w:rsidRPr="00D4419F">
        <w:rPr>
          <w:rFonts w:ascii="Times New Roman" w:hAnsi="Times New Roman"/>
          <w:szCs w:val="24"/>
        </w:rPr>
        <w:t>62-1587 du 29 décembre 1962 modifié portant règlement général sur la comptabilité publique, en vigueur au moment des</w:t>
      </w:r>
      <w:r w:rsidR="00FE1F5E">
        <w:rPr>
          <w:rFonts w:ascii="Times New Roman" w:hAnsi="Times New Roman"/>
          <w:szCs w:val="24"/>
        </w:rPr>
        <w:t xml:space="preserve"> </w:t>
      </w:r>
      <w:r w:rsidRPr="00D4419F">
        <w:rPr>
          <w:rFonts w:ascii="Times New Roman" w:hAnsi="Times New Roman"/>
          <w:szCs w:val="24"/>
        </w:rPr>
        <w:t>faits ;</w:t>
      </w:r>
    </w:p>
    <w:p w:rsidR="00512443" w:rsidRPr="00D4419F" w:rsidRDefault="00512443" w:rsidP="008B1060">
      <w:pPr>
        <w:pStyle w:val="PS"/>
        <w:spacing w:after="400"/>
        <w:rPr>
          <w:rFonts w:ascii="Times New Roman" w:hAnsi="Times New Roman"/>
          <w:szCs w:val="24"/>
        </w:rPr>
      </w:pPr>
      <w:r w:rsidRPr="00D4419F">
        <w:rPr>
          <w:rFonts w:ascii="Times New Roman" w:hAnsi="Times New Roman"/>
          <w:szCs w:val="24"/>
        </w:rPr>
        <w:t>Vu le rapport de M.</w:t>
      </w:r>
      <w:r w:rsidR="008B1060">
        <w:rPr>
          <w:rFonts w:ascii="Times New Roman" w:hAnsi="Times New Roman"/>
          <w:szCs w:val="24"/>
        </w:rPr>
        <w:t> </w:t>
      </w:r>
      <w:r w:rsidR="003A76D3" w:rsidRPr="00D4419F">
        <w:rPr>
          <w:rFonts w:ascii="Times New Roman" w:hAnsi="Times New Roman"/>
          <w:szCs w:val="24"/>
        </w:rPr>
        <w:t>Roch-Olivier Maistre</w:t>
      </w:r>
      <w:r w:rsidRPr="00D4419F">
        <w:rPr>
          <w:rFonts w:ascii="Times New Roman" w:hAnsi="Times New Roman"/>
          <w:szCs w:val="24"/>
        </w:rPr>
        <w:t>, conseiller maître ;</w:t>
      </w:r>
    </w:p>
    <w:p w:rsidR="00512443" w:rsidRPr="00D4419F" w:rsidRDefault="00512443" w:rsidP="008B1060">
      <w:pPr>
        <w:pStyle w:val="PS"/>
        <w:spacing w:after="400"/>
        <w:rPr>
          <w:rFonts w:ascii="Times New Roman" w:hAnsi="Times New Roman"/>
          <w:szCs w:val="24"/>
        </w:rPr>
      </w:pPr>
      <w:r w:rsidRPr="00D4419F">
        <w:rPr>
          <w:rFonts w:ascii="Times New Roman" w:hAnsi="Times New Roman"/>
          <w:szCs w:val="24"/>
        </w:rPr>
        <w:t>Vu les conclusions du Procureur général n°</w:t>
      </w:r>
      <w:r w:rsidR="008B1060">
        <w:rPr>
          <w:rFonts w:ascii="Times New Roman" w:hAnsi="Times New Roman"/>
          <w:szCs w:val="24"/>
        </w:rPr>
        <w:t> </w:t>
      </w:r>
      <w:r w:rsidR="005370FE">
        <w:rPr>
          <w:rFonts w:ascii="Times New Roman" w:hAnsi="Times New Roman"/>
          <w:szCs w:val="24"/>
        </w:rPr>
        <w:t xml:space="preserve">589 </w:t>
      </w:r>
      <w:r w:rsidRPr="00D4419F">
        <w:rPr>
          <w:rFonts w:ascii="Times New Roman" w:hAnsi="Times New Roman"/>
          <w:szCs w:val="24"/>
        </w:rPr>
        <w:t xml:space="preserve">en date du </w:t>
      </w:r>
      <w:r w:rsidR="005370FE">
        <w:rPr>
          <w:rFonts w:ascii="Times New Roman" w:hAnsi="Times New Roman"/>
          <w:szCs w:val="24"/>
        </w:rPr>
        <w:t>5</w:t>
      </w:r>
      <w:r w:rsidR="008B1060">
        <w:rPr>
          <w:rFonts w:ascii="Times New Roman" w:hAnsi="Times New Roman"/>
          <w:szCs w:val="24"/>
        </w:rPr>
        <w:t> </w:t>
      </w:r>
      <w:r w:rsidR="005370FE">
        <w:rPr>
          <w:rFonts w:ascii="Times New Roman" w:hAnsi="Times New Roman"/>
          <w:szCs w:val="24"/>
        </w:rPr>
        <w:t>septembre</w:t>
      </w:r>
      <w:r w:rsidR="008B1060">
        <w:rPr>
          <w:rFonts w:ascii="Times New Roman" w:hAnsi="Times New Roman"/>
          <w:szCs w:val="24"/>
        </w:rPr>
        <w:t> </w:t>
      </w:r>
      <w:r w:rsidRPr="00D4419F">
        <w:rPr>
          <w:rFonts w:ascii="Times New Roman" w:hAnsi="Times New Roman"/>
          <w:szCs w:val="24"/>
        </w:rPr>
        <w:t>2013 ;</w:t>
      </w:r>
    </w:p>
    <w:p w:rsidR="00512443" w:rsidRPr="00D4419F" w:rsidRDefault="00512443" w:rsidP="008B1060">
      <w:pPr>
        <w:pStyle w:val="PS"/>
        <w:spacing w:after="400"/>
        <w:rPr>
          <w:rFonts w:ascii="Times New Roman" w:hAnsi="Times New Roman"/>
          <w:szCs w:val="24"/>
        </w:rPr>
      </w:pPr>
      <w:r w:rsidRPr="00D4419F">
        <w:rPr>
          <w:rFonts w:ascii="Times New Roman" w:hAnsi="Times New Roman"/>
          <w:szCs w:val="24"/>
        </w:rPr>
        <w:t>Entendu, lors de l’audience publique de ce jour, M.</w:t>
      </w:r>
      <w:r w:rsidR="008B1060">
        <w:rPr>
          <w:rFonts w:ascii="Times New Roman" w:hAnsi="Times New Roman"/>
          <w:szCs w:val="24"/>
        </w:rPr>
        <w:t> </w:t>
      </w:r>
      <w:r w:rsidR="003A76D3" w:rsidRPr="00D4419F">
        <w:rPr>
          <w:rFonts w:ascii="Times New Roman" w:hAnsi="Times New Roman"/>
          <w:szCs w:val="24"/>
        </w:rPr>
        <w:t>Maistre</w:t>
      </w:r>
      <w:r w:rsidRPr="00D4419F">
        <w:rPr>
          <w:rFonts w:ascii="Times New Roman" w:hAnsi="Times New Roman"/>
          <w:szCs w:val="24"/>
        </w:rPr>
        <w:t>, en</w:t>
      </w:r>
      <w:r w:rsidR="00FE1F5E">
        <w:rPr>
          <w:rFonts w:ascii="Times New Roman" w:hAnsi="Times New Roman"/>
          <w:szCs w:val="24"/>
        </w:rPr>
        <w:t xml:space="preserve"> </w:t>
      </w:r>
      <w:r w:rsidRPr="00D4419F">
        <w:rPr>
          <w:rFonts w:ascii="Times New Roman" w:hAnsi="Times New Roman"/>
          <w:szCs w:val="24"/>
        </w:rPr>
        <w:t>son rapport, M.</w:t>
      </w:r>
      <w:r w:rsidR="008B1060">
        <w:rPr>
          <w:rFonts w:ascii="Times New Roman" w:hAnsi="Times New Roman"/>
          <w:szCs w:val="24"/>
        </w:rPr>
        <w:t> </w:t>
      </w:r>
      <w:r w:rsidR="00EC31BD" w:rsidRPr="00D4419F">
        <w:rPr>
          <w:rFonts w:ascii="Times New Roman" w:hAnsi="Times New Roman"/>
          <w:szCs w:val="24"/>
        </w:rPr>
        <w:t>Gilles Miller</w:t>
      </w:r>
      <w:r w:rsidRPr="00D4419F">
        <w:rPr>
          <w:rFonts w:ascii="Times New Roman" w:hAnsi="Times New Roman"/>
          <w:szCs w:val="24"/>
        </w:rPr>
        <w:t>, avocat général, en les conclusions du ministère public, l’appelant, informé de l’audience, n’étant ni présent</w:t>
      </w:r>
      <w:r w:rsidR="008B1060">
        <w:rPr>
          <w:rFonts w:ascii="Times New Roman" w:hAnsi="Times New Roman"/>
          <w:szCs w:val="24"/>
        </w:rPr>
        <w:t xml:space="preserve"> </w:t>
      </w:r>
      <w:r w:rsidRPr="00D4419F">
        <w:rPr>
          <w:rFonts w:ascii="Times New Roman" w:hAnsi="Times New Roman"/>
          <w:szCs w:val="24"/>
        </w:rPr>
        <w:t>ni</w:t>
      </w:r>
      <w:r w:rsidR="00FE1F5E">
        <w:rPr>
          <w:rFonts w:ascii="Times New Roman" w:hAnsi="Times New Roman"/>
          <w:szCs w:val="24"/>
        </w:rPr>
        <w:t xml:space="preserve"> </w:t>
      </w:r>
      <w:r w:rsidRPr="00D4419F">
        <w:rPr>
          <w:rFonts w:ascii="Times New Roman" w:hAnsi="Times New Roman"/>
          <w:szCs w:val="24"/>
        </w:rPr>
        <w:t>représenté ;</w:t>
      </w:r>
    </w:p>
    <w:p w:rsidR="00512443" w:rsidRPr="00D4419F" w:rsidRDefault="00512443" w:rsidP="008B1060">
      <w:pPr>
        <w:pStyle w:val="PS"/>
        <w:spacing w:after="400"/>
        <w:rPr>
          <w:rFonts w:ascii="Times New Roman" w:hAnsi="Times New Roman"/>
          <w:szCs w:val="24"/>
        </w:rPr>
      </w:pPr>
      <w:r w:rsidRPr="00D4419F">
        <w:rPr>
          <w:rFonts w:ascii="Times New Roman" w:hAnsi="Times New Roman"/>
          <w:szCs w:val="24"/>
        </w:rPr>
        <w:t>Après avoir entendu, en délibéré, M.</w:t>
      </w:r>
      <w:r w:rsidR="008B1060">
        <w:rPr>
          <w:rFonts w:ascii="Times New Roman" w:hAnsi="Times New Roman"/>
          <w:szCs w:val="24"/>
        </w:rPr>
        <w:t> </w:t>
      </w:r>
      <w:r w:rsidR="003A76D3" w:rsidRPr="00D4419F">
        <w:rPr>
          <w:rFonts w:ascii="Times New Roman" w:hAnsi="Times New Roman"/>
          <w:szCs w:val="24"/>
        </w:rPr>
        <w:t>Philippe Geoffroy</w:t>
      </w:r>
      <w:r w:rsidRPr="00D4419F">
        <w:rPr>
          <w:rFonts w:ascii="Times New Roman" w:hAnsi="Times New Roman"/>
          <w:szCs w:val="24"/>
        </w:rPr>
        <w:t>, conseiller maître, en ses observations ;</w:t>
      </w:r>
    </w:p>
    <w:p w:rsidR="00D6600E" w:rsidRPr="00D4419F" w:rsidRDefault="00512443" w:rsidP="008B1060">
      <w:pPr>
        <w:pStyle w:val="PS"/>
        <w:spacing w:after="400"/>
        <w:rPr>
          <w:rFonts w:ascii="Times New Roman" w:hAnsi="Times New Roman"/>
          <w:szCs w:val="24"/>
        </w:rPr>
      </w:pPr>
      <w:r w:rsidRPr="00D4419F">
        <w:rPr>
          <w:rFonts w:ascii="Times New Roman" w:hAnsi="Times New Roman"/>
          <w:szCs w:val="24"/>
        </w:rPr>
        <w:t xml:space="preserve">Attendu que, par le jugement </w:t>
      </w:r>
      <w:r w:rsidR="00B3084B" w:rsidRPr="00D4419F">
        <w:rPr>
          <w:rFonts w:ascii="Times New Roman" w:hAnsi="Times New Roman"/>
          <w:szCs w:val="24"/>
        </w:rPr>
        <w:t>contesté</w:t>
      </w:r>
      <w:r w:rsidRPr="00D4419F">
        <w:rPr>
          <w:rFonts w:ascii="Times New Roman" w:hAnsi="Times New Roman"/>
          <w:szCs w:val="24"/>
        </w:rPr>
        <w:t xml:space="preserve">, la chambre régionale des comptes </w:t>
      </w:r>
      <w:r w:rsidR="00B3084B" w:rsidRPr="00D4419F">
        <w:rPr>
          <w:rFonts w:ascii="Times New Roman" w:hAnsi="Times New Roman"/>
          <w:szCs w:val="24"/>
        </w:rPr>
        <w:t xml:space="preserve">(CRC) </w:t>
      </w:r>
      <w:r w:rsidR="003A76D3" w:rsidRPr="00D4419F">
        <w:rPr>
          <w:rFonts w:ascii="Times New Roman" w:hAnsi="Times New Roman"/>
          <w:szCs w:val="24"/>
        </w:rPr>
        <w:t>d’Aquitaine, Poitou-Charentes</w:t>
      </w:r>
      <w:r w:rsidRPr="00D4419F">
        <w:rPr>
          <w:rFonts w:ascii="Times New Roman" w:hAnsi="Times New Roman"/>
          <w:szCs w:val="24"/>
        </w:rPr>
        <w:t xml:space="preserve"> a </w:t>
      </w:r>
      <w:r w:rsidR="00EC31BD" w:rsidRPr="00D4419F">
        <w:rPr>
          <w:rFonts w:ascii="Times New Roman" w:hAnsi="Times New Roman"/>
          <w:szCs w:val="24"/>
        </w:rPr>
        <w:t xml:space="preserve">révisé </w:t>
      </w:r>
      <w:r w:rsidR="000B6FF8" w:rsidRPr="00D4419F">
        <w:rPr>
          <w:rFonts w:ascii="Times New Roman" w:hAnsi="Times New Roman"/>
          <w:szCs w:val="24"/>
        </w:rPr>
        <w:t>le jugement n°</w:t>
      </w:r>
      <w:r w:rsidR="00EC31BD" w:rsidRPr="00D4419F">
        <w:rPr>
          <w:rFonts w:ascii="Times New Roman" w:hAnsi="Times New Roman"/>
          <w:szCs w:val="24"/>
        </w:rPr>
        <w:t> </w:t>
      </w:r>
      <w:r w:rsidR="000B6FF8" w:rsidRPr="00D4419F">
        <w:rPr>
          <w:rFonts w:ascii="Times New Roman" w:hAnsi="Times New Roman"/>
          <w:szCs w:val="24"/>
        </w:rPr>
        <w:t xml:space="preserve">2011-0014 rendu le 28 avril 2011 </w:t>
      </w:r>
      <w:r w:rsidR="00EC31BD" w:rsidRPr="00D4419F">
        <w:rPr>
          <w:rFonts w:ascii="Times New Roman" w:hAnsi="Times New Roman"/>
          <w:szCs w:val="24"/>
        </w:rPr>
        <w:t xml:space="preserve">par la CRC d’Aquitaine, </w:t>
      </w:r>
      <w:r w:rsidR="000B6FF8" w:rsidRPr="00D4419F">
        <w:rPr>
          <w:rFonts w:ascii="Times New Roman" w:hAnsi="Times New Roman"/>
          <w:szCs w:val="24"/>
        </w:rPr>
        <w:t xml:space="preserve">et </w:t>
      </w:r>
      <w:r w:rsidRPr="00D4419F">
        <w:rPr>
          <w:rFonts w:ascii="Times New Roman" w:hAnsi="Times New Roman"/>
          <w:szCs w:val="24"/>
        </w:rPr>
        <w:t xml:space="preserve">constitué </w:t>
      </w:r>
      <w:r w:rsidR="003A76D3" w:rsidRPr="00D4419F">
        <w:rPr>
          <w:rFonts w:ascii="Times New Roman" w:hAnsi="Times New Roman"/>
          <w:szCs w:val="24"/>
        </w:rPr>
        <w:t>M.</w:t>
      </w:r>
      <w:r w:rsidR="00EC31BD" w:rsidRPr="00D4419F">
        <w:rPr>
          <w:rFonts w:ascii="Times New Roman" w:hAnsi="Times New Roman"/>
          <w:szCs w:val="24"/>
        </w:rPr>
        <w:t> </w:t>
      </w:r>
      <w:r w:rsidR="00E11CB0">
        <w:rPr>
          <w:rFonts w:ascii="Times New Roman" w:hAnsi="Times New Roman"/>
          <w:szCs w:val="24"/>
        </w:rPr>
        <w:t>X</w:t>
      </w:r>
      <w:r w:rsidR="003A76D3" w:rsidRPr="00D4419F">
        <w:rPr>
          <w:rFonts w:ascii="Times New Roman" w:hAnsi="Times New Roman"/>
          <w:szCs w:val="24"/>
        </w:rPr>
        <w:t xml:space="preserve"> débiteur de la </w:t>
      </w:r>
      <w:r w:rsidR="008B1060">
        <w:rPr>
          <w:rFonts w:ascii="Times New Roman" w:hAnsi="Times New Roman"/>
          <w:szCs w:val="24"/>
        </w:rPr>
        <w:t>m</w:t>
      </w:r>
      <w:r w:rsidR="003A76D3" w:rsidRPr="00D4419F">
        <w:rPr>
          <w:rFonts w:ascii="Times New Roman" w:hAnsi="Times New Roman"/>
          <w:szCs w:val="24"/>
        </w:rPr>
        <w:t>aison de retraite « Fondation Roux » à Vertheuil (Gironde)</w:t>
      </w:r>
      <w:r w:rsidRPr="00D4419F">
        <w:rPr>
          <w:rFonts w:ascii="Times New Roman" w:hAnsi="Times New Roman"/>
          <w:szCs w:val="24"/>
        </w:rPr>
        <w:t xml:space="preserve"> </w:t>
      </w:r>
      <w:r w:rsidR="003A76D3" w:rsidRPr="00D4419F">
        <w:rPr>
          <w:rFonts w:ascii="Times New Roman" w:hAnsi="Times New Roman"/>
          <w:szCs w:val="24"/>
        </w:rPr>
        <w:t>à raison d’imputations erronées de diverses dépenses (charges n°</w:t>
      </w:r>
      <w:r w:rsidR="008B1060">
        <w:rPr>
          <w:rFonts w:ascii="Times New Roman" w:hAnsi="Times New Roman"/>
          <w:szCs w:val="24"/>
        </w:rPr>
        <w:t> </w:t>
      </w:r>
      <w:r w:rsidR="003A76D3" w:rsidRPr="00D4419F">
        <w:rPr>
          <w:rFonts w:ascii="Times New Roman" w:hAnsi="Times New Roman"/>
          <w:szCs w:val="24"/>
        </w:rPr>
        <w:t>1 et 2) et du paiement irrégulier de rémunérations accessoires (charge n°</w:t>
      </w:r>
      <w:r w:rsidR="008B1060">
        <w:rPr>
          <w:rFonts w:ascii="Times New Roman" w:hAnsi="Times New Roman"/>
          <w:szCs w:val="24"/>
        </w:rPr>
        <w:t> </w:t>
      </w:r>
      <w:r w:rsidR="003A76D3" w:rsidRPr="00D4419F">
        <w:rPr>
          <w:rFonts w:ascii="Times New Roman" w:hAnsi="Times New Roman"/>
          <w:szCs w:val="24"/>
        </w:rPr>
        <w:t>3) et de nouvelles bonifications indiciaires (charge</w:t>
      </w:r>
      <w:r w:rsidR="00FE1F5E">
        <w:rPr>
          <w:rFonts w:ascii="Times New Roman" w:hAnsi="Times New Roman"/>
          <w:szCs w:val="24"/>
        </w:rPr>
        <w:t xml:space="preserve"> </w:t>
      </w:r>
      <w:r w:rsidR="003A76D3" w:rsidRPr="00D4419F">
        <w:rPr>
          <w:rFonts w:ascii="Times New Roman" w:hAnsi="Times New Roman"/>
          <w:szCs w:val="24"/>
        </w:rPr>
        <w:t>n°</w:t>
      </w:r>
      <w:r w:rsidR="003416F8">
        <w:rPr>
          <w:rFonts w:ascii="Times New Roman" w:hAnsi="Times New Roman"/>
          <w:szCs w:val="24"/>
        </w:rPr>
        <w:t> </w:t>
      </w:r>
      <w:r w:rsidR="003A76D3" w:rsidRPr="00D4419F">
        <w:rPr>
          <w:rFonts w:ascii="Times New Roman" w:hAnsi="Times New Roman"/>
          <w:szCs w:val="24"/>
        </w:rPr>
        <w:t>4) à des agents contractuels</w:t>
      </w:r>
      <w:r w:rsidR="00FE1F5E">
        <w:rPr>
          <w:rFonts w:ascii="Times New Roman" w:hAnsi="Times New Roman"/>
          <w:szCs w:val="24"/>
        </w:rPr>
        <w:t> ;</w:t>
      </w:r>
    </w:p>
    <w:p w:rsidR="00512443" w:rsidRPr="00D4419F" w:rsidRDefault="00512443" w:rsidP="00512443">
      <w:pPr>
        <w:pStyle w:val="PS"/>
        <w:rPr>
          <w:rFonts w:ascii="Times New Roman" w:hAnsi="Times New Roman"/>
          <w:b/>
          <w:szCs w:val="24"/>
        </w:rPr>
      </w:pPr>
      <w:r w:rsidRPr="00D4419F">
        <w:rPr>
          <w:rFonts w:ascii="Times New Roman" w:hAnsi="Times New Roman"/>
          <w:b/>
          <w:szCs w:val="24"/>
        </w:rPr>
        <w:lastRenderedPageBreak/>
        <w:t>Sur le</w:t>
      </w:r>
      <w:r w:rsidR="00AB2992" w:rsidRPr="00D4419F">
        <w:rPr>
          <w:rFonts w:ascii="Times New Roman" w:hAnsi="Times New Roman"/>
          <w:b/>
          <w:szCs w:val="24"/>
        </w:rPr>
        <w:t>s charges n° 1 et 2 : imputations erronées de dépenses</w:t>
      </w:r>
    </w:p>
    <w:p w:rsidR="00AB2992" w:rsidRPr="00D4419F" w:rsidRDefault="00512443" w:rsidP="00AB2992">
      <w:pPr>
        <w:pStyle w:val="PS"/>
        <w:rPr>
          <w:rFonts w:ascii="Times New Roman" w:hAnsi="Times New Roman"/>
          <w:szCs w:val="24"/>
        </w:rPr>
      </w:pPr>
      <w:r w:rsidRPr="00D4419F">
        <w:rPr>
          <w:rFonts w:ascii="Times New Roman" w:hAnsi="Times New Roman"/>
          <w:szCs w:val="24"/>
        </w:rPr>
        <w:t>Attendu</w:t>
      </w:r>
      <w:r w:rsidR="009E42DD" w:rsidRPr="00D4419F">
        <w:rPr>
          <w:rFonts w:ascii="Times New Roman" w:hAnsi="Times New Roman"/>
          <w:szCs w:val="24"/>
        </w:rPr>
        <w:t>, en premier lieu,</w:t>
      </w:r>
      <w:r w:rsidRPr="00D4419F">
        <w:rPr>
          <w:rFonts w:ascii="Times New Roman" w:hAnsi="Times New Roman"/>
          <w:szCs w:val="24"/>
        </w:rPr>
        <w:t xml:space="preserve"> que l’appelant soutient que </w:t>
      </w:r>
      <w:r w:rsidR="00AB2992" w:rsidRPr="00D4419F">
        <w:rPr>
          <w:rFonts w:ascii="Times New Roman" w:hAnsi="Times New Roman"/>
          <w:szCs w:val="24"/>
        </w:rPr>
        <w:t>les imputations au compte 6152 de 53</w:t>
      </w:r>
      <w:r w:rsidR="00FE1F5E">
        <w:rPr>
          <w:rFonts w:ascii="Times New Roman" w:hAnsi="Times New Roman"/>
          <w:szCs w:val="24"/>
        </w:rPr>
        <w:t xml:space="preserve"> </w:t>
      </w:r>
      <w:r w:rsidR="00AB2992" w:rsidRPr="00D4419F">
        <w:rPr>
          <w:rFonts w:ascii="Times New Roman" w:hAnsi="Times New Roman"/>
          <w:szCs w:val="24"/>
        </w:rPr>
        <w:t>mandats (pour un montant de</w:t>
      </w:r>
      <w:r w:rsidR="00FE1F5E">
        <w:rPr>
          <w:rFonts w:ascii="Times New Roman" w:hAnsi="Times New Roman"/>
          <w:szCs w:val="24"/>
        </w:rPr>
        <w:t xml:space="preserve"> </w:t>
      </w:r>
      <w:r w:rsidR="00AB2992" w:rsidRPr="00D4419F">
        <w:rPr>
          <w:rFonts w:ascii="Times New Roman" w:hAnsi="Times New Roman"/>
          <w:szCs w:val="24"/>
        </w:rPr>
        <w:t>24 660,68</w:t>
      </w:r>
      <w:r w:rsidR="00281E8D">
        <w:rPr>
          <w:rFonts w:ascii="Times New Roman" w:hAnsi="Times New Roman"/>
          <w:szCs w:val="24"/>
        </w:rPr>
        <w:t> </w:t>
      </w:r>
      <w:r w:rsidR="00AB2992" w:rsidRPr="00D4419F">
        <w:rPr>
          <w:rFonts w:ascii="Times New Roman" w:hAnsi="Times New Roman"/>
          <w:szCs w:val="24"/>
        </w:rPr>
        <w:t xml:space="preserve">€) et de </w:t>
      </w:r>
      <w:r w:rsidR="00A23A00" w:rsidRPr="00D4419F">
        <w:rPr>
          <w:rFonts w:ascii="Times New Roman" w:hAnsi="Times New Roman"/>
          <w:szCs w:val="24"/>
        </w:rPr>
        <w:t>quatre</w:t>
      </w:r>
      <w:r w:rsidR="00AB2992" w:rsidRPr="00D4419F">
        <w:rPr>
          <w:rFonts w:ascii="Times New Roman" w:hAnsi="Times New Roman"/>
          <w:szCs w:val="24"/>
        </w:rPr>
        <w:t xml:space="preserve"> mandats (pour un montant de 193,04</w:t>
      </w:r>
      <w:r w:rsidR="008B1060">
        <w:rPr>
          <w:rFonts w:ascii="Times New Roman" w:hAnsi="Times New Roman"/>
          <w:szCs w:val="24"/>
        </w:rPr>
        <w:t> </w:t>
      </w:r>
      <w:r w:rsidR="00AB2992" w:rsidRPr="00D4419F">
        <w:rPr>
          <w:rFonts w:ascii="Times New Roman" w:hAnsi="Times New Roman"/>
          <w:szCs w:val="24"/>
        </w:rPr>
        <w:t>€) au titre de l’exercice 2005 et de 71 mandats (pour un montant total de 30 659,95</w:t>
      </w:r>
      <w:r w:rsidR="008B1060">
        <w:rPr>
          <w:rFonts w:ascii="Times New Roman" w:hAnsi="Times New Roman"/>
          <w:szCs w:val="24"/>
        </w:rPr>
        <w:t> </w:t>
      </w:r>
      <w:r w:rsidR="00AB2992" w:rsidRPr="00D4419F">
        <w:rPr>
          <w:rFonts w:ascii="Times New Roman" w:hAnsi="Times New Roman"/>
          <w:szCs w:val="24"/>
        </w:rPr>
        <w:t>€) et de 12</w:t>
      </w:r>
      <w:r w:rsidR="00FE1F5E">
        <w:rPr>
          <w:rFonts w:ascii="Times New Roman" w:hAnsi="Times New Roman"/>
          <w:szCs w:val="24"/>
        </w:rPr>
        <w:t xml:space="preserve"> </w:t>
      </w:r>
      <w:r w:rsidR="00AB2992" w:rsidRPr="00D4419F">
        <w:rPr>
          <w:rFonts w:ascii="Times New Roman" w:hAnsi="Times New Roman"/>
          <w:szCs w:val="24"/>
        </w:rPr>
        <w:t>mandats (pour un montant total de 579,12</w:t>
      </w:r>
      <w:r w:rsidR="008B1060">
        <w:rPr>
          <w:rFonts w:ascii="Times New Roman" w:hAnsi="Times New Roman"/>
          <w:szCs w:val="24"/>
        </w:rPr>
        <w:t> </w:t>
      </w:r>
      <w:r w:rsidR="00AB2992" w:rsidRPr="00D4419F">
        <w:rPr>
          <w:rFonts w:ascii="Times New Roman" w:hAnsi="Times New Roman"/>
          <w:szCs w:val="24"/>
        </w:rPr>
        <w:t>€) au titre de l’exercice</w:t>
      </w:r>
      <w:r w:rsidR="00FE1F5E">
        <w:rPr>
          <w:rFonts w:ascii="Times New Roman" w:hAnsi="Times New Roman"/>
          <w:szCs w:val="24"/>
        </w:rPr>
        <w:t xml:space="preserve"> </w:t>
      </w:r>
      <w:r w:rsidR="00AB2992" w:rsidRPr="00D4419F">
        <w:rPr>
          <w:rFonts w:ascii="Times New Roman" w:hAnsi="Times New Roman"/>
          <w:szCs w:val="24"/>
        </w:rPr>
        <w:t>2006 pouvaient figurer au groupe fonctionnel III « dépenses afférentes à la structure » ;</w:t>
      </w:r>
    </w:p>
    <w:p w:rsidR="00AA4DB8" w:rsidRPr="00D4419F" w:rsidRDefault="000C136B" w:rsidP="00AB2992">
      <w:pPr>
        <w:pStyle w:val="PS"/>
        <w:rPr>
          <w:rFonts w:ascii="Times New Roman" w:hAnsi="Times New Roman"/>
          <w:szCs w:val="24"/>
        </w:rPr>
      </w:pPr>
      <w:r>
        <w:rPr>
          <w:rFonts w:ascii="Times New Roman" w:hAnsi="Times New Roman"/>
          <w:szCs w:val="24"/>
        </w:rPr>
        <w:t>Considérant</w:t>
      </w:r>
      <w:r w:rsidR="00AA4DB8" w:rsidRPr="00D4419F">
        <w:rPr>
          <w:rFonts w:ascii="Times New Roman" w:hAnsi="Times New Roman"/>
          <w:szCs w:val="24"/>
        </w:rPr>
        <w:t xml:space="preserve"> </w:t>
      </w:r>
      <w:r w:rsidR="00AA4DB8" w:rsidRPr="00D4419F">
        <w:rPr>
          <w:rFonts w:ascii="Times New Roman" w:eastAsia="Calibri" w:hAnsi="Times New Roman"/>
          <w:szCs w:val="24"/>
          <w:lang w:eastAsia="en-US"/>
        </w:rPr>
        <w:t>qu’</w:t>
      </w:r>
      <w:r w:rsidR="00AA4DB8" w:rsidRPr="00D4419F">
        <w:rPr>
          <w:rFonts w:ascii="Times New Roman" w:eastAsia="Calibri" w:hAnsi="Times New Roman"/>
          <w:szCs w:val="24"/>
          <w:lang w:val="x-none" w:eastAsia="en-US"/>
        </w:rPr>
        <w:t>aux termes de l’article</w:t>
      </w:r>
      <w:r w:rsidR="00585B7F">
        <w:rPr>
          <w:rFonts w:ascii="Times New Roman" w:eastAsia="Calibri" w:hAnsi="Times New Roman"/>
          <w:szCs w:val="24"/>
          <w:lang w:eastAsia="en-US"/>
        </w:rPr>
        <w:t> </w:t>
      </w:r>
      <w:r w:rsidR="00AA4DB8" w:rsidRPr="00D4419F">
        <w:rPr>
          <w:rFonts w:ascii="Times New Roman" w:eastAsia="Calibri" w:hAnsi="Times New Roman"/>
          <w:szCs w:val="24"/>
          <w:lang w:val="x-none" w:eastAsia="en-US"/>
        </w:rPr>
        <w:t>12 du décret</w:t>
      </w:r>
      <w:r w:rsidR="00FE1F5E">
        <w:rPr>
          <w:rFonts w:ascii="Times New Roman" w:eastAsia="Calibri" w:hAnsi="Times New Roman"/>
          <w:szCs w:val="24"/>
          <w:lang w:eastAsia="en-US"/>
        </w:rPr>
        <w:t xml:space="preserve"> </w:t>
      </w:r>
      <w:r w:rsidR="00AA4DB8" w:rsidRPr="00D4419F">
        <w:rPr>
          <w:rFonts w:ascii="Times New Roman" w:eastAsia="Calibri" w:hAnsi="Times New Roman"/>
          <w:szCs w:val="24"/>
          <w:lang w:val="x-none" w:eastAsia="en-US"/>
        </w:rPr>
        <w:t>du 29</w:t>
      </w:r>
      <w:r w:rsidR="00FE1F5E">
        <w:rPr>
          <w:rFonts w:ascii="Times New Roman" w:eastAsia="Calibri" w:hAnsi="Times New Roman"/>
          <w:szCs w:val="24"/>
          <w:lang w:eastAsia="en-US"/>
        </w:rPr>
        <w:t xml:space="preserve"> </w:t>
      </w:r>
      <w:r w:rsidR="00AA4DB8" w:rsidRPr="00D4419F">
        <w:rPr>
          <w:rFonts w:ascii="Times New Roman" w:eastAsia="Calibri" w:hAnsi="Times New Roman"/>
          <w:szCs w:val="24"/>
          <w:lang w:val="x-none" w:eastAsia="en-US"/>
        </w:rPr>
        <w:t>décembre</w:t>
      </w:r>
      <w:r w:rsidR="00FE1F5E">
        <w:rPr>
          <w:rFonts w:ascii="Times New Roman" w:eastAsia="Calibri" w:hAnsi="Times New Roman"/>
          <w:szCs w:val="24"/>
          <w:lang w:eastAsia="en-US"/>
        </w:rPr>
        <w:t xml:space="preserve"> </w:t>
      </w:r>
      <w:r w:rsidR="00AA4DB8" w:rsidRPr="00D4419F">
        <w:rPr>
          <w:rFonts w:ascii="Times New Roman" w:eastAsia="Calibri" w:hAnsi="Times New Roman"/>
          <w:szCs w:val="24"/>
          <w:lang w:val="x-none" w:eastAsia="en-US"/>
        </w:rPr>
        <w:t>1962</w:t>
      </w:r>
      <w:r w:rsidR="00AA4DB8" w:rsidRPr="00D4419F">
        <w:rPr>
          <w:rFonts w:ascii="Times New Roman" w:eastAsia="Calibri" w:hAnsi="Times New Roman"/>
          <w:szCs w:val="24"/>
          <w:lang w:eastAsia="en-US"/>
        </w:rPr>
        <w:t xml:space="preserve"> précité</w:t>
      </w:r>
      <w:r w:rsidR="00AA4DB8" w:rsidRPr="00D4419F">
        <w:rPr>
          <w:rFonts w:ascii="Times New Roman" w:eastAsia="Calibri" w:hAnsi="Times New Roman"/>
          <w:szCs w:val="24"/>
          <w:lang w:val="x-none" w:eastAsia="en-US"/>
        </w:rPr>
        <w:t>, les comptables sont tenus d’exercer</w:t>
      </w:r>
      <w:r w:rsidR="00FE1F5E">
        <w:rPr>
          <w:rFonts w:ascii="Times New Roman" w:eastAsia="Calibri" w:hAnsi="Times New Roman"/>
          <w:szCs w:val="24"/>
          <w:lang w:eastAsia="en-US"/>
        </w:rPr>
        <w:t xml:space="preserve"> </w:t>
      </w:r>
      <w:proofErr w:type="spellStart"/>
      <w:r w:rsidR="00AA4DB8" w:rsidRPr="00D4419F">
        <w:rPr>
          <w:rFonts w:ascii="Times New Roman" w:eastAsia="Calibri" w:hAnsi="Times New Roman"/>
          <w:szCs w:val="24"/>
          <w:lang w:eastAsia="en-US"/>
        </w:rPr>
        <w:t>e</w:t>
      </w:r>
      <w:r w:rsidR="00AA4DB8" w:rsidRPr="00D4419F">
        <w:rPr>
          <w:rFonts w:ascii="Times New Roman" w:eastAsia="Calibri" w:hAnsi="Times New Roman"/>
          <w:szCs w:val="24"/>
          <w:lang w:val="x-none" w:eastAsia="en-US"/>
        </w:rPr>
        <w:t>n</w:t>
      </w:r>
      <w:proofErr w:type="spellEnd"/>
      <w:r w:rsidR="00AA4DB8" w:rsidRPr="00D4419F">
        <w:rPr>
          <w:rFonts w:ascii="Times New Roman" w:eastAsia="Calibri" w:hAnsi="Times New Roman"/>
          <w:szCs w:val="24"/>
          <w:lang w:val="x-none" w:eastAsia="en-US"/>
        </w:rPr>
        <w:t xml:space="preserve"> matière de dépenses, le contrôle </w:t>
      </w:r>
      <w:r w:rsidR="00AA4DB8" w:rsidRPr="00D4419F">
        <w:rPr>
          <w:rFonts w:ascii="Times New Roman" w:eastAsia="Calibri" w:hAnsi="Times New Roman"/>
          <w:szCs w:val="24"/>
          <w:lang w:eastAsia="en-US"/>
        </w:rPr>
        <w:t>« </w:t>
      </w:r>
      <w:r w:rsidR="00AA4DB8" w:rsidRPr="00D4419F">
        <w:rPr>
          <w:rFonts w:ascii="Times New Roman" w:eastAsia="Calibri" w:hAnsi="Times New Roman"/>
          <w:i/>
          <w:szCs w:val="24"/>
          <w:lang w:eastAsia="en-US"/>
        </w:rPr>
        <w:t>de l’exacte imputation des dépenses aux chapitres qu’elles concernent selon leur nature ou leur objet » ;</w:t>
      </w:r>
    </w:p>
    <w:p w:rsidR="00AA4DB8" w:rsidRPr="008B1060" w:rsidRDefault="000C136B" w:rsidP="00AB2992">
      <w:pPr>
        <w:pStyle w:val="PS"/>
        <w:rPr>
          <w:rStyle w:val="Normal1"/>
          <w:rFonts w:ascii="Times New Roman" w:hAnsi="Times New Roman"/>
          <w:szCs w:val="24"/>
        </w:rPr>
      </w:pPr>
      <w:r>
        <w:rPr>
          <w:rFonts w:ascii="Times New Roman" w:hAnsi="Times New Roman"/>
          <w:szCs w:val="24"/>
        </w:rPr>
        <w:t>Considérant</w:t>
      </w:r>
      <w:r w:rsidR="00AA4DB8" w:rsidRPr="00D4419F">
        <w:rPr>
          <w:rFonts w:ascii="Times New Roman" w:hAnsi="Times New Roman"/>
          <w:szCs w:val="24"/>
        </w:rPr>
        <w:t xml:space="preserve"> </w:t>
      </w:r>
      <w:r w:rsidR="00AB2992" w:rsidRPr="00D4419F">
        <w:rPr>
          <w:rFonts w:ascii="Times New Roman" w:hAnsi="Times New Roman"/>
          <w:szCs w:val="24"/>
        </w:rPr>
        <w:t>qu’il résulte de l’article L.</w:t>
      </w:r>
      <w:r w:rsidR="008B1060">
        <w:rPr>
          <w:rFonts w:ascii="Times New Roman" w:hAnsi="Times New Roman"/>
          <w:szCs w:val="24"/>
        </w:rPr>
        <w:t> </w:t>
      </w:r>
      <w:r w:rsidR="00AB2992" w:rsidRPr="00D4419F">
        <w:rPr>
          <w:rFonts w:ascii="Times New Roman" w:hAnsi="Times New Roman"/>
          <w:szCs w:val="24"/>
        </w:rPr>
        <w:t xml:space="preserve">315-15 du code de l’action sociale et des familles </w:t>
      </w:r>
      <w:r w:rsidR="003416F8">
        <w:rPr>
          <w:rFonts w:ascii="Times New Roman" w:hAnsi="Times New Roman"/>
          <w:szCs w:val="24"/>
        </w:rPr>
        <w:t xml:space="preserve">susvisé </w:t>
      </w:r>
      <w:r w:rsidR="00AB2992" w:rsidRPr="00D4419F">
        <w:rPr>
          <w:rFonts w:ascii="Times New Roman" w:hAnsi="Times New Roman"/>
          <w:szCs w:val="24"/>
        </w:rPr>
        <w:t>que « </w:t>
      </w:r>
      <w:r w:rsidR="00AB2992" w:rsidRPr="00D4419F">
        <w:rPr>
          <w:rFonts w:ascii="Times New Roman" w:hAnsi="Times New Roman"/>
          <w:i/>
          <w:szCs w:val="24"/>
        </w:rPr>
        <w:t>Les autorisations de dépenses et les prévisions de recettes qui figurent au budget sont présentées et votées par groupes fonctionnels, dont la composition est conforme à une nomenclature fixée par arrêté. Les décisions modificatives sont présentées et votées dans les mêmes formes.</w:t>
      </w:r>
      <w:r w:rsidR="00AB2992" w:rsidRPr="00D4419F">
        <w:rPr>
          <w:rFonts w:ascii="Times New Roman" w:hAnsi="Times New Roman"/>
          <w:szCs w:val="24"/>
        </w:rPr>
        <w:t xml:space="preserve"> » ; </w:t>
      </w:r>
      <w:proofErr w:type="gramStart"/>
      <w:r w:rsidR="00AB2992" w:rsidRPr="00D4419F">
        <w:rPr>
          <w:rFonts w:ascii="Times New Roman" w:hAnsi="Times New Roman"/>
          <w:szCs w:val="24"/>
        </w:rPr>
        <w:t>qu</w:t>
      </w:r>
      <w:r w:rsidR="003416F8">
        <w:rPr>
          <w:rFonts w:ascii="Times New Roman" w:hAnsi="Times New Roman"/>
          <w:szCs w:val="24"/>
        </w:rPr>
        <w:t>e</w:t>
      </w:r>
      <w:proofErr w:type="gramEnd"/>
      <w:r w:rsidR="003416F8">
        <w:rPr>
          <w:rFonts w:ascii="Times New Roman" w:hAnsi="Times New Roman"/>
          <w:szCs w:val="24"/>
        </w:rPr>
        <w:t xml:space="preserve"> l’</w:t>
      </w:r>
      <w:r w:rsidR="00AB2992" w:rsidRPr="00D4419F">
        <w:rPr>
          <w:rFonts w:ascii="Times New Roman" w:hAnsi="Times New Roman"/>
          <w:szCs w:val="24"/>
        </w:rPr>
        <w:t xml:space="preserve">arrêté ministériel du 8 août 2002 </w:t>
      </w:r>
      <w:r w:rsidR="003416F8">
        <w:rPr>
          <w:rFonts w:ascii="Times New Roman" w:hAnsi="Times New Roman"/>
          <w:szCs w:val="24"/>
        </w:rPr>
        <w:t xml:space="preserve">susvisé </w:t>
      </w:r>
      <w:r w:rsidR="00B011E9" w:rsidRPr="00D4419F">
        <w:rPr>
          <w:rFonts w:ascii="Times New Roman" w:hAnsi="Times New Roman"/>
          <w:szCs w:val="24"/>
        </w:rPr>
        <w:t>a fixé</w:t>
      </w:r>
      <w:r w:rsidR="00AB2992" w:rsidRPr="00D4419F">
        <w:rPr>
          <w:rStyle w:val="Normal1"/>
          <w:rFonts w:ascii="Times New Roman" w:hAnsi="Times New Roman"/>
          <w:color w:val="000000"/>
          <w:szCs w:val="24"/>
        </w:rPr>
        <w:t xml:space="preserve"> </w:t>
      </w:r>
      <w:r w:rsidR="00AB2992" w:rsidRPr="008B1060">
        <w:rPr>
          <w:rStyle w:val="Normal1"/>
          <w:rFonts w:ascii="Times New Roman" w:hAnsi="Times New Roman"/>
          <w:szCs w:val="24"/>
        </w:rPr>
        <w:t>la composition des</w:t>
      </w:r>
      <w:r w:rsidR="00281E8D" w:rsidRPr="008B1060">
        <w:rPr>
          <w:rStyle w:val="Normal1"/>
          <w:rFonts w:ascii="Times New Roman" w:hAnsi="Times New Roman"/>
          <w:szCs w:val="24"/>
        </w:rPr>
        <w:t>dits</w:t>
      </w:r>
      <w:r w:rsidR="00AB2992" w:rsidRPr="008B1060">
        <w:rPr>
          <w:rStyle w:val="Normal1"/>
          <w:rFonts w:ascii="Times New Roman" w:hAnsi="Times New Roman"/>
          <w:szCs w:val="24"/>
        </w:rPr>
        <w:t xml:space="preserve"> groupes fonctionnels</w:t>
      </w:r>
      <w:r w:rsidR="00FE1F5E">
        <w:rPr>
          <w:rStyle w:val="Normal1"/>
          <w:rFonts w:ascii="Times New Roman" w:hAnsi="Times New Roman"/>
          <w:szCs w:val="24"/>
        </w:rPr>
        <w:t> ;</w:t>
      </w:r>
      <w:r w:rsidR="00B011E9" w:rsidRPr="008B1060">
        <w:rPr>
          <w:rStyle w:val="Normal1"/>
          <w:rFonts w:ascii="Times New Roman" w:hAnsi="Times New Roman"/>
          <w:szCs w:val="24"/>
        </w:rPr>
        <w:t xml:space="preserve"> que </w:t>
      </w:r>
      <w:r w:rsidR="00AA4DB8" w:rsidRPr="008B1060">
        <w:rPr>
          <w:rStyle w:val="Normal1"/>
          <w:rFonts w:ascii="Times New Roman" w:hAnsi="Times New Roman"/>
          <w:szCs w:val="24"/>
        </w:rPr>
        <w:t xml:space="preserve">sont ainsi </w:t>
      </w:r>
      <w:r w:rsidR="00AB2992" w:rsidRPr="008B1060">
        <w:rPr>
          <w:rStyle w:val="Normal1"/>
          <w:rFonts w:ascii="Times New Roman" w:hAnsi="Times New Roman"/>
          <w:szCs w:val="24"/>
        </w:rPr>
        <w:t>distingu</w:t>
      </w:r>
      <w:r w:rsidR="00281E8D" w:rsidRPr="008B1060">
        <w:rPr>
          <w:rStyle w:val="Normal1"/>
          <w:rFonts w:ascii="Times New Roman" w:hAnsi="Times New Roman"/>
          <w:szCs w:val="24"/>
        </w:rPr>
        <w:t>é</w:t>
      </w:r>
      <w:r w:rsidR="00AA4DB8" w:rsidRPr="008B1060">
        <w:rPr>
          <w:rStyle w:val="Normal1"/>
          <w:rFonts w:ascii="Times New Roman" w:hAnsi="Times New Roman"/>
          <w:szCs w:val="24"/>
        </w:rPr>
        <w:t>s</w:t>
      </w:r>
      <w:r w:rsidR="00B011E9" w:rsidRPr="008B1060">
        <w:rPr>
          <w:rStyle w:val="Normal1"/>
          <w:rFonts w:ascii="Times New Roman" w:hAnsi="Times New Roman"/>
          <w:szCs w:val="24"/>
        </w:rPr>
        <w:t>,</w:t>
      </w:r>
      <w:r w:rsidR="00AB2992" w:rsidRPr="008B1060">
        <w:rPr>
          <w:rStyle w:val="Normal1"/>
          <w:rFonts w:ascii="Times New Roman" w:hAnsi="Times New Roman"/>
          <w:szCs w:val="24"/>
        </w:rPr>
        <w:t xml:space="preserve"> en charges d’exploitation</w:t>
      </w:r>
      <w:r w:rsidR="00B011E9" w:rsidRPr="008B1060">
        <w:rPr>
          <w:rStyle w:val="Normal1"/>
          <w:rFonts w:ascii="Times New Roman" w:hAnsi="Times New Roman"/>
          <w:szCs w:val="24"/>
        </w:rPr>
        <w:t>,</w:t>
      </w:r>
      <w:r w:rsidR="00AB2992" w:rsidRPr="008B1060">
        <w:rPr>
          <w:rStyle w:val="Normal1"/>
          <w:rFonts w:ascii="Times New Roman" w:hAnsi="Times New Roman"/>
          <w:szCs w:val="24"/>
        </w:rPr>
        <w:t xml:space="preserve"> le groupe I</w:t>
      </w:r>
      <w:r w:rsidR="00AB2992" w:rsidRPr="00D4419F">
        <w:rPr>
          <w:rStyle w:val="Normal1"/>
          <w:rFonts w:ascii="Times New Roman" w:hAnsi="Times New Roman"/>
          <w:color w:val="000000"/>
          <w:szCs w:val="24"/>
        </w:rPr>
        <w:t xml:space="preserve"> </w:t>
      </w:r>
      <w:r w:rsidR="00AB2992" w:rsidRPr="00D4419F">
        <w:rPr>
          <w:rFonts w:ascii="Times New Roman" w:hAnsi="Times New Roman"/>
          <w:szCs w:val="24"/>
        </w:rPr>
        <w:t>«</w:t>
      </w:r>
      <w:r w:rsidR="00FE1F5E">
        <w:rPr>
          <w:rFonts w:ascii="Times New Roman" w:hAnsi="Times New Roman"/>
          <w:szCs w:val="24"/>
        </w:rPr>
        <w:t> </w:t>
      </w:r>
      <w:r w:rsidR="00281E8D">
        <w:rPr>
          <w:rFonts w:ascii="Times New Roman" w:hAnsi="Times New Roman"/>
          <w:szCs w:val="24"/>
        </w:rPr>
        <w:t>d</w:t>
      </w:r>
      <w:r w:rsidR="00AB2992" w:rsidRPr="00D4419F">
        <w:rPr>
          <w:rFonts w:ascii="Times New Roman" w:hAnsi="Times New Roman"/>
          <w:szCs w:val="24"/>
        </w:rPr>
        <w:t>épenses afférentes à l'exploitation courante</w:t>
      </w:r>
      <w:r w:rsidR="00FE1F5E">
        <w:rPr>
          <w:rFonts w:ascii="Times New Roman" w:hAnsi="Times New Roman"/>
          <w:szCs w:val="24"/>
        </w:rPr>
        <w:t> </w:t>
      </w:r>
      <w:r w:rsidR="00AB2992" w:rsidRPr="00D4419F">
        <w:rPr>
          <w:rFonts w:ascii="Times New Roman" w:hAnsi="Times New Roman"/>
          <w:szCs w:val="24"/>
        </w:rPr>
        <w:t>» ; le groupe II</w:t>
      </w:r>
      <w:r w:rsidR="00995847" w:rsidRPr="00D4419F">
        <w:rPr>
          <w:rFonts w:ascii="Times New Roman" w:hAnsi="Times New Roman"/>
          <w:szCs w:val="24"/>
        </w:rPr>
        <w:t xml:space="preserve"> </w:t>
      </w:r>
      <w:r w:rsidR="00AB2992" w:rsidRPr="00D4419F">
        <w:rPr>
          <w:rFonts w:ascii="Times New Roman" w:hAnsi="Times New Roman"/>
          <w:szCs w:val="24"/>
        </w:rPr>
        <w:t>«</w:t>
      </w:r>
      <w:r w:rsidR="00FE1F5E">
        <w:rPr>
          <w:rFonts w:ascii="Times New Roman" w:hAnsi="Times New Roman"/>
          <w:szCs w:val="24"/>
        </w:rPr>
        <w:t> </w:t>
      </w:r>
      <w:r w:rsidR="00281E8D">
        <w:rPr>
          <w:rFonts w:ascii="Times New Roman" w:hAnsi="Times New Roman"/>
          <w:szCs w:val="24"/>
        </w:rPr>
        <w:t>d</w:t>
      </w:r>
      <w:r w:rsidR="00AB2992" w:rsidRPr="00D4419F">
        <w:rPr>
          <w:rFonts w:ascii="Times New Roman" w:hAnsi="Times New Roman"/>
          <w:szCs w:val="24"/>
        </w:rPr>
        <w:t>épenses afférentes au personnel</w:t>
      </w:r>
      <w:r w:rsidR="00FE1F5E">
        <w:rPr>
          <w:rFonts w:hint="eastAsia"/>
        </w:rPr>
        <w:t> </w:t>
      </w:r>
      <w:r w:rsidR="00AB2992" w:rsidRPr="00D4419F">
        <w:rPr>
          <w:rFonts w:ascii="Times New Roman" w:hAnsi="Times New Roman"/>
          <w:szCs w:val="24"/>
        </w:rPr>
        <w:t xml:space="preserve">» ; le </w:t>
      </w:r>
      <w:r w:rsidR="00AB2992" w:rsidRPr="008B1060">
        <w:rPr>
          <w:rStyle w:val="Normal1"/>
          <w:rFonts w:ascii="Times New Roman" w:hAnsi="Times New Roman"/>
          <w:szCs w:val="24"/>
        </w:rPr>
        <w:t>groupe III</w:t>
      </w:r>
      <w:r w:rsidR="00AB2992" w:rsidRPr="00D4419F">
        <w:rPr>
          <w:rFonts w:ascii="Times New Roman" w:hAnsi="Times New Roman"/>
          <w:szCs w:val="24"/>
        </w:rPr>
        <w:t xml:space="preserve"> «</w:t>
      </w:r>
      <w:r w:rsidR="00FE1F5E">
        <w:rPr>
          <w:rFonts w:ascii="Times New Roman" w:hAnsi="Times New Roman"/>
          <w:szCs w:val="24"/>
        </w:rPr>
        <w:t> </w:t>
      </w:r>
      <w:r w:rsidR="00281E8D">
        <w:rPr>
          <w:rFonts w:ascii="Times New Roman" w:hAnsi="Times New Roman"/>
          <w:szCs w:val="24"/>
        </w:rPr>
        <w:t>d</w:t>
      </w:r>
      <w:r w:rsidR="00AB2992" w:rsidRPr="00D4419F">
        <w:rPr>
          <w:rFonts w:ascii="Times New Roman" w:hAnsi="Times New Roman"/>
          <w:szCs w:val="24"/>
        </w:rPr>
        <w:t>épenses afférentes à la structure</w:t>
      </w:r>
      <w:r w:rsidR="00FE1F5E">
        <w:rPr>
          <w:rFonts w:ascii="Times New Roman" w:hAnsi="Times New Roman"/>
          <w:szCs w:val="24"/>
        </w:rPr>
        <w:t> </w:t>
      </w:r>
      <w:r w:rsidR="00AB2992" w:rsidRPr="00D4419F">
        <w:rPr>
          <w:rFonts w:ascii="Times New Roman" w:hAnsi="Times New Roman"/>
          <w:szCs w:val="24"/>
        </w:rPr>
        <w:t>», groupe dont relève</w:t>
      </w:r>
      <w:r w:rsidR="00AB2992" w:rsidRPr="00D4419F">
        <w:rPr>
          <w:rStyle w:val="Normal1"/>
          <w:rFonts w:ascii="Times New Roman" w:hAnsi="Times New Roman"/>
          <w:color w:val="000000"/>
          <w:szCs w:val="24"/>
        </w:rPr>
        <w:t xml:space="preserve"> </w:t>
      </w:r>
      <w:r w:rsidR="00AB2992" w:rsidRPr="008B1060">
        <w:rPr>
          <w:rStyle w:val="Normal1"/>
          <w:rFonts w:ascii="Times New Roman" w:hAnsi="Times New Roman"/>
          <w:szCs w:val="24"/>
        </w:rPr>
        <w:t>le compte 6152 « entretien et répara</w:t>
      </w:r>
      <w:r w:rsidR="00281E8D" w:rsidRPr="008B1060">
        <w:rPr>
          <w:rStyle w:val="Normal1"/>
          <w:rFonts w:ascii="Times New Roman" w:hAnsi="Times New Roman"/>
          <w:szCs w:val="24"/>
        </w:rPr>
        <w:t>tions sur biens immobiliers » ;</w:t>
      </w:r>
    </w:p>
    <w:p w:rsidR="00D61300" w:rsidRPr="000C136B" w:rsidRDefault="00AA4DB8" w:rsidP="000C136B">
      <w:pPr>
        <w:pStyle w:val="PS"/>
        <w:rPr>
          <w:rFonts w:ascii="Times New Roman" w:hAnsi="Times New Roman"/>
          <w:color w:val="000000"/>
          <w:szCs w:val="24"/>
        </w:rPr>
      </w:pPr>
      <w:r w:rsidRPr="008B1060">
        <w:rPr>
          <w:rStyle w:val="Normal1"/>
          <w:rFonts w:ascii="Times New Roman" w:hAnsi="Times New Roman"/>
          <w:szCs w:val="24"/>
        </w:rPr>
        <w:t xml:space="preserve">Considérant </w:t>
      </w:r>
      <w:r w:rsidR="00A23A00" w:rsidRPr="008B1060">
        <w:rPr>
          <w:rStyle w:val="Normal1"/>
          <w:rFonts w:ascii="Times New Roman" w:hAnsi="Times New Roman"/>
          <w:szCs w:val="24"/>
        </w:rPr>
        <w:t>qu’il résulte de</w:t>
      </w:r>
      <w:r w:rsidR="000C136B" w:rsidRPr="008B1060">
        <w:rPr>
          <w:rStyle w:val="Normal1"/>
          <w:rFonts w:ascii="Times New Roman" w:hAnsi="Times New Roman"/>
          <w:szCs w:val="24"/>
        </w:rPr>
        <w:t>s</w:t>
      </w:r>
      <w:r w:rsidR="00A23A00" w:rsidRPr="008B1060">
        <w:rPr>
          <w:rStyle w:val="Normal1"/>
          <w:rFonts w:ascii="Times New Roman" w:hAnsi="Times New Roman"/>
          <w:szCs w:val="24"/>
        </w:rPr>
        <w:t xml:space="preserve"> dispositions </w:t>
      </w:r>
      <w:r w:rsidR="000C136B" w:rsidRPr="008B1060">
        <w:rPr>
          <w:rStyle w:val="Normal1"/>
          <w:rFonts w:ascii="Times New Roman" w:hAnsi="Times New Roman"/>
          <w:szCs w:val="24"/>
        </w:rPr>
        <w:t xml:space="preserve">ainsi rappelées </w:t>
      </w:r>
      <w:r w:rsidRPr="008B1060">
        <w:rPr>
          <w:rStyle w:val="Normal1"/>
          <w:rFonts w:ascii="Times New Roman" w:hAnsi="Times New Roman"/>
          <w:szCs w:val="24"/>
        </w:rPr>
        <w:t xml:space="preserve">qu’il revient au comptable de suspendre un paiement </w:t>
      </w:r>
      <w:r w:rsidR="00281E8D" w:rsidRPr="008B1060">
        <w:rPr>
          <w:rStyle w:val="Normal1"/>
          <w:rFonts w:ascii="Times New Roman" w:hAnsi="Times New Roman"/>
          <w:szCs w:val="24"/>
        </w:rPr>
        <w:t xml:space="preserve">pour lequel </w:t>
      </w:r>
      <w:r w:rsidRPr="008B1060">
        <w:rPr>
          <w:rStyle w:val="Normal1"/>
          <w:rFonts w:ascii="Times New Roman" w:hAnsi="Times New Roman"/>
          <w:szCs w:val="24"/>
        </w:rPr>
        <w:t xml:space="preserve">l’imputation </w:t>
      </w:r>
      <w:r w:rsidR="00A23A00" w:rsidRPr="008B1060">
        <w:rPr>
          <w:rStyle w:val="Normal1"/>
          <w:rFonts w:ascii="Times New Roman" w:hAnsi="Times New Roman"/>
          <w:szCs w:val="24"/>
        </w:rPr>
        <w:t xml:space="preserve">comptable proposée par l’ordonnateur relève </w:t>
      </w:r>
      <w:r w:rsidRPr="008B1060">
        <w:rPr>
          <w:rStyle w:val="Normal1"/>
          <w:rFonts w:ascii="Times New Roman" w:hAnsi="Times New Roman"/>
          <w:szCs w:val="24"/>
        </w:rPr>
        <w:t>d’un groupe fonctionnel erroné ;</w:t>
      </w:r>
      <w:r w:rsidR="000C136B" w:rsidRPr="008B1060">
        <w:rPr>
          <w:rStyle w:val="Normal1"/>
          <w:rFonts w:ascii="Times New Roman" w:hAnsi="Times New Roman"/>
          <w:szCs w:val="24"/>
        </w:rPr>
        <w:t xml:space="preserve"> </w:t>
      </w:r>
      <w:r w:rsidR="000C136B" w:rsidRPr="008B1060">
        <w:rPr>
          <w:rFonts w:ascii="Times New Roman" w:hAnsi="Times New Roman"/>
          <w:szCs w:val="24"/>
        </w:rPr>
        <w:t>qu’en l’espèce</w:t>
      </w:r>
      <w:r w:rsidR="00D61300" w:rsidRPr="008B1060">
        <w:rPr>
          <w:rFonts w:ascii="Times New Roman" w:hAnsi="Times New Roman"/>
          <w:szCs w:val="24"/>
        </w:rPr>
        <w:t xml:space="preserve"> les mandats </w:t>
      </w:r>
      <w:r w:rsidRPr="008B1060">
        <w:rPr>
          <w:rFonts w:ascii="Times New Roman" w:hAnsi="Times New Roman"/>
          <w:szCs w:val="24"/>
        </w:rPr>
        <w:t xml:space="preserve">litigieux </w:t>
      </w:r>
      <w:r w:rsidR="00D61300" w:rsidRPr="008B1060">
        <w:rPr>
          <w:rFonts w:ascii="Times New Roman" w:hAnsi="Times New Roman"/>
          <w:szCs w:val="24"/>
        </w:rPr>
        <w:t>concernent de</w:t>
      </w:r>
      <w:r w:rsidR="00A23A00" w:rsidRPr="008B1060">
        <w:rPr>
          <w:rFonts w:ascii="Times New Roman" w:hAnsi="Times New Roman"/>
          <w:szCs w:val="24"/>
        </w:rPr>
        <w:t xml:space="preserve">s </w:t>
      </w:r>
      <w:r w:rsidR="00D61300" w:rsidRPr="008B1060">
        <w:rPr>
          <w:rFonts w:ascii="Times New Roman" w:hAnsi="Times New Roman"/>
          <w:szCs w:val="24"/>
        </w:rPr>
        <w:t>fournitures</w:t>
      </w:r>
      <w:r w:rsidR="00A23A00" w:rsidRPr="00D4419F">
        <w:rPr>
          <w:rFonts w:ascii="Times New Roman" w:hAnsi="Times New Roman"/>
          <w:szCs w:val="24"/>
        </w:rPr>
        <w:t xml:space="preserve"> courantes</w:t>
      </w:r>
      <w:r w:rsidR="00D61300" w:rsidRPr="00D4419F">
        <w:rPr>
          <w:rFonts w:ascii="Times New Roman" w:hAnsi="Times New Roman"/>
          <w:szCs w:val="24"/>
        </w:rPr>
        <w:t xml:space="preserve"> et des prestations de nettoyage, dépenses relevant toutes </w:t>
      </w:r>
      <w:r w:rsidRPr="00D4419F">
        <w:rPr>
          <w:rFonts w:ascii="Times New Roman" w:hAnsi="Times New Roman"/>
          <w:szCs w:val="24"/>
        </w:rPr>
        <w:t xml:space="preserve">de </w:t>
      </w:r>
      <w:r w:rsidR="00D61300" w:rsidRPr="00D4419F">
        <w:rPr>
          <w:rFonts w:ascii="Times New Roman" w:hAnsi="Times New Roman"/>
          <w:szCs w:val="24"/>
        </w:rPr>
        <w:t>l'exploitation courante</w:t>
      </w:r>
      <w:r w:rsidRPr="00D4419F">
        <w:rPr>
          <w:rFonts w:ascii="Times New Roman" w:hAnsi="Times New Roman"/>
          <w:szCs w:val="24"/>
        </w:rPr>
        <w:t>, donc du groupe I</w:t>
      </w:r>
      <w:r w:rsidR="00FE1F5E">
        <w:rPr>
          <w:rFonts w:ascii="Times New Roman" w:hAnsi="Times New Roman"/>
          <w:szCs w:val="24"/>
        </w:rPr>
        <w:t> </w:t>
      </w:r>
      <w:r w:rsidR="00D61300" w:rsidRPr="00D4419F">
        <w:rPr>
          <w:rFonts w:ascii="Times New Roman" w:hAnsi="Times New Roman"/>
          <w:szCs w:val="24"/>
        </w:rPr>
        <w:t>; qu’</w:t>
      </w:r>
      <w:r w:rsidRPr="00D4419F">
        <w:rPr>
          <w:rFonts w:ascii="Times New Roman" w:hAnsi="Times New Roman"/>
          <w:szCs w:val="24"/>
        </w:rPr>
        <w:t xml:space="preserve">il y a donc lieu de rejeter </w:t>
      </w:r>
      <w:r w:rsidR="00A23A00" w:rsidRPr="00D4419F">
        <w:rPr>
          <w:rFonts w:ascii="Times New Roman" w:hAnsi="Times New Roman"/>
          <w:szCs w:val="24"/>
        </w:rPr>
        <w:t>c</w:t>
      </w:r>
      <w:r w:rsidRPr="00D4419F">
        <w:rPr>
          <w:rFonts w:ascii="Times New Roman" w:hAnsi="Times New Roman"/>
          <w:szCs w:val="24"/>
        </w:rPr>
        <w:t xml:space="preserve">e </w:t>
      </w:r>
      <w:r w:rsidR="00A23A00" w:rsidRPr="00D4419F">
        <w:rPr>
          <w:rFonts w:ascii="Times New Roman" w:hAnsi="Times New Roman"/>
          <w:szCs w:val="24"/>
        </w:rPr>
        <w:t xml:space="preserve">premier </w:t>
      </w:r>
      <w:r w:rsidRPr="00D4419F">
        <w:rPr>
          <w:rFonts w:ascii="Times New Roman" w:hAnsi="Times New Roman"/>
          <w:szCs w:val="24"/>
        </w:rPr>
        <w:t>moyen</w:t>
      </w:r>
      <w:r w:rsidR="00FE1F5E">
        <w:rPr>
          <w:rFonts w:ascii="Times New Roman" w:hAnsi="Times New Roman"/>
          <w:szCs w:val="24"/>
        </w:rPr>
        <w:t> </w:t>
      </w:r>
      <w:r w:rsidR="00281E8D">
        <w:rPr>
          <w:rFonts w:ascii="Times New Roman" w:hAnsi="Times New Roman"/>
          <w:szCs w:val="24"/>
        </w:rPr>
        <w:t>;</w:t>
      </w:r>
    </w:p>
    <w:p w:rsidR="009E42DD" w:rsidRPr="00D4419F" w:rsidRDefault="009E42DD" w:rsidP="00D61300">
      <w:pPr>
        <w:pStyle w:val="PS"/>
        <w:rPr>
          <w:rFonts w:ascii="Times New Roman" w:hAnsi="Times New Roman"/>
          <w:szCs w:val="24"/>
        </w:rPr>
      </w:pPr>
      <w:r w:rsidRPr="00D4419F">
        <w:rPr>
          <w:rFonts w:ascii="Times New Roman" w:hAnsi="Times New Roman"/>
          <w:szCs w:val="24"/>
        </w:rPr>
        <w:t>Attendu, en second lieu, que le comptable estime que, « </w:t>
      </w:r>
      <w:r w:rsidRPr="00D4419F">
        <w:rPr>
          <w:rFonts w:ascii="Times New Roman" w:hAnsi="Times New Roman"/>
          <w:i/>
          <w:szCs w:val="24"/>
        </w:rPr>
        <w:t>contrairement à ce qui est soutenu </w:t>
      </w:r>
      <w:r w:rsidRPr="00D4419F">
        <w:rPr>
          <w:rFonts w:ascii="Times New Roman" w:hAnsi="Times New Roman"/>
          <w:szCs w:val="24"/>
        </w:rPr>
        <w:t xml:space="preserve">» par le jugement, ses écritures en date du 20 avril 2011 mentionnaient bien l’argumentation </w:t>
      </w:r>
      <w:r w:rsidR="00A23A00" w:rsidRPr="00D4419F">
        <w:rPr>
          <w:rFonts w:ascii="Times New Roman" w:hAnsi="Times New Roman"/>
          <w:szCs w:val="24"/>
        </w:rPr>
        <w:t xml:space="preserve">développée au moyen </w:t>
      </w:r>
      <w:r w:rsidR="00281E8D">
        <w:rPr>
          <w:rFonts w:ascii="Times New Roman" w:hAnsi="Times New Roman"/>
          <w:szCs w:val="24"/>
        </w:rPr>
        <w:t>précédent</w:t>
      </w:r>
      <w:r w:rsidR="00FE1F5E">
        <w:rPr>
          <w:rFonts w:ascii="Times New Roman" w:hAnsi="Times New Roman"/>
          <w:szCs w:val="24"/>
        </w:rPr>
        <w:t> </w:t>
      </w:r>
      <w:r w:rsidRPr="00D4419F">
        <w:rPr>
          <w:rFonts w:ascii="Times New Roman" w:hAnsi="Times New Roman"/>
          <w:szCs w:val="24"/>
        </w:rPr>
        <w:t>;</w:t>
      </w:r>
    </w:p>
    <w:p w:rsidR="00AA4DB8" w:rsidRPr="00D4419F" w:rsidRDefault="000C136B" w:rsidP="00D61300">
      <w:pPr>
        <w:pStyle w:val="PS"/>
        <w:rPr>
          <w:rFonts w:ascii="Times New Roman" w:hAnsi="Times New Roman"/>
          <w:szCs w:val="24"/>
        </w:rPr>
      </w:pPr>
      <w:r>
        <w:rPr>
          <w:rFonts w:ascii="Times New Roman" w:hAnsi="Times New Roman"/>
          <w:szCs w:val="24"/>
        </w:rPr>
        <w:t>Considérant</w:t>
      </w:r>
      <w:r w:rsidR="00AA4DB8" w:rsidRPr="00D4419F">
        <w:rPr>
          <w:rFonts w:ascii="Times New Roman" w:hAnsi="Times New Roman"/>
          <w:szCs w:val="24"/>
        </w:rPr>
        <w:t xml:space="preserve"> qu’en application des </w:t>
      </w:r>
      <w:r w:rsidR="00D61300" w:rsidRPr="00D4419F">
        <w:rPr>
          <w:rFonts w:ascii="Times New Roman" w:hAnsi="Times New Roman"/>
          <w:szCs w:val="24"/>
        </w:rPr>
        <w:t>dispositions de l’article</w:t>
      </w:r>
      <w:r w:rsidR="00FE1F5E">
        <w:rPr>
          <w:rFonts w:ascii="Times New Roman" w:hAnsi="Times New Roman"/>
          <w:szCs w:val="24"/>
        </w:rPr>
        <w:t xml:space="preserve"> </w:t>
      </w:r>
      <w:r w:rsidR="00D61300" w:rsidRPr="00D4419F">
        <w:rPr>
          <w:rFonts w:ascii="Times New Roman" w:hAnsi="Times New Roman"/>
          <w:szCs w:val="24"/>
        </w:rPr>
        <w:t>R.</w:t>
      </w:r>
      <w:r w:rsidR="009E42DD" w:rsidRPr="00D4419F">
        <w:rPr>
          <w:rFonts w:ascii="Times New Roman" w:hAnsi="Times New Roman"/>
          <w:szCs w:val="24"/>
        </w:rPr>
        <w:t> </w:t>
      </w:r>
      <w:r w:rsidR="00D61300" w:rsidRPr="00D4419F">
        <w:rPr>
          <w:rFonts w:ascii="Times New Roman" w:hAnsi="Times New Roman"/>
          <w:szCs w:val="24"/>
        </w:rPr>
        <w:t>241-41 du code des juridictions financières</w:t>
      </w:r>
      <w:r w:rsidR="00281E8D">
        <w:rPr>
          <w:rFonts w:ascii="Times New Roman" w:hAnsi="Times New Roman"/>
          <w:szCs w:val="24"/>
        </w:rPr>
        <w:t xml:space="preserve"> susvisé</w:t>
      </w:r>
      <w:r w:rsidR="00D61300" w:rsidRPr="00D4419F">
        <w:rPr>
          <w:rFonts w:ascii="Times New Roman" w:hAnsi="Times New Roman"/>
          <w:szCs w:val="24"/>
        </w:rPr>
        <w:t xml:space="preserve">, le jugement </w:t>
      </w:r>
      <w:r w:rsidR="00AA4DB8" w:rsidRPr="00D4419F">
        <w:rPr>
          <w:rFonts w:ascii="Times New Roman" w:hAnsi="Times New Roman"/>
          <w:szCs w:val="24"/>
        </w:rPr>
        <w:t xml:space="preserve">doit être </w:t>
      </w:r>
      <w:r w:rsidR="00D61300" w:rsidRPr="00D4419F">
        <w:rPr>
          <w:rFonts w:ascii="Times New Roman" w:hAnsi="Times New Roman"/>
          <w:szCs w:val="24"/>
        </w:rPr>
        <w:t>motivé et statue</w:t>
      </w:r>
      <w:r w:rsidR="00AA4DB8" w:rsidRPr="00D4419F">
        <w:rPr>
          <w:rFonts w:ascii="Times New Roman" w:hAnsi="Times New Roman"/>
          <w:szCs w:val="24"/>
        </w:rPr>
        <w:t>r</w:t>
      </w:r>
      <w:r w:rsidR="00D61300" w:rsidRPr="00D4419F">
        <w:rPr>
          <w:rFonts w:ascii="Times New Roman" w:hAnsi="Times New Roman"/>
          <w:szCs w:val="24"/>
        </w:rPr>
        <w:t xml:space="preserve"> sur les propositions du rapporteur, les conclusions du ministère public et les observations du comptable ;</w:t>
      </w:r>
    </w:p>
    <w:p w:rsidR="00D61300" w:rsidRPr="00D4419F" w:rsidRDefault="00AA4DB8" w:rsidP="00086CCA">
      <w:pPr>
        <w:pStyle w:val="PS"/>
        <w:spacing w:after="400"/>
        <w:rPr>
          <w:rFonts w:ascii="Times New Roman" w:hAnsi="Times New Roman"/>
          <w:szCs w:val="24"/>
        </w:rPr>
      </w:pPr>
      <w:r w:rsidRPr="00D4419F">
        <w:rPr>
          <w:rFonts w:ascii="Times New Roman" w:hAnsi="Times New Roman"/>
          <w:szCs w:val="24"/>
        </w:rPr>
        <w:lastRenderedPageBreak/>
        <w:t xml:space="preserve">Considérant </w:t>
      </w:r>
      <w:r w:rsidR="00D61300" w:rsidRPr="00D4419F">
        <w:rPr>
          <w:rFonts w:ascii="Times New Roman" w:hAnsi="Times New Roman"/>
          <w:szCs w:val="24"/>
        </w:rPr>
        <w:t>que</w:t>
      </w:r>
      <w:r w:rsidRPr="00D4419F">
        <w:rPr>
          <w:rFonts w:ascii="Times New Roman" w:hAnsi="Times New Roman"/>
          <w:szCs w:val="24"/>
        </w:rPr>
        <w:t xml:space="preserve"> </w:t>
      </w:r>
      <w:r w:rsidR="005B4DFF" w:rsidRPr="00D4419F">
        <w:rPr>
          <w:rFonts w:ascii="Times New Roman" w:hAnsi="Times New Roman"/>
          <w:szCs w:val="24"/>
        </w:rPr>
        <w:t xml:space="preserve">si </w:t>
      </w:r>
      <w:r w:rsidR="00D61300" w:rsidRPr="00D4419F">
        <w:rPr>
          <w:rFonts w:ascii="Times New Roman" w:hAnsi="Times New Roman"/>
          <w:szCs w:val="24"/>
        </w:rPr>
        <w:t xml:space="preserve">l’appelant a </w:t>
      </w:r>
      <w:r w:rsidRPr="00D4419F">
        <w:rPr>
          <w:rFonts w:ascii="Times New Roman" w:hAnsi="Times New Roman"/>
          <w:szCs w:val="24"/>
        </w:rPr>
        <w:t xml:space="preserve">bien </w:t>
      </w:r>
      <w:r w:rsidR="00D61300" w:rsidRPr="00D4419F">
        <w:rPr>
          <w:rFonts w:ascii="Times New Roman" w:hAnsi="Times New Roman"/>
          <w:szCs w:val="24"/>
        </w:rPr>
        <w:t xml:space="preserve">évoqué l’argumentation développée ci-dessus dans une correspondance </w:t>
      </w:r>
      <w:r w:rsidR="005B4DFF" w:rsidRPr="00D4419F">
        <w:rPr>
          <w:rFonts w:ascii="Times New Roman" w:hAnsi="Times New Roman"/>
          <w:szCs w:val="24"/>
        </w:rPr>
        <w:t>enregistrée au greffe de la</w:t>
      </w:r>
      <w:r w:rsidR="00FE1F5E">
        <w:rPr>
          <w:rFonts w:ascii="Times New Roman" w:hAnsi="Times New Roman"/>
          <w:szCs w:val="24"/>
        </w:rPr>
        <w:t xml:space="preserve"> </w:t>
      </w:r>
      <w:r w:rsidR="005B4DFF" w:rsidRPr="00D4419F">
        <w:rPr>
          <w:rFonts w:ascii="Times New Roman" w:hAnsi="Times New Roman"/>
          <w:szCs w:val="24"/>
        </w:rPr>
        <w:t xml:space="preserve">CRC le 26 avril 2011, soit postérieurement à la clôture de l’instruction et l’avant-veille de </w:t>
      </w:r>
      <w:r w:rsidR="00D61300" w:rsidRPr="00D4419F">
        <w:rPr>
          <w:rFonts w:ascii="Times New Roman" w:hAnsi="Times New Roman"/>
          <w:szCs w:val="24"/>
        </w:rPr>
        <w:t>l’audience publique tenue le 28 avril 2011</w:t>
      </w:r>
      <w:r w:rsidR="00044056" w:rsidRPr="00D4419F">
        <w:rPr>
          <w:rFonts w:ascii="Times New Roman" w:hAnsi="Times New Roman"/>
          <w:szCs w:val="24"/>
        </w:rPr>
        <w:t>,</w:t>
      </w:r>
      <w:r w:rsidR="00D61300" w:rsidRPr="00D4419F">
        <w:rPr>
          <w:rFonts w:ascii="Times New Roman" w:hAnsi="Times New Roman"/>
          <w:szCs w:val="24"/>
        </w:rPr>
        <w:t xml:space="preserve"> et qu’il n’est pas fait mention </w:t>
      </w:r>
      <w:r w:rsidR="003416F8">
        <w:rPr>
          <w:rFonts w:ascii="Times New Roman" w:hAnsi="Times New Roman"/>
          <w:szCs w:val="24"/>
        </w:rPr>
        <w:t xml:space="preserve">formelle </w:t>
      </w:r>
      <w:r w:rsidR="00D61300" w:rsidRPr="00D4419F">
        <w:rPr>
          <w:rFonts w:ascii="Times New Roman" w:hAnsi="Times New Roman"/>
          <w:szCs w:val="24"/>
        </w:rPr>
        <w:t xml:space="preserve">de ce courrier dans les visas du jugement </w:t>
      </w:r>
      <w:r w:rsidRPr="00D4419F">
        <w:rPr>
          <w:rFonts w:ascii="Times New Roman" w:hAnsi="Times New Roman"/>
          <w:szCs w:val="24"/>
        </w:rPr>
        <w:t>entrepris</w:t>
      </w:r>
      <w:r w:rsidR="000C136B">
        <w:rPr>
          <w:rFonts w:ascii="Times New Roman" w:hAnsi="Times New Roman"/>
          <w:szCs w:val="24"/>
        </w:rPr>
        <w:t xml:space="preserve">, celui-ci </w:t>
      </w:r>
      <w:r w:rsidRPr="00D4419F">
        <w:rPr>
          <w:rFonts w:ascii="Times New Roman" w:hAnsi="Times New Roman"/>
          <w:szCs w:val="24"/>
        </w:rPr>
        <w:t xml:space="preserve">mentionne </w:t>
      </w:r>
      <w:r w:rsidR="00D61300" w:rsidRPr="00D4419F">
        <w:rPr>
          <w:rFonts w:ascii="Times New Roman" w:hAnsi="Times New Roman"/>
          <w:szCs w:val="24"/>
        </w:rPr>
        <w:t>néanmoins explicitement</w:t>
      </w:r>
      <w:r w:rsidR="00281E8D">
        <w:rPr>
          <w:rFonts w:ascii="Times New Roman" w:hAnsi="Times New Roman"/>
          <w:szCs w:val="24"/>
        </w:rPr>
        <w:t>,</w:t>
      </w:r>
      <w:r w:rsidRPr="00D4419F">
        <w:rPr>
          <w:rFonts w:ascii="Times New Roman" w:hAnsi="Times New Roman"/>
          <w:szCs w:val="24"/>
        </w:rPr>
        <w:t xml:space="preserve"> </w:t>
      </w:r>
      <w:r w:rsidR="00D61300" w:rsidRPr="00D4419F">
        <w:rPr>
          <w:rFonts w:ascii="Times New Roman" w:hAnsi="Times New Roman"/>
          <w:szCs w:val="24"/>
        </w:rPr>
        <w:t xml:space="preserve">dans l’un de ses attendus, que le comptable a défendu oralement lors de l’audience publique l’argumentation mentionnée ci-dessus ; qu’en conséquence, </w:t>
      </w:r>
      <w:r w:rsidR="009E42DD" w:rsidRPr="00D4419F">
        <w:rPr>
          <w:rFonts w:ascii="Times New Roman" w:hAnsi="Times New Roman"/>
          <w:szCs w:val="24"/>
        </w:rPr>
        <w:t xml:space="preserve">le </w:t>
      </w:r>
      <w:r w:rsidR="00A23A00" w:rsidRPr="00D4419F">
        <w:rPr>
          <w:rFonts w:ascii="Times New Roman" w:hAnsi="Times New Roman"/>
          <w:szCs w:val="24"/>
        </w:rPr>
        <w:t xml:space="preserve">second </w:t>
      </w:r>
      <w:r w:rsidR="00D61300" w:rsidRPr="00D4419F">
        <w:rPr>
          <w:rFonts w:ascii="Times New Roman" w:hAnsi="Times New Roman"/>
          <w:szCs w:val="24"/>
        </w:rPr>
        <w:t>moyen manqu</w:t>
      </w:r>
      <w:r w:rsidR="005B4DFF" w:rsidRPr="00D4419F">
        <w:rPr>
          <w:rFonts w:ascii="Times New Roman" w:hAnsi="Times New Roman"/>
          <w:szCs w:val="24"/>
        </w:rPr>
        <w:t>e</w:t>
      </w:r>
      <w:r w:rsidR="00D61300" w:rsidRPr="00D4419F">
        <w:rPr>
          <w:rFonts w:ascii="Times New Roman" w:hAnsi="Times New Roman"/>
          <w:szCs w:val="24"/>
        </w:rPr>
        <w:t xml:space="preserve"> en droit ;</w:t>
      </w:r>
    </w:p>
    <w:p w:rsidR="00995847" w:rsidRPr="00D4419F" w:rsidRDefault="00995847" w:rsidP="00086CCA">
      <w:pPr>
        <w:pStyle w:val="PS"/>
        <w:spacing w:after="400"/>
        <w:rPr>
          <w:rFonts w:ascii="Times New Roman" w:hAnsi="Times New Roman"/>
          <w:szCs w:val="24"/>
        </w:rPr>
      </w:pPr>
      <w:r w:rsidRPr="00D4419F">
        <w:rPr>
          <w:rFonts w:ascii="Times New Roman" w:hAnsi="Times New Roman"/>
          <w:szCs w:val="24"/>
        </w:rPr>
        <w:t>Attendu</w:t>
      </w:r>
      <w:r w:rsidR="009E42DD" w:rsidRPr="00D4419F">
        <w:rPr>
          <w:rFonts w:ascii="Times New Roman" w:hAnsi="Times New Roman"/>
          <w:szCs w:val="24"/>
        </w:rPr>
        <w:t>, en troisième lieu,</w:t>
      </w:r>
      <w:r w:rsidRPr="00D4419F">
        <w:rPr>
          <w:rFonts w:ascii="Times New Roman" w:hAnsi="Times New Roman"/>
          <w:szCs w:val="24"/>
        </w:rPr>
        <w:t xml:space="preserve"> que l’appelant fait valoir</w:t>
      </w:r>
      <w:r w:rsidR="005B4DFF" w:rsidRPr="00D4419F">
        <w:rPr>
          <w:rFonts w:ascii="Times New Roman" w:hAnsi="Times New Roman"/>
          <w:szCs w:val="24"/>
        </w:rPr>
        <w:t xml:space="preserve"> </w:t>
      </w:r>
      <w:r w:rsidRPr="00D4419F">
        <w:rPr>
          <w:rFonts w:ascii="Times New Roman" w:hAnsi="Times New Roman"/>
          <w:szCs w:val="24"/>
        </w:rPr>
        <w:t xml:space="preserve">que </w:t>
      </w:r>
      <w:r w:rsidR="00CC7B19" w:rsidRPr="00D4419F">
        <w:rPr>
          <w:rFonts w:ascii="Times New Roman" w:hAnsi="Times New Roman"/>
          <w:szCs w:val="24"/>
        </w:rPr>
        <w:t xml:space="preserve">certains des </w:t>
      </w:r>
      <w:r w:rsidRPr="00D4419F">
        <w:rPr>
          <w:rFonts w:ascii="Times New Roman" w:hAnsi="Times New Roman"/>
          <w:szCs w:val="24"/>
        </w:rPr>
        <w:t xml:space="preserve">mandats </w:t>
      </w:r>
      <w:r w:rsidR="005B4DFF" w:rsidRPr="00D4419F">
        <w:rPr>
          <w:rFonts w:ascii="Times New Roman" w:hAnsi="Times New Roman"/>
          <w:szCs w:val="24"/>
        </w:rPr>
        <w:t xml:space="preserve">litigieux </w:t>
      </w:r>
      <w:r w:rsidRPr="00D4419F">
        <w:rPr>
          <w:rFonts w:ascii="Times New Roman" w:hAnsi="Times New Roman"/>
          <w:szCs w:val="24"/>
        </w:rPr>
        <w:t xml:space="preserve">imputés ont été émis dans le cadre de délibérations exécutoires </w:t>
      </w:r>
      <w:r w:rsidR="005B4DFF" w:rsidRPr="00D4419F">
        <w:rPr>
          <w:rFonts w:ascii="Times New Roman" w:hAnsi="Times New Roman"/>
          <w:szCs w:val="24"/>
        </w:rPr>
        <w:t xml:space="preserve">du conseil d’administration, </w:t>
      </w:r>
      <w:r w:rsidRPr="00D4419F">
        <w:rPr>
          <w:rFonts w:ascii="Times New Roman" w:hAnsi="Times New Roman"/>
          <w:szCs w:val="24"/>
        </w:rPr>
        <w:t>constitutives de provisions pour risques et charges au compte 1518 et autorisant leur rep</w:t>
      </w:r>
      <w:r w:rsidR="00CC7B19" w:rsidRPr="00D4419F">
        <w:rPr>
          <w:rFonts w:ascii="Times New Roman" w:hAnsi="Times New Roman"/>
          <w:szCs w:val="24"/>
        </w:rPr>
        <w:t>rise en vue de futur</w:t>
      </w:r>
      <w:r w:rsidRPr="00D4419F">
        <w:rPr>
          <w:rFonts w:ascii="Times New Roman" w:hAnsi="Times New Roman"/>
          <w:szCs w:val="24"/>
        </w:rPr>
        <w:t>s mandatements au compte 6152</w:t>
      </w:r>
      <w:r w:rsidR="00FE1F5E">
        <w:rPr>
          <w:rFonts w:ascii="Times New Roman" w:hAnsi="Times New Roman"/>
          <w:szCs w:val="24"/>
        </w:rPr>
        <w:t> ;</w:t>
      </w:r>
    </w:p>
    <w:p w:rsidR="001E2DA5" w:rsidRPr="00D4419F" w:rsidRDefault="00995847" w:rsidP="00086CCA">
      <w:pPr>
        <w:pStyle w:val="PS"/>
        <w:spacing w:after="400"/>
        <w:rPr>
          <w:rFonts w:ascii="Times New Roman" w:hAnsi="Times New Roman"/>
          <w:szCs w:val="24"/>
        </w:rPr>
      </w:pPr>
      <w:r w:rsidRPr="00D4419F">
        <w:rPr>
          <w:rFonts w:ascii="Times New Roman" w:hAnsi="Times New Roman"/>
          <w:szCs w:val="24"/>
        </w:rPr>
        <w:t>Considérant qu</w:t>
      </w:r>
      <w:r w:rsidR="009E42DD" w:rsidRPr="00D4419F">
        <w:rPr>
          <w:rFonts w:ascii="Times New Roman" w:hAnsi="Times New Roman"/>
          <w:szCs w:val="24"/>
        </w:rPr>
        <w:t>’aucun texte de portée égale ou supérieure</w:t>
      </w:r>
      <w:r w:rsidR="00281E8D">
        <w:rPr>
          <w:rFonts w:ascii="Times New Roman" w:hAnsi="Times New Roman"/>
          <w:szCs w:val="24"/>
        </w:rPr>
        <w:t xml:space="preserve"> au décret du 29 décembre 1962 susvisé</w:t>
      </w:r>
      <w:r w:rsidR="009E42DD" w:rsidRPr="00D4419F">
        <w:rPr>
          <w:rFonts w:ascii="Times New Roman" w:hAnsi="Times New Roman"/>
          <w:szCs w:val="24"/>
        </w:rPr>
        <w:t xml:space="preserve"> n’exonère le comptable, à raison d’une décision prise par l’assemblée délibérante,</w:t>
      </w:r>
      <w:r w:rsidR="00FE1F5E">
        <w:rPr>
          <w:rFonts w:ascii="Times New Roman" w:hAnsi="Times New Roman"/>
          <w:szCs w:val="24"/>
        </w:rPr>
        <w:t xml:space="preserve"> </w:t>
      </w:r>
      <w:r w:rsidR="009E42DD" w:rsidRPr="00D4419F">
        <w:rPr>
          <w:rFonts w:ascii="Times New Roman" w:hAnsi="Times New Roman"/>
          <w:szCs w:val="24"/>
        </w:rPr>
        <w:t xml:space="preserve">de </w:t>
      </w:r>
      <w:r w:rsidR="00CC7B19" w:rsidRPr="00D4419F">
        <w:rPr>
          <w:rFonts w:ascii="Times New Roman" w:hAnsi="Times New Roman"/>
          <w:szCs w:val="24"/>
        </w:rPr>
        <w:t xml:space="preserve">l’obligation </w:t>
      </w:r>
      <w:r w:rsidR="009E42DD" w:rsidRPr="00D4419F">
        <w:rPr>
          <w:rFonts w:ascii="Times New Roman" w:hAnsi="Times New Roman"/>
          <w:szCs w:val="24"/>
        </w:rPr>
        <w:t xml:space="preserve">précitée </w:t>
      </w:r>
      <w:r w:rsidR="00CC7B19" w:rsidRPr="00D4419F">
        <w:rPr>
          <w:rFonts w:ascii="Times New Roman" w:hAnsi="Times New Roman"/>
          <w:szCs w:val="24"/>
        </w:rPr>
        <w:t xml:space="preserve">de contrôle de l’exacte imputation </w:t>
      </w:r>
      <w:r w:rsidR="009E42DD" w:rsidRPr="00D4419F">
        <w:rPr>
          <w:rFonts w:ascii="Times New Roman" w:hAnsi="Times New Roman"/>
          <w:szCs w:val="24"/>
        </w:rPr>
        <w:t>des dépenses figurant au mandat présenté par l’ordonnateur</w:t>
      </w:r>
      <w:r w:rsidR="00FE1F5E">
        <w:rPr>
          <w:rFonts w:ascii="Times New Roman" w:hAnsi="Times New Roman"/>
          <w:szCs w:val="24"/>
        </w:rPr>
        <w:t> </w:t>
      </w:r>
      <w:r w:rsidR="00044056" w:rsidRPr="00D4419F">
        <w:rPr>
          <w:rFonts w:ascii="Times New Roman" w:hAnsi="Times New Roman"/>
          <w:szCs w:val="24"/>
        </w:rPr>
        <w:t>;</w:t>
      </w:r>
      <w:r w:rsidR="009E42DD" w:rsidRPr="00D4419F">
        <w:rPr>
          <w:rFonts w:ascii="Times New Roman" w:hAnsi="Times New Roman"/>
          <w:szCs w:val="24"/>
        </w:rPr>
        <w:t xml:space="preserve"> que dès lors, le </w:t>
      </w:r>
      <w:r w:rsidR="00A23A00" w:rsidRPr="00D4419F">
        <w:rPr>
          <w:rFonts w:ascii="Times New Roman" w:hAnsi="Times New Roman"/>
          <w:szCs w:val="24"/>
        </w:rPr>
        <w:t xml:space="preserve">troisième </w:t>
      </w:r>
      <w:r w:rsidR="009E42DD" w:rsidRPr="00D4419F">
        <w:rPr>
          <w:rFonts w:ascii="Times New Roman" w:hAnsi="Times New Roman"/>
          <w:szCs w:val="24"/>
        </w:rPr>
        <w:t xml:space="preserve">moyen manque en droit ; </w:t>
      </w:r>
    </w:p>
    <w:p w:rsidR="001E2DA5" w:rsidRPr="00D4419F" w:rsidRDefault="001E2DA5" w:rsidP="00086CCA">
      <w:pPr>
        <w:pStyle w:val="PS"/>
        <w:spacing w:after="400"/>
        <w:rPr>
          <w:rFonts w:ascii="Times New Roman" w:hAnsi="Times New Roman"/>
          <w:szCs w:val="24"/>
        </w:rPr>
      </w:pPr>
      <w:r w:rsidRPr="00D4419F">
        <w:rPr>
          <w:rFonts w:ascii="Times New Roman" w:hAnsi="Times New Roman"/>
          <w:szCs w:val="24"/>
        </w:rPr>
        <w:t>Attendu</w:t>
      </w:r>
      <w:r w:rsidR="009E42DD" w:rsidRPr="00D4419F">
        <w:rPr>
          <w:rFonts w:ascii="Times New Roman" w:hAnsi="Times New Roman"/>
          <w:szCs w:val="24"/>
        </w:rPr>
        <w:t>, en quatrième</w:t>
      </w:r>
      <w:r w:rsidRPr="00D4419F">
        <w:rPr>
          <w:rFonts w:ascii="Times New Roman" w:hAnsi="Times New Roman"/>
          <w:szCs w:val="24"/>
        </w:rPr>
        <w:t xml:space="preserve"> </w:t>
      </w:r>
      <w:r w:rsidR="009E42DD" w:rsidRPr="00D4419F">
        <w:rPr>
          <w:rFonts w:ascii="Times New Roman" w:hAnsi="Times New Roman"/>
          <w:szCs w:val="24"/>
        </w:rPr>
        <w:t xml:space="preserve">lieu </w:t>
      </w:r>
      <w:r w:rsidRPr="00D4419F">
        <w:rPr>
          <w:rFonts w:ascii="Times New Roman" w:hAnsi="Times New Roman"/>
          <w:szCs w:val="24"/>
        </w:rPr>
        <w:t xml:space="preserve">que, s’agissant des mandats </w:t>
      </w:r>
      <w:r w:rsidR="00281E8D">
        <w:rPr>
          <w:rFonts w:ascii="Times New Roman" w:hAnsi="Times New Roman"/>
          <w:szCs w:val="24"/>
        </w:rPr>
        <w:t>n°</w:t>
      </w:r>
      <w:r w:rsidR="00086CCA">
        <w:rPr>
          <w:rFonts w:ascii="Times New Roman" w:hAnsi="Times New Roman"/>
          <w:szCs w:val="24"/>
        </w:rPr>
        <w:t> </w:t>
      </w:r>
      <w:r w:rsidRPr="00D4419F">
        <w:rPr>
          <w:rFonts w:ascii="Times New Roman" w:hAnsi="Times New Roman"/>
          <w:szCs w:val="24"/>
        </w:rPr>
        <w:t xml:space="preserve">302 et </w:t>
      </w:r>
      <w:r w:rsidR="00281E8D">
        <w:rPr>
          <w:rFonts w:ascii="Times New Roman" w:hAnsi="Times New Roman"/>
          <w:szCs w:val="24"/>
        </w:rPr>
        <w:t>n° </w:t>
      </w:r>
      <w:r w:rsidRPr="00D4419F">
        <w:rPr>
          <w:rFonts w:ascii="Times New Roman" w:hAnsi="Times New Roman"/>
          <w:szCs w:val="24"/>
        </w:rPr>
        <w:t>1204 de l’exercice</w:t>
      </w:r>
      <w:r w:rsidR="00FE1F5E">
        <w:rPr>
          <w:rFonts w:ascii="Times New Roman" w:hAnsi="Times New Roman"/>
          <w:szCs w:val="24"/>
        </w:rPr>
        <w:t xml:space="preserve"> </w:t>
      </w:r>
      <w:r w:rsidRPr="00D4419F">
        <w:rPr>
          <w:rFonts w:ascii="Times New Roman" w:hAnsi="Times New Roman"/>
          <w:szCs w:val="24"/>
        </w:rPr>
        <w:t xml:space="preserve">2006, le requérant soutient que le rapport à fin </w:t>
      </w:r>
      <w:r w:rsidR="009E42DD" w:rsidRPr="00D4419F">
        <w:rPr>
          <w:rFonts w:ascii="Times New Roman" w:hAnsi="Times New Roman"/>
          <w:szCs w:val="24"/>
        </w:rPr>
        <w:t xml:space="preserve">d’examen </w:t>
      </w:r>
      <w:r w:rsidRPr="00D4419F">
        <w:rPr>
          <w:rFonts w:ascii="Times New Roman" w:hAnsi="Times New Roman"/>
          <w:szCs w:val="24"/>
        </w:rPr>
        <w:t>juridictionnel et le réquisitoire du procureur financier évoquent des imputations comptables différentes ; que cette situation témoigne</w:t>
      </w:r>
      <w:r w:rsidR="009E42DD" w:rsidRPr="00D4419F">
        <w:rPr>
          <w:rFonts w:ascii="Times New Roman" w:hAnsi="Times New Roman"/>
          <w:szCs w:val="24"/>
        </w:rPr>
        <w:t>rait de</w:t>
      </w:r>
      <w:r w:rsidRPr="00D4419F">
        <w:rPr>
          <w:rFonts w:ascii="Times New Roman" w:hAnsi="Times New Roman"/>
          <w:szCs w:val="24"/>
        </w:rPr>
        <w:t xml:space="preserve"> difficultés d’appréciation</w:t>
      </w:r>
      <w:r w:rsidR="00FE1F5E">
        <w:rPr>
          <w:rFonts w:ascii="Times New Roman" w:hAnsi="Times New Roman"/>
          <w:szCs w:val="24"/>
        </w:rPr>
        <w:t> ;</w:t>
      </w:r>
    </w:p>
    <w:p w:rsidR="00A23A00" w:rsidRPr="00D4419F" w:rsidRDefault="001E2DA5" w:rsidP="00086CCA">
      <w:pPr>
        <w:pStyle w:val="PS"/>
        <w:spacing w:after="400"/>
        <w:rPr>
          <w:rFonts w:ascii="Times New Roman" w:hAnsi="Times New Roman"/>
          <w:szCs w:val="24"/>
        </w:rPr>
      </w:pPr>
      <w:r w:rsidRPr="00D4419F">
        <w:rPr>
          <w:rFonts w:ascii="Times New Roman" w:hAnsi="Times New Roman"/>
          <w:szCs w:val="24"/>
        </w:rPr>
        <w:t>Co</w:t>
      </w:r>
      <w:r w:rsidR="00044056" w:rsidRPr="00D4419F">
        <w:rPr>
          <w:rFonts w:ascii="Times New Roman" w:hAnsi="Times New Roman"/>
          <w:szCs w:val="24"/>
        </w:rPr>
        <w:t>nsidérant</w:t>
      </w:r>
      <w:r w:rsidR="00A23A00" w:rsidRPr="00D4419F">
        <w:rPr>
          <w:rFonts w:ascii="Times New Roman" w:hAnsi="Times New Roman"/>
          <w:szCs w:val="24"/>
        </w:rPr>
        <w:t>, sur la forme,</w:t>
      </w:r>
      <w:r w:rsidR="00044056" w:rsidRPr="00D4419F">
        <w:rPr>
          <w:rFonts w:ascii="Times New Roman" w:hAnsi="Times New Roman"/>
          <w:szCs w:val="24"/>
        </w:rPr>
        <w:t xml:space="preserve"> qu</w:t>
      </w:r>
      <w:r w:rsidR="009E42DD" w:rsidRPr="00D4419F">
        <w:rPr>
          <w:rFonts w:ascii="Times New Roman" w:hAnsi="Times New Roman"/>
          <w:szCs w:val="24"/>
        </w:rPr>
        <w:t>e l’instance est ouverte par la notification du réquisitoire</w:t>
      </w:r>
      <w:r w:rsidR="00A23A00" w:rsidRPr="00D4419F">
        <w:rPr>
          <w:rFonts w:ascii="Times New Roman" w:hAnsi="Times New Roman"/>
          <w:szCs w:val="24"/>
        </w:rPr>
        <w:t>, qui initie la procédure contradictoire</w:t>
      </w:r>
      <w:r w:rsidR="009E42DD" w:rsidRPr="00D4419F">
        <w:rPr>
          <w:rFonts w:ascii="Times New Roman" w:hAnsi="Times New Roman"/>
          <w:szCs w:val="24"/>
        </w:rPr>
        <w:t> ; qu’</w:t>
      </w:r>
      <w:r w:rsidR="00A23A00" w:rsidRPr="00D4419F">
        <w:rPr>
          <w:rFonts w:ascii="Times New Roman" w:hAnsi="Times New Roman"/>
          <w:szCs w:val="24"/>
        </w:rPr>
        <w:t xml:space="preserve">ainsi </w:t>
      </w:r>
      <w:r w:rsidR="009E42DD" w:rsidRPr="00D4419F">
        <w:rPr>
          <w:rFonts w:ascii="Times New Roman" w:hAnsi="Times New Roman"/>
          <w:szCs w:val="24"/>
        </w:rPr>
        <w:t xml:space="preserve">une divergence d’analyse entre le procureur financier et le rapport qui </w:t>
      </w:r>
      <w:r w:rsidR="00A23A00" w:rsidRPr="00D4419F">
        <w:rPr>
          <w:rFonts w:ascii="Times New Roman" w:hAnsi="Times New Roman"/>
          <w:szCs w:val="24"/>
        </w:rPr>
        <w:t>lui est communiqué est sans effet su</w:t>
      </w:r>
      <w:r w:rsidR="00FE1F5E">
        <w:rPr>
          <w:rFonts w:ascii="Times New Roman" w:hAnsi="Times New Roman"/>
          <w:szCs w:val="24"/>
        </w:rPr>
        <w:t>r la validité de la procédure ;</w:t>
      </w:r>
    </w:p>
    <w:p w:rsidR="00A23A00" w:rsidRPr="00D4419F" w:rsidRDefault="00A23A00" w:rsidP="00086CCA">
      <w:pPr>
        <w:pStyle w:val="PS"/>
        <w:spacing w:after="400"/>
        <w:rPr>
          <w:rFonts w:ascii="Times New Roman" w:hAnsi="Times New Roman"/>
          <w:szCs w:val="24"/>
        </w:rPr>
      </w:pPr>
      <w:r w:rsidRPr="00D4419F">
        <w:rPr>
          <w:rFonts w:ascii="Times New Roman" w:hAnsi="Times New Roman"/>
          <w:szCs w:val="24"/>
        </w:rPr>
        <w:t>Considérant, sur le fond, que le comptable n’apporte pas d’élément ten</w:t>
      </w:r>
      <w:r w:rsidR="00281E8D">
        <w:rPr>
          <w:rFonts w:ascii="Times New Roman" w:hAnsi="Times New Roman"/>
          <w:szCs w:val="24"/>
        </w:rPr>
        <w:t>d</w:t>
      </w:r>
      <w:r w:rsidRPr="00D4419F">
        <w:rPr>
          <w:rFonts w:ascii="Times New Roman" w:hAnsi="Times New Roman"/>
          <w:szCs w:val="24"/>
        </w:rPr>
        <w:t xml:space="preserve">ant à établir que c’est à tort que la chambre a estimé que les deux mandats ne pouvaient </w:t>
      </w:r>
      <w:r w:rsidR="00281E8D">
        <w:rPr>
          <w:rFonts w:ascii="Times New Roman" w:hAnsi="Times New Roman"/>
          <w:szCs w:val="24"/>
        </w:rPr>
        <w:t xml:space="preserve">être régulièrement </w:t>
      </w:r>
      <w:r w:rsidRPr="00D4419F">
        <w:rPr>
          <w:rFonts w:ascii="Times New Roman" w:hAnsi="Times New Roman"/>
          <w:szCs w:val="24"/>
        </w:rPr>
        <w:t xml:space="preserve">imputés </w:t>
      </w:r>
      <w:r w:rsidR="00281E8D">
        <w:rPr>
          <w:rFonts w:ascii="Times New Roman" w:hAnsi="Times New Roman"/>
          <w:szCs w:val="24"/>
        </w:rPr>
        <w:t xml:space="preserve">que </w:t>
      </w:r>
      <w:r w:rsidRPr="00D4419F">
        <w:rPr>
          <w:rFonts w:ascii="Times New Roman" w:hAnsi="Times New Roman"/>
          <w:szCs w:val="24"/>
        </w:rPr>
        <w:t>sur un compte du groupe fonctionnel I ;</w:t>
      </w:r>
      <w:r w:rsidR="000C136B">
        <w:rPr>
          <w:rFonts w:ascii="Times New Roman" w:hAnsi="Times New Roman"/>
          <w:szCs w:val="24"/>
        </w:rPr>
        <w:t xml:space="preserve"> q</w:t>
      </w:r>
      <w:r w:rsidRPr="00D4419F">
        <w:rPr>
          <w:rFonts w:ascii="Times New Roman" w:hAnsi="Times New Roman"/>
          <w:szCs w:val="24"/>
        </w:rPr>
        <w:t>u’ainsi le quatrième moyen doit être rejeté ;</w:t>
      </w:r>
    </w:p>
    <w:p w:rsidR="007C3AE3" w:rsidRPr="00D4419F" w:rsidRDefault="007C3AE3" w:rsidP="00086CCA">
      <w:pPr>
        <w:pStyle w:val="PS"/>
        <w:spacing w:after="400"/>
        <w:rPr>
          <w:rFonts w:ascii="Times New Roman" w:hAnsi="Times New Roman"/>
          <w:szCs w:val="24"/>
        </w:rPr>
      </w:pPr>
      <w:r w:rsidRPr="00D4419F">
        <w:rPr>
          <w:rFonts w:ascii="Times New Roman" w:hAnsi="Times New Roman"/>
          <w:szCs w:val="24"/>
        </w:rPr>
        <w:t>Attendu</w:t>
      </w:r>
      <w:r w:rsidR="00A23A00" w:rsidRPr="00D4419F">
        <w:rPr>
          <w:rFonts w:ascii="Times New Roman" w:hAnsi="Times New Roman"/>
          <w:szCs w:val="24"/>
        </w:rPr>
        <w:t xml:space="preserve">, en cinquième lieu, </w:t>
      </w:r>
      <w:r w:rsidRPr="00D4419F">
        <w:rPr>
          <w:rFonts w:ascii="Times New Roman" w:hAnsi="Times New Roman"/>
          <w:szCs w:val="24"/>
        </w:rPr>
        <w:t>que le requérant fait valoir que, alors que les motifs et le dispositif du jugement engagent la responsabilité du comptable à hauteur de 57 899,22</w:t>
      </w:r>
      <w:r w:rsidR="003C11A6">
        <w:rPr>
          <w:rFonts w:ascii="Times New Roman" w:hAnsi="Times New Roman"/>
          <w:szCs w:val="24"/>
        </w:rPr>
        <w:t> </w:t>
      </w:r>
      <w:r w:rsidRPr="00D4419F">
        <w:rPr>
          <w:rFonts w:ascii="Times New Roman" w:hAnsi="Times New Roman"/>
          <w:szCs w:val="24"/>
        </w:rPr>
        <w:t>€ au titre de la seconde charge, « </w:t>
      </w:r>
      <w:r w:rsidRPr="00D4419F">
        <w:rPr>
          <w:rFonts w:ascii="Times New Roman" w:hAnsi="Times New Roman"/>
          <w:i/>
          <w:szCs w:val="24"/>
        </w:rPr>
        <w:t>l’annexe II totalise à tort ce montant puisque le mandat n° 302 y figure pour 5 995,21</w:t>
      </w:r>
      <w:r w:rsidR="003C11A6">
        <w:rPr>
          <w:rFonts w:ascii="Times New Roman" w:hAnsi="Times New Roman"/>
          <w:i/>
          <w:szCs w:val="24"/>
        </w:rPr>
        <w:t> </w:t>
      </w:r>
      <w:r w:rsidRPr="00D4419F">
        <w:rPr>
          <w:rFonts w:ascii="Times New Roman" w:hAnsi="Times New Roman"/>
          <w:i/>
          <w:szCs w:val="24"/>
        </w:rPr>
        <w:t>€ au lieu et place de 5 991,51</w:t>
      </w:r>
      <w:r w:rsidR="003C11A6">
        <w:rPr>
          <w:rFonts w:ascii="Times New Roman" w:hAnsi="Times New Roman"/>
          <w:i/>
          <w:szCs w:val="24"/>
        </w:rPr>
        <w:t> </w:t>
      </w:r>
      <w:r w:rsidRPr="00D4419F">
        <w:rPr>
          <w:rFonts w:ascii="Times New Roman" w:hAnsi="Times New Roman"/>
          <w:i/>
          <w:szCs w:val="24"/>
        </w:rPr>
        <w:t>€ </w:t>
      </w:r>
      <w:r w:rsidRPr="00D4419F">
        <w:rPr>
          <w:rFonts w:ascii="Times New Roman" w:hAnsi="Times New Roman"/>
          <w:szCs w:val="24"/>
        </w:rPr>
        <w:t>». « C</w:t>
      </w:r>
      <w:r w:rsidRPr="00D4419F">
        <w:rPr>
          <w:rFonts w:ascii="Times New Roman" w:hAnsi="Times New Roman"/>
          <w:i/>
          <w:szCs w:val="24"/>
        </w:rPr>
        <w:t>ette nouvelle discordance entre le jugement et la totalisation véritable de son annexe</w:t>
      </w:r>
      <w:r w:rsidR="003C11A6">
        <w:rPr>
          <w:rFonts w:ascii="Times New Roman" w:hAnsi="Times New Roman"/>
          <w:i/>
          <w:szCs w:val="24"/>
        </w:rPr>
        <w:t> </w:t>
      </w:r>
      <w:r w:rsidRPr="00D4419F">
        <w:rPr>
          <w:rFonts w:ascii="Times New Roman" w:hAnsi="Times New Roman"/>
          <w:i/>
          <w:szCs w:val="24"/>
        </w:rPr>
        <w:t>II (57 898,92</w:t>
      </w:r>
      <w:r w:rsidR="003C11A6">
        <w:rPr>
          <w:rFonts w:ascii="Times New Roman" w:hAnsi="Times New Roman"/>
          <w:i/>
          <w:szCs w:val="24"/>
        </w:rPr>
        <w:t> </w:t>
      </w:r>
      <w:r w:rsidRPr="00D4419F">
        <w:rPr>
          <w:rFonts w:ascii="Times New Roman" w:hAnsi="Times New Roman"/>
          <w:i/>
          <w:szCs w:val="24"/>
        </w:rPr>
        <w:t>€) entache d’un vice de forme la décision lue le 6 février 2013</w:t>
      </w:r>
      <w:r w:rsidR="00FE1F5E">
        <w:rPr>
          <w:rFonts w:ascii="Times New Roman" w:hAnsi="Times New Roman"/>
          <w:szCs w:val="24"/>
        </w:rPr>
        <w:t> » ;</w:t>
      </w:r>
    </w:p>
    <w:p w:rsidR="00A23A00" w:rsidRPr="00D4419F" w:rsidRDefault="000C136B" w:rsidP="003C11A6">
      <w:pPr>
        <w:pStyle w:val="PS"/>
        <w:spacing w:after="460"/>
        <w:rPr>
          <w:rFonts w:ascii="Times New Roman" w:hAnsi="Times New Roman"/>
          <w:szCs w:val="24"/>
        </w:rPr>
      </w:pPr>
      <w:r>
        <w:rPr>
          <w:rFonts w:ascii="Times New Roman" w:hAnsi="Times New Roman"/>
          <w:szCs w:val="24"/>
        </w:rPr>
        <w:lastRenderedPageBreak/>
        <w:t>Considérant</w:t>
      </w:r>
      <w:r w:rsidR="00A23A00" w:rsidRPr="00D4419F">
        <w:rPr>
          <w:rFonts w:ascii="Times New Roman" w:hAnsi="Times New Roman"/>
          <w:szCs w:val="24"/>
        </w:rPr>
        <w:t xml:space="preserve"> </w:t>
      </w:r>
      <w:r w:rsidR="007C3AE3" w:rsidRPr="00D4419F">
        <w:rPr>
          <w:rFonts w:ascii="Times New Roman" w:hAnsi="Times New Roman"/>
          <w:szCs w:val="24"/>
        </w:rPr>
        <w:t>que l</w:t>
      </w:r>
      <w:r w:rsidR="00A23A00" w:rsidRPr="00D4419F">
        <w:rPr>
          <w:rFonts w:ascii="Times New Roman" w:hAnsi="Times New Roman"/>
          <w:szCs w:val="24"/>
        </w:rPr>
        <w:t xml:space="preserve">adite annexe II, </w:t>
      </w:r>
      <w:r w:rsidR="007C3AE3" w:rsidRPr="00D4419F">
        <w:rPr>
          <w:rFonts w:ascii="Times New Roman" w:hAnsi="Times New Roman"/>
          <w:szCs w:val="24"/>
        </w:rPr>
        <w:t>qui fonde la mise en débet du comptable au titre de la deuxième charge à la somme de 57 899,22</w:t>
      </w:r>
      <w:r w:rsidR="00A23A00" w:rsidRPr="00D4419F">
        <w:rPr>
          <w:rFonts w:ascii="Times New Roman" w:hAnsi="Times New Roman"/>
          <w:szCs w:val="24"/>
        </w:rPr>
        <w:t> </w:t>
      </w:r>
      <w:r w:rsidR="007C3AE3" w:rsidRPr="00D4419F">
        <w:rPr>
          <w:rFonts w:ascii="Times New Roman" w:hAnsi="Times New Roman"/>
          <w:szCs w:val="24"/>
        </w:rPr>
        <w:t>€, mentionne le montant exact du mandat n°</w:t>
      </w:r>
      <w:r w:rsidR="003C11A6">
        <w:rPr>
          <w:rFonts w:ascii="Times New Roman" w:hAnsi="Times New Roman"/>
          <w:szCs w:val="24"/>
        </w:rPr>
        <w:t> </w:t>
      </w:r>
      <w:r w:rsidR="007C3AE3" w:rsidRPr="00D4419F">
        <w:rPr>
          <w:rFonts w:ascii="Times New Roman" w:hAnsi="Times New Roman"/>
          <w:szCs w:val="24"/>
        </w:rPr>
        <w:t>302 (5 995,51</w:t>
      </w:r>
      <w:r w:rsidR="003C11A6">
        <w:rPr>
          <w:rFonts w:ascii="Times New Roman" w:hAnsi="Times New Roman"/>
          <w:szCs w:val="24"/>
        </w:rPr>
        <w:t> </w:t>
      </w:r>
      <w:r w:rsidR="007C3AE3" w:rsidRPr="00D4419F">
        <w:rPr>
          <w:rFonts w:ascii="Times New Roman" w:hAnsi="Times New Roman"/>
          <w:szCs w:val="24"/>
        </w:rPr>
        <w:t>€)</w:t>
      </w:r>
      <w:r w:rsidR="00FE1F5E">
        <w:rPr>
          <w:rFonts w:ascii="Times New Roman" w:hAnsi="Times New Roman"/>
          <w:szCs w:val="24"/>
        </w:rPr>
        <w:t>,</w:t>
      </w:r>
      <w:r w:rsidR="007C3AE3" w:rsidRPr="00D4419F">
        <w:rPr>
          <w:rFonts w:ascii="Times New Roman" w:hAnsi="Times New Roman"/>
          <w:szCs w:val="24"/>
        </w:rPr>
        <w:t xml:space="preserve"> mais fixe par erreur le sous-total C correspondant à cette dépense à 5 995,21</w:t>
      </w:r>
      <w:r w:rsidR="00086CCA">
        <w:rPr>
          <w:rFonts w:ascii="Times New Roman" w:hAnsi="Times New Roman"/>
          <w:szCs w:val="24"/>
        </w:rPr>
        <w:t> </w:t>
      </w:r>
      <w:r w:rsidR="007C3AE3" w:rsidRPr="00D4419F">
        <w:rPr>
          <w:rFonts w:ascii="Times New Roman" w:hAnsi="Times New Roman"/>
          <w:szCs w:val="24"/>
        </w:rPr>
        <w:t>€ ;</w:t>
      </w:r>
    </w:p>
    <w:p w:rsidR="007C3AE3" w:rsidRPr="00D4419F" w:rsidRDefault="00A23A00" w:rsidP="003C11A6">
      <w:pPr>
        <w:pStyle w:val="PS"/>
        <w:spacing w:after="460"/>
        <w:rPr>
          <w:rFonts w:ascii="Times New Roman" w:hAnsi="Times New Roman"/>
          <w:szCs w:val="24"/>
        </w:rPr>
      </w:pPr>
      <w:r w:rsidRPr="00D4419F">
        <w:rPr>
          <w:rFonts w:ascii="Times New Roman" w:hAnsi="Times New Roman"/>
          <w:szCs w:val="24"/>
        </w:rPr>
        <w:t xml:space="preserve">Considérant </w:t>
      </w:r>
      <w:r w:rsidR="007C3AE3" w:rsidRPr="00D4419F">
        <w:rPr>
          <w:rFonts w:ascii="Times New Roman" w:hAnsi="Times New Roman"/>
          <w:szCs w:val="24"/>
        </w:rPr>
        <w:t>que néanmoins le récapitulatif de l’annexe II a été établi en prenant en compte le montant exact du mandat n°</w:t>
      </w:r>
      <w:r w:rsidR="003C11A6">
        <w:rPr>
          <w:rFonts w:ascii="Times New Roman" w:hAnsi="Times New Roman"/>
          <w:szCs w:val="24"/>
        </w:rPr>
        <w:t> </w:t>
      </w:r>
      <w:r w:rsidR="007C3AE3" w:rsidRPr="00D4419F">
        <w:rPr>
          <w:rFonts w:ascii="Times New Roman" w:hAnsi="Times New Roman"/>
          <w:szCs w:val="24"/>
        </w:rPr>
        <w:t>302 (5 995,51</w:t>
      </w:r>
      <w:r w:rsidR="00281E8D">
        <w:rPr>
          <w:rFonts w:ascii="Times New Roman" w:hAnsi="Times New Roman"/>
          <w:szCs w:val="24"/>
        </w:rPr>
        <w:t> </w:t>
      </w:r>
      <w:r w:rsidR="007C3AE3" w:rsidRPr="00D4419F">
        <w:rPr>
          <w:rFonts w:ascii="Times New Roman" w:hAnsi="Times New Roman"/>
          <w:szCs w:val="24"/>
        </w:rPr>
        <w:t xml:space="preserve">€) ; qu’en conséquence </w:t>
      </w:r>
      <w:r w:rsidR="00281E8D">
        <w:rPr>
          <w:rFonts w:ascii="Times New Roman" w:hAnsi="Times New Roman"/>
          <w:szCs w:val="24"/>
        </w:rPr>
        <w:t>l’</w:t>
      </w:r>
      <w:r w:rsidR="007C3AE3" w:rsidRPr="00D4419F">
        <w:rPr>
          <w:rFonts w:ascii="Times New Roman" w:hAnsi="Times New Roman"/>
          <w:szCs w:val="24"/>
        </w:rPr>
        <w:t xml:space="preserve">erreur de libellé du sous-total C est sans effet sur l’exactitude du total de l’annexe II qui s’établit bien à 57 899,22 € ; </w:t>
      </w:r>
      <w:r w:rsidRPr="00D4419F">
        <w:rPr>
          <w:rFonts w:ascii="Times New Roman" w:hAnsi="Times New Roman"/>
          <w:szCs w:val="24"/>
        </w:rPr>
        <w:t xml:space="preserve">que le cinquième moyen étant à rejeter, </w:t>
      </w:r>
      <w:r w:rsidR="007C3AE3" w:rsidRPr="00D4419F">
        <w:rPr>
          <w:rFonts w:ascii="Times New Roman" w:hAnsi="Times New Roman"/>
          <w:szCs w:val="24"/>
        </w:rPr>
        <w:t>il n’y a pas lieu à rectification du montant du débet prononcé au titre de la deuxième charge ;</w:t>
      </w:r>
    </w:p>
    <w:p w:rsidR="00512443" w:rsidRPr="00D4419F" w:rsidRDefault="00512443" w:rsidP="003C11A6">
      <w:pPr>
        <w:pStyle w:val="PS"/>
        <w:spacing w:after="460"/>
        <w:rPr>
          <w:rFonts w:ascii="Times New Roman" w:hAnsi="Times New Roman"/>
          <w:b/>
          <w:szCs w:val="24"/>
        </w:rPr>
      </w:pPr>
      <w:r w:rsidRPr="00D4419F">
        <w:rPr>
          <w:rFonts w:ascii="Times New Roman" w:hAnsi="Times New Roman"/>
          <w:b/>
          <w:szCs w:val="24"/>
        </w:rPr>
        <w:t>Sur l</w:t>
      </w:r>
      <w:r w:rsidR="007C3AE3" w:rsidRPr="00D4419F">
        <w:rPr>
          <w:rFonts w:ascii="Times New Roman" w:hAnsi="Times New Roman"/>
          <w:b/>
          <w:szCs w:val="24"/>
        </w:rPr>
        <w:t>a charge n°</w:t>
      </w:r>
      <w:r w:rsidR="003C11A6">
        <w:rPr>
          <w:rFonts w:ascii="Times New Roman" w:hAnsi="Times New Roman"/>
          <w:b/>
          <w:szCs w:val="24"/>
        </w:rPr>
        <w:t> </w:t>
      </w:r>
      <w:r w:rsidR="007C3AE3" w:rsidRPr="00D4419F">
        <w:rPr>
          <w:rFonts w:ascii="Times New Roman" w:hAnsi="Times New Roman"/>
          <w:b/>
          <w:szCs w:val="24"/>
        </w:rPr>
        <w:t>3 : paiement à 14</w:t>
      </w:r>
      <w:r w:rsidR="00FE1F5E">
        <w:rPr>
          <w:rFonts w:ascii="Times New Roman" w:hAnsi="Times New Roman"/>
          <w:b/>
          <w:szCs w:val="24"/>
        </w:rPr>
        <w:t xml:space="preserve"> </w:t>
      </w:r>
      <w:r w:rsidR="007C3AE3" w:rsidRPr="00D4419F">
        <w:rPr>
          <w:rFonts w:ascii="Times New Roman" w:hAnsi="Times New Roman"/>
          <w:b/>
          <w:szCs w:val="24"/>
        </w:rPr>
        <w:t>agents non titulaires d’une « prime de service »</w:t>
      </w:r>
    </w:p>
    <w:p w:rsidR="007C3AE3" w:rsidRPr="00D4419F" w:rsidRDefault="00512443" w:rsidP="003C11A6">
      <w:pPr>
        <w:pStyle w:val="PS"/>
        <w:spacing w:after="460"/>
        <w:rPr>
          <w:rFonts w:ascii="Times New Roman" w:hAnsi="Times New Roman"/>
          <w:szCs w:val="24"/>
        </w:rPr>
      </w:pPr>
      <w:r w:rsidRPr="00D4419F">
        <w:rPr>
          <w:rFonts w:ascii="Times New Roman" w:hAnsi="Times New Roman"/>
          <w:szCs w:val="24"/>
        </w:rPr>
        <w:t xml:space="preserve">Attendu que l’appelant </w:t>
      </w:r>
      <w:r w:rsidR="007C3AE3" w:rsidRPr="00D4419F">
        <w:rPr>
          <w:rFonts w:ascii="Times New Roman" w:hAnsi="Times New Roman"/>
          <w:szCs w:val="24"/>
        </w:rPr>
        <w:t>fait valoir</w:t>
      </w:r>
      <w:r w:rsidRPr="00D4419F">
        <w:rPr>
          <w:rFonts w:ascii="Times New Roman" w:hAnsi="Times New Roman"/>
          <w:szCs w:val="24"/>
        </w:rPr>
        <w:t xml:space="preserve"> qu’</w:t>
      </w:r>
      <w:r w:rsidR="007C3AE3" w:rsidRPr="00D4419F">
        <w:rPr>
          <w:rFonts w:ascii="Times New Roman" w:hAnsi="Times New Roman"/>
          <w:szCs w:val="24"/>
        </w:rPr>
        <w:t xml:space="preserve">une délibération exécutoire du 20 octobre 2000 </w:t>
      </w:r>
      <w:r w:rsidR="00D4419F">
        <w:rPr>
          <w:rFonts w:ascii="Times New Roman" w:hAnsi="Times New Roman"/>
          <w:szCs w:val="24"/>
        </w:rPr>
        <w:t xml:space="preserve">du conseil d’administration </w:t>
      </w:r>
      <w:r w:rsidR="007C3AE3" w:rsidRPr="00D4419F">
        <w:rPr>
          <w:rFonts w:ascii="Times New Roman" w:hAnsi="Times New Roman"/>
          <w:szCs w:val="24"/>
        </w:rPr>
        <w:t xml:space="preserve">avait décidé qu’une « prime de fin d’année est attribuée nominativement aux emplois jeunes » et </w:t>
      </w:r>
      <w:r w:rsidR="00EC2FFB" w:rsidRPr="00D4419F">
        <w:rPr>
          <w:rFonts w:ascii="Times New Roman" w:hAnsi="Times New Roman"/>
          <w:szCs w:val="24"/>
        </w:rPr>
        <w:t>qu’</w:t>
      </w:r>
      <w:r w:rsidR="007C3AE3" w:rsidRPr="00D4419F">
        <w:rPr>
          <w:rFonts w:ascii="Times New Roman" w:hAnsi="Times New Roman"/>
          <w:szCs w:val="24"/>
        </w:rPr>
        <w:t>un arrêté du 30</w:t>
      </w:r>
      <w:r w:rsidR="00FE1F5E">
        <w:rPr>
          <w:rFonts w:ascii="Times New Roman" w:hAnsi="Times New Roman"/>
          <w:szCs w:val="24"/>
        </w:rPr>
        <w:t xml:space="preserve"> </w:t>
      </w:r>
      <w:r w:rsidR="007C3AE3" w:rsidRPr="00D4419F">
        <w:rPr>
          <w:rFonts w:ascii="Times New Roman" w:hAnsi="Times New Roman"/>
          <w:szCs w:val="24"/>
        </w:rPr>
        <w:t>octobre</w:t>
      </w:r>
      <w:r w:rsidR="00FE1F5E">
        <w:rPr>
          <w:rFonts w:ascii="Times New Roman" w:hAnsi="Times New Roman"/>
          <w:szCs w:val="24"/>
        </w:rPr>
        <w:t xml:space="preserve"> </w:t>
      </w:r>
      <w:r w:rsidR="007C3AE3" w:rsidRPr="00D4419F">
        <w:rPr>
          <w:rFonts w:ascii="Times New Roman" w:hAnsi="Times New Roman"/>
          <w:szCs w:val="24"/>
        </w:rPr>
        <w:t>1998 attribuait « la prime annuelle de service aux agents titulaires, stagiaires et contractuels » ; que la liquidation de la prime de service reposait sur un</w:t>
      </w:r>
      <w:r w:rsidR="00477A68" w:rsidRPr="00D4419F">
        <w:rPr>
          <w:rFonts w:ascii="Times New Roman" w:hAnsi="Times New Roman"/>
          <w:szCs w:val="24"/>
        </w:rPr>
        <w:t xml:space="preserve">e décision </w:t>
      </w:r>
      <w:r w:rsidR="007C3AE3" w:rsidRPr="00D4419F">
        <w:rPr>
          <w:rFonts w:ascii="Times New Roman" w:hAnsi="Times New Roman"/>
          <w:szCs w:val="24"/>
        </w:rPr>
        <w:t>du directeur en date du 1</w:t>
      </w:r>
      <w:r w:rsidR="007C3AE3" w:rsidRPr="00D4419F">
        <w:rPr>
          <w:rFonts w:ascii="Times New Roman" w:hAnsi="Times New Roman"/>
          <w:szCs w:val="24"/>
          <w:vertAlign w:val="superscript"/>
        </w:rPr>
        <w:t>er</w:t>
      </w:r>
      <w:r w:rsidR="007C3AE3" w:rsidRPr="00D4419F">
        <w:rPr>
          <w:rFonts w:ascii="Times New Roman" w:hAnsi="Times New Roman"/>
          <w:szCs w:val="24"/>
        </w:rPr>
        <w:t xml:space="preserve"> décembre 2006 permettant d’en détailler le montant agent par agent ; que cette décision comportait l’ensemble des énonciations que l’arrêté du 24 mars 1967 exige pour déterminer les modalités de calcul individuelles de la prime</w:t>
      </w:r>
      <w:r w:rsidRPr="00D4419F">
        <w:rPr>
          <w:rFonts w:ascii="Times New Roman" w:hAnsi="Times New Roman"/>
          <w:szCs w:val="24"/>
        </w:rPr>
        <w:t> ;</w:t>
      </w:r>
    </w:p>
    <w:p w:rsidR="000C650D" w:rsidRPr="00D4419F" w:rsidRDefault="000C136B" w:rsidP="000C650D">
      <w:pPr>
        <w:pStyle w:val="PS"/>
        <w:rPr>
          <w:rFonts w:ascii="Times New Roman" w:eastAsia="Calibri" w:hAnsi="Times New Roman"/>
          <w:szCs w:val="24"/>
          <w:lang w:eastAsia="en-US"/>
        </w:rPr>
      </w:pPr>
      <w:r>
        <w:rPr>
          <w:rFonts w:ascii="Times New Roman" w:eastAsia="Calibri" w:hAnsi="Times New Roman"/>
          <w:szCs w:val="24"/>
          <w:lang w:eastAsia="en-US"/>
        </w:rPr>
        <w:t>Considérant</w:t>
      </w:r>
      <w:r w:rsidR="000C650D" w:rsidRPr="00D4419F">
        <w:rPr>
          <w:rFonts w:ascii="Times New Roman" w:eastAsia="Calibri" w:hAnsi="Times New Roman"/>
          <w:szCs w:val="24"/>
          <w:lang w:eastAsia="en-US"/>
        </w:rPr>
        <w:t xml:space="preserve"> qu’il résulte des dispositions combinées des articles</w:t>
      </w:r>
      <w:r w:rsidR="00FE1F5E">
        <w:rPr>
          <w:rFonts w:ascii="Times New Roman" w:eastAsia="Calibri" w:hAnsi="Times New Roman"/>
          <w:szCs w:val="24"/>
          <w:lang w:eastAsia="en-US"/>
        </w:rPr>
        <w:t xml:space="preserve"> </w:t>
      </w:r>
      <w:r w:rsidR="000C650D" w:rsidRPr="00D4419F">
        <w:rPr>
          <w:rFonts w:ascii="Times New Roman" w:eastAsia="Calibri" w:hAnsi="Times New Roman"/>
          <w:szCs w:val="24"/>
          <w:lang w:val="x-none" w:eastAsia="en-US"/>
        </w:rPr>
        <w:t xml:space="preserve">12 </w:t>
      </w:r>
      <w:r w:rsidR="000C650D" w:rsidRPr="00D4419F">
        <w:rPr>
          <w:rFonts w:ascii="Times New Roman" w:eastAsia="Calibri" w:hAnsi="Times New Roman"/>
          <w:szCs w:val="24"/>
          <w:lang w:eastAsia="en-US"/>
        </w:rPr>
        <w:t xml:space="preserve">et 13 </w:t>
      </w:r>
      <w:r w:rsidR="000C650D" w:rsidRPr="00D4419F">
        <w:rPr>
          <w:rFonts w:ascii="Times New Roman" w:eastAsia="Calibri" w:hAnsi="Times New Roman"/>
          <w:szCs w:val="24"/>
          <w:lang w:val="x-none" w:eastAsia="en-US"/>
        </w:rPr>
        <w:t>du décret</w:t>
      </w:r>
      <w:r w:rsidR="000C650D" w:rsidRPr="00D4419F">
        <w:rPr>
          <w:rFonts w:ascii="Times New Roman" w:eastAsia="Calibri" w:hAnsi="Times New Roman"/>
          <w:szCs w:val="24"/>
          <w:lang w:eastAsia="en-US"/>
        </w:rPr>
        <w:t xml:space="preserve"> </w:t>
      </w:r>
      <w:r w:rsidR="000C650D" w:rsidRPr="00D4419F">
        <w:rPr>
          <w:rFonts w:ascii="Times New Roman" w:eastAsia="Calibri" w:hAnsi="Times New Roman"/>
          <w:szCs w:val="24"/>
          <w:lang w:val="x-none" w:eastAsia="en-US"/>
        </w:rPr>
        <w:t>du 29 décembre 1962</w:t>
      </w:r>
      <w:r w:rsidR="000C650D" w:rsidRPr="00D4419F">
        <w:rPr>
          <w:rFonts w:ascii="Times New Roman" w:eastAsia="Calibri" w:hAnsi="Times New Roman"/>
          <w:szCs w:val="24"/>
          <w:lang w:eastAsia="en-US"/>
        </w:rPr>
        <w:t xml:space="preserve"> susvisé</w:t>
      </w:r>
      <w:r w:rsidR="00D4419F">
        <w:rPr>
          <w:rFonts w:ascii="Times New Roman" w:eastAsia="Calibri" w:hAnsi="Times New Roman"/>
          <w:szCs w:val="24"/>
          <w:lang w:eastAsia="en-US"/>
        </w:rPr>
        <w:t xml:space="preserve"> qu’il revient au </w:t>
      </w:r>
      <w:r w:rsidR="000C650D" w:rsidRPr="00D4419F">
        <w:rPr>
          <w:rFonts w:ascii="Times New Roman" w:eastAsia="Calibri" w:hAnsi="Times New Roman"/>
          <w:szCs w:val="24"/>
          <w:lang w:eastAsia="en-US"/>
        </w:rPr>
        <w:t xml:space="preserve">comptable de </w:t>
      </w:r>
      <w:r w:rsidR="00D4419F">
        <w:rPr>
          <w:rFonts w:ascii="Times New Roman" w:eastAsia="Calibri" w:hAnsi="Times New Roman"/>
          <w:szCs w:val="24"/>
          <w:lang w:eastAsia="en-US"/>
        </w:rPr>
        <w:t xml:space="preserve">s’assurer de </w:t>
      </w:r>
      <w:r w:rsidR="000C650D" w:rsidRPr="00D4419F">
        <w:rPr>
          <w:rFonts w:ascii="Times New Roman" w:eastAsia="Calibri" w:hAnsi="Times New Roman"/>
          <w:szCs w:val="24"/>
          <w:lang w:eastAsia="en-US"/>
        </w:rPr>
        <w:t>l’exactitude des</w:t>
      </w:r>
      <w:r w:rsidR="00D4419F">
        <w:rPr>
          <w:rFonts w:ascii="Times New Roman" w:eastAsia="Calibri" w:hAnsi="Times New Roman"/>
          <w:szCs w:val="24"/>
          <w:lang w:eastAsia="en-US"/>
        </w:rPr>
        <w:t xml:space="preserve"> </w:t>
      </w:r>
      <w:r w:rsidR="000C650D" w:rsidRPr="00D4419F">
        <w:rPr>
          <w:rFonts w:ascii="Times New Roman" w:eastAsia="Calibri" w:hAnsi="Times New Roman"/>
          <w:szCs w:val="24"/>
          <w:lang w:eastAsia="en-US"/>
        </w:rPr>
        <w:t xml:space="preserve">calculs </w:t>
      </w:r>
      <w:r w:rsidR="00D4419F">
        <w:rPr>
          <w:rFonts w:ascii="Times New Roman" w:eastAsia="Calibri" w:hAnsi="Times New Roman"/>
          <w:szCs w:val="24"/>
          <w:lang w:eastAsia="en-US"/>
        </w:rPr>
        <w:t>de liquidation</w:t>
      </w:r>
      <w:r w:rsidR="00FE1F5E">
        <w:rPr>
          <w:rFonts w:ascii="Times New Roman" w:eastAsia="Calibri" w:hAnsi="Times New Roman"/>
          <w:szCs w:val="24"/>
          <w:lang w:eastAsia="en-US"/>
        </w:rPr>
        <w:t> ;</w:t>
      </w:r>
    </w:p>
    <w:p w:rsidR="007C3AE3" w:rsidRPr="00D4419F" w:rsidRDefault="00A47334" w:rsidP="007C3AE3">
      <w:pPr>
        <w:pStyle w:val="PS"/>
        <w:rPr>
          <w:rFonts w:ascii="Times New Roman" w:hAnsi="Times New Roman"/>
          <w:szCs w:val="24"/>
        </w:rPr>
      </w:pPr>
      <w:r w:rsidRPr="00D4419F">
        <w:rPr>
          <w:rFonts w:ascii="Times New Roman" w:hAnsi="Times New Roman"/>
          <w:szCs w:val="24"/>
        </w:rPr>
        <w:t>C</w:t>
      </w:r>
      <w:r w:rsidR="007C3AE3" w:rsidRPr="00D4419F">
        <w:rPr>
          <w:rFonts w:ascii="Times New Roman" w:hAnsi="Times New Roman"/>
          <w:szCs w:val="24"/>
        </w:rPr>
        <w:t>onsidérant</w:t>
      </w:r>
      <w:r w:rsidRPr="00D4419F">
        <w:rPr>
          <w:rFonts w:ascii="Times New Roman" w:hAnsi="Times New Roman"/>
          <w:szCs w:val="24"/>
        </w:rPr>
        <w:t xml:space="preserve"> </w:t>
      </w:r>
      <w:r w:rsidR="007C3AE3" w:rsidRPr="00D4419F">
        <w:rPr>
          <w:rFonts w:ascii="Times New Roman" w:hAnsi="Times New Roman"/>
          <w:szCs w:val="24"/>
        </w:rPr>
        <w:t>que l’a</w:t>
      </w:r>
      <w:r w:rsidR="007C3AE3" w:rsidRPr="00D4419F">
        <w:rPr>
          <w:rFonts w:ascii="Times New Roman" w:hAnsi="Times New Roman"/>
          <w:bCs/>
          <w:szCs w:val="24"/>
        </w:rPr>
        <w:t xml:space="preserve">rrêté du 24 mars 1967 </w:t>
      </w:r>
      <w:r w:rsidR="00281E8D">
        <w:rPr>
          <w:rFonts w:ascii="Times New Roman" w:hAnsi="Times New Roman"/>
          <w:bCs/>
          <w:szCs w:val="24"/>
        </w:rPr>
        <w:t xml:space="preserve">susvisé </w:t>
      </w:r>
      <w:r w:rsidR="007C3AE3" w:rsidRPr="00D4419F">
        <w:rPr>
          <w:rFonts w:ascii="Times New Roman" w:hAnsi="Times New Roman"/>
          <w:bCs/>
          <w:szCs w:val="24"/>
        </w:rPr>
        <w:t>relatif aux conditions d'attribution de primes de service aux personnels de certains établissements énumérés à l'article 2 de la loi du 9 janvier 1986</w:t>
      </w:r>
      <w:r w:rsidR="00281E8D">
        <w:rPr>
          <w:rFonts w:ascii="Times New Roman" w:hAnsi="Times New Roman"/>
          <w:bCs/>
          <w:szCs w:val="24"/>
        </w:rPr>
        <w:t xml:space="preserve"> </w:t>
      </w:r>
      <w:r w:rsidR="007C3AE3" w:rsidRPr="00D4419F">
        <w:rPr>
          <w:rFonts w:ascii="Times New Roman" w:hAnsi="Times New Roman"/>
          <w:bCs/>
          <w:szCs w:val="24"/>
        </w:rPr>
        <w:t>a prévu que «</w:t>
      </w:r>
      <w:r w:rsidR="00FE1F5E">
        <w:rPr>
          <w:rFonts w:ascii="Times New Roman" w:hAnsi="Times New Roman"/>
          <w:bCs/>
          <w:szCs w:val="24"/>
        </w:rPr>
        <w:t> </w:t>
      </w:r>
      <w:r w:rsidR="007C3AE3" w:rsidRPr="00D4419F">
        <w:rPr>
          <w:rFonts w:ascii="Times New Roman" w:hAnsi="Times New Roman"/>
          <w:i/>
          <w:szCs w:val="24"/>
        </w:rPr>
        <w:t>les personnels titulaire et stagiaire ainsi que les agents des services hospitaliers recrutés à titre contractuel peuvent recevoir des primes de services liées à l'accroissement de la productivité de leur travail dans les conditions prévues au présent arrêté </w:t>
      </w:r>
      <w:r w:rsidR="007C3AE3" w:rsidRPr="00D4419F">
        <w:rPr>
          <w:rFonts w:ascii="Times New Roman" w:hAnsi="Times New Roman"/>
          <w:szCs w:val="24"/>
        </w:rPr>
        <w:t>» ; qu’aux termes de l’article 2 de cet arrêté, « </w:t>
      </w:r>
      <w:r w:rsidR="007C3AE3" w:rsidRPr="00D4419F">
        <w:rPr>
          <w:rFonts w:ascii="Times New Roman" w:hAnsi="Times New Roman"/>
          <w:i/>
          <w:szCs w:val="24"/>
        </w:rPr>
        <w:t>le crédit global qui peut être affecté au paiement des primes de service est fixé pour un exercice donné à 7,5 p. 100 du montant des crédits effectivement utilisés au cours dudit exercice pour la liquidation des traitements budgétaires bruts des personnels en fonctions pouvant prétendre au bénéfice de la prime.</w:t>
      </w:r>
      <w:r w:rsidR="00FE1F5E">
        <w:rPr>
          <w:rFonts w:ascii="Times New Roman" w:hAnsi="Times New Roman"/>
          <w:i/>
          <w:szCs w:val="24"/>
        </w:rPr>
        <w:t>//</w:t>
      </w:r>
      <w:r w:rsidR="007C3AE3" w:rsidRPr="00D4419F">
        <w:rPr>
          <w:rFonts w:ascii="Times New Roman" w:hAnsi="Times New Roman"/>
          <w:i/>
          <w:szCs w:val="24"/>
        </w:rPr>
        <w:t xml:space="preserve"> Dans la limite des crédits définis à l'alinéa précédent, les montants individuels de la prime de service sont fixés, pour un service annuel complet, en considération de la valeur professionnelle et de l'activité de chaque agent</w:t>
      </w:r>
      <w:r w:rsidR="007C3AE3" w:rsidRPr="00D4419F">
        <w:rPr>
          <w:rFonts w:ascii="Times New Roman" w:hAnsi="Times New Roman"/>
          <w:szCs w:val="24"/>
        </w:rPr>
        <w:t> » ;</w:t>
      </w:r>
    </w:p>
    <w:p w:rsidR="000C650D" w:rsidRPr="00D4419F" w:rsidRDefault="000C136B" w:rsidP="00411239">
      <w:pPr>
        <w:pStyle w:val="PS"/>
        <w:rPr>
          <w:rFonts w:ascii="Times New Roman" w:hAnsi="Times New Roman"/>
          <w:szCs w:val="24"/>
        </w:rPr>
      </w:pPr>
      <w:r>
        <w:rPr>
          <w:rFonts w:ascii="Times New Roman" w:hAnsi="Times New Roman"/>
          <w:szCs w:val="24"/>
        </w:rPr>
        <w:lastRenderedPageBreak/>
        <w:t>Considérant</w:t>
      </w:r>
      <w:r w:rsidR="000C650D" w:rsidRPr="00D4419F">
        <w:rPr>
          <w:rFonts w:ascii="Times New Roman" w:hAnsi="Times New Roman"/>
          <w:szCs w:val="24"/>
        </w:rPr>
        <w:t xml:space="preserve"> </w:t>
      </w:r>
      <w:r w:rsidR="00477A68" w:rsidRPr="00D4419F">
        <w:rPr>
          <w:rFonts w:ascii="Times New Roman" w:hAnsi="Times New Roman"/>
          <w:szCs w:val="24"/>
        </w:rPr>
        <w:t xml:space="preserve">que </w:t>
      </w:r>
      <w:r w:rsidR="00411239" w:rsidRPr="00D4419F">
        <w:rPr>
          <w:rFonts w:ascii="Times New Roman" w:hAnsi="Times New Roman"/>
          <w:szCs w:val="24"/>
        </w:rPr>
        <w:t xml:space="preserve">le comptable, dans le contexte réglementaire qui vient d’être rappelé, disposait </w:t>
      </w:r>
      <w:r w:rsidR="00477A68" w:rsidRPr="00D4419F">
        <w:rPr>
          <w:rFonts w:ascii="Times New Roman" w:hAnsi="Times New Roman"/>
          <w:szCs w:val="24"/>
        </w:rPr>
        <w:t xml:space="preserve">notamment </w:t>
      </w:r>
      <w:r w:rsidR="00411239" w:rsidRPr="00D4419F">
        <w:rPr>
          <w:rFonts w:ascii="Times New Roman" w:hAnsi="Times New Roman"/>
          <w:szCs w:val="24"/>
        </w:rPr>
        <w:t>au moment du paiement d</w:t>
      </w:r>
      <w:r w:rsidR="00017D96" w:rsidRPr="00D4419F">
        <w:rPr>
          <w:rFonts w:ascii="Times New Roman" w:hAnsi="Times New Roman"/>
          <w:szCs w:val="24"/>
        </w:rPr>
        <w:t>e la</w:t>
      </w:r>
      <w:r w:rsidR="00477A68" w:rsidRPr="00D4419F">
        <w:rPr>
          <w:rFonts w:ascii="Times New Roman" w:hAnsi="Times New Roman"/>
          <w:szCs w:val="24"/>
        </w:rPr>
        <w:t xml:space="preserve"> </w:t>
      </w:r>
      <w:r w:rsidR="00411239" w:rsidRPr="00D4419F">
        <w:rPr>
          <w:rFonts w:ascii="Times New Roman" w:hAnsi="Times New Roman"/>
          <w:szCs w:val="24"/>
        </w:rPr>
        <w:t xml:space="preserve">décision </w:t>
      </w:r>
      <w:r w:rsidR="00477A68" w:rsidRPr="00D4419F">
        <w:rPr>
          <w:rFonts w:ascii="Times New Roman" w:hAnsi="Times New Roman"/>
          <w:szCs w:val="24"/>
        </w:rPr>
        <w:t xml:space="preserve">précitée </w:t>
      </w:r>
      <w:r w:rsidR="00411239" w:rsidRPr="00D4419F">
        <w:rPr>
          <w:rFonts w:ascii="Times New Roman" w:hAnsi="Times New Roman"/>
          <w:szCs w:val="24"/>
        </w:rPr>
        <w:t>de l’ordonnateur en date du 1</w:t>
      </w:r>
      <w:r w:rsidR="00411239" w:rsidRPr="00D4419F">
        <w:rPr>
          <w:rFonts w:ascii="Times New Roman" w:hAnsi="Times New Roman"/>
          <w:szCs w:val="24"/>
          <w:vertAlign w:val="superscript"/>
        </w:rPr>
        <w:t>er</w:t>
      </w:r>
      <w:r w:rsidR="00FE1F5E">
        <w:rPr>
          <w:rFonts w:ascii="Times New Roman" w:hAnsi="Times New Roman"/>
          <w:szCs w:val="24"/>
          <w:vertAlign w:val="superscript"/>
        </w:rPr>
        <w:t xml:space="preserve"> </w:t>
      </w:r>
      <w:r w:rsidR="00411239" w:rsidRPr="00D4419F">
        <w:rPr>
          <w:rFonts w:ascii="Times New Roman" w:hAnsi="Times New Roman"/>
          <w:szCs w:val="24"/>
        </w:rPr>
        <w:t>décembre</w:t>
      </w:r>
      <w:r w:rsidR="00FE1F5E">
        <w:rPr>
          <w:rFonts w:ascii="Times New Roman" w:hAnsi="Times New Roman"/>
          <w:szCs w:val="24"/>
        </w:rPr>
        <w:t xml:space="preserve"> </w:t>
      </w:r>
      <w:r w:rsidR="00411239" w:rsidRPr="00D4419F">
        <w:rPr>
          <w:rFonts w:ascii="Times New Roman" w:hAnsi="Times New Roman"/>
          <w:szCs w:val="24"/>
        </w:rPr>
        <w:t>2006</w:t>
      </w:r>
      <w:r w:rsidR="00017D96" w:rsidRPr="00D4419F">
        <w:rPr>
          <w:rFonts w:ascii="Times New Roman" w:hAnsi="Times New Roman"/>
          <w:szCs w:val="24"/>
        </w:rPr>
        <w:t xml:space="preserve"> ; que celle-ci </w:t>
      </w:r>
      <w:r w:rsidR="00411239" w:rsidRPr="00D4419F">
        <w:rPr>
          <w:rFonts w:ascii="Times New Roman" w:hAnsi="Times New Roman"/>
          <w:szCs w:val="24"/>
        </w:rPr>
        <w:t xml:space="preserve">mentionnait la masse </w:t>
      </w:r>
      <w:r w:rsidR="00D4419F">
        <w:rPr>
          <w:rFonts w:ascii="Times New Roman" w:hAnsi="Times New Roman"/>
          <w:szCs w:val="24"/>
        </w:rPr>
        <w:t xml:space="preserve">globale </w:t>
      </w:r>
      <w:r w:rsidR="00411239" w:rsidRPr="00D4419F">
        <w:rPr>
          <w:rFonts w:ascii="Times New Roman" w:hAnsi="Times New Roman"/>
          <w:szCs w:val="24"/>
        </w:rPr>
        <w:t>de la prime de service à répartir</w:t>
      </w:r>
      <w:r w:rsidR="00017D96" w:rsidRPr="00D4419F">
        <w:rPr>
          <w:rFonts w:ascii="Times New Roman" w:hAnsi="Times New Roman"/>
          <w:szCs w:val="24"/>
        </w:rPr>
        <w:t>, calculée comme 7,5 % des traitements</w:t>
      </w:r>
      <w:r w:rsidR="00FE1F5E">
        <w:rPr>
          <w:rFonts w:ascii="Times New Roman" w:hAnsi="Times New Roman"/>
          <w:szCs w:val="24"/>
        </w:rPr>
        <w:t> </w:t>
      </w:r>
      <w:r w:rsidR="00017D96" w:rsidRPr="00D4419F">
        <w:rPr>
          <w:rFonts w:ascii="Times New Roman" w:hAnsi="Times New Roman"/>
          <w:szCs w:val="24"/>
        </w:rPr>
        <w:t>; qu’elle présentait, pour chaque agent</w:t>
      </w:r>
      <w:r w:rsidR="00D4419F">
        <w:rPr>
          <w:rFonts w:ascii="Times New Roman" w:hAnsi="Times New Roman"/>
          <w:szCs w:val="24"/>
        </w:rPr>
        <w:t>,</w:t>
      </w:r>
      <w:r w:rsidR="00477A68" w:rsidRPr="00D4419F">
        <w:rPr>
          <w:rFonts w:ascii="Times New Roman" w:hAnsi="Times New Roman"/>
          <w:szCs w:val="24"/>
        </w:rPr>
        <w:t xml:space="preserve"> </w:t>
      </w:r>
      <w:r w:rsidR="00017D96" w:rsidRPr="00D4419F">
        <w:rPr>
          <w:rFonts w:ascii="Times New Roman" w:hAnsi="Times New Roman"/>
          <w:szCs w:val="24"/>
        </w:rPr>
        <w:t>le calcul exhaustif et documenté d</w:t>
      </w:r>
      <w:r w:rsidR="00477A68" w:rsidRPr="00D4419F">
        <w:rPr>
          <w:rFonts w:ascii="Times New Roman" w:hAnsi="Times New Roman"/>
          <w:szCs w:val="24"/>
        </w:rPr>
        <w:t>’u</w:t>
      </w:r>
      <w:r w:rsidR="00017D96" w:rsidRPr="00D4419F">
        <w:rPr>
          <w:rFonts w:ascii="Times New Roman" w:hAnsi="Times New Roman"/>
          <w:szCs w:val="24"/>
        </w:rPr>
        <w:t>n nombre individuel de points, comme étant le produit de son indice majoré, de son ratio de temps de travail et de sa note administrative ; que réserve faite de la prime de direction, la valeur du point était calculée comme le rapport de la masse à répartir et du nombre de points attribués ; qu’elle indiquait en</w:t>
      </w:r>
      <w:r w:rsidR="00477A68" w:rsidRPr="00D4419F">
        <w:rPr>
          <w:rFonts w:ascii="Times New Roman" w:hAnsi="Times New Roman"/>
          <w:szCs w:val="24"/>
        </w:rPr>
        <w:t xml:space="preserve">fin, pour chaque agent, la prime individuellement attribuée, </w:t>
      </w:r>
      <w:r w:rsidR="00281E8D">
        <w:rPr>
          <w:rFonts w:ascii="Times New Roman" w:hAnsi="Times New Roman"/>
          <w:szCs w:val="24"/>
        </w:rPr>
        <w:t>liquid</w:t>
      </w:r>
      <w:r w:rsidR="00477A68" w:rsidRPr="00D4419F">
        <w:rPr>
          <w:rFonts w:ascii="Times New Roman" w:hAnsi="Times New Roman"/>
          <w:szCs w:val="24"/>
        </w:rPr>
        <w:t xml:space="preserve">ée </w:t>
      </w:r>
      <w:r w:rsidR="00281E8D">
        <w:rPr>
          <w:rFonts w:ascii="Times New Roman" w:hAnsi="Times New Roman"/>
          <w:szCs w:val="24"/>
        </w:rPr>
        <w:t xml:space="preserve">à hauteur du </w:t>
      </w:r>
      <w:r w:rsidR="00477A68" w:rsidRPr="00D4419F">
        <w:rPr>
          <w:rFonts w:ascii="Times New Roman" w:hAnsi="Times New Roman"/>
          <w:szCs w:val="24"/>
        </w:rPr>
        <w:t>produit de la</w:t>
      </w:r>
      <w:r w:rsidR="00D4419F">
        <w:rPr>
          <w:rFonts w:ascii="Times New Roman" w:hAnsi="Times New Roman"/>
          <w:szCs w:val="24"/>
        </w:rPr>
        <w:t>dite</w:t>
      </w:r>
      <w:r w:rsidR="00477A68" w:rsidRPr="00D4419F">
        <w:rPr>
          <w:rFonts w:ascii="Times New Roman" w:hAnsi="Times New Roman"/>
          <w:szCs w:val="24"/>
        </w:rPr>
        <w:t xml:space="preserve"> valeur du</w:t>
      </w:r>
      <w:r w:rsidR="00D4419F">
        <w:rPr>
          <w:rFonts w:ascii="Times New Roman" w:hAnsi="Times New Roman"/>
          <w:szCs w:val="24"/>
        </w:rPr>
        <w:t xml:space="preserve"> </w:t>
      </w:r>
      <w:r w:rsidR="00477A68" w:rsidRPr="00D4419F">
        <w:rPr>
          <w:rFonts w:ascii="Times New Roman" w:hAnsi="Times New Roman"/>
          <w:szCs w:val="24"/>
        </w:rPr>
        <w:t xml:space="preserve">point par </w:t>
      </w:r>
      <w:r w:rsidR="00D4419F">
        <w:rPr>
          <w:rFonts w:ascii="Times New Roman" w:hAnsi="Times New Roman"/>
          <w:szCs w:val="24"/>
        </w:rPr>
        <w:t xml:space="preserve">son </w:t>
      </w:r>
      <w:r w:rsidR="00477A68" w:rsidRPr="00D4419F">
        <w:rPr>
          <w:rFonts w:ascii="Times New Roman" w:hAnsi="Times New Roman"/>
          <w:szCs w:val="24"/>
        </w:rPr>
        <w:t>nombre individuel de points ;</w:t>
      </w:r>
    </w:p>
    <w:p w:rsidR="00477A68" w:rsidRPr="00D4419F" w:rsidRDefault="000C650D" w:rsidP="000C136B">
      <w:pPr>
        <w:pStyle w:val="PS"/>
        <w:rPr>
          <w:rFonts w:ascii="Times New Roman" w:hAnsi="Times New Roman"/>
          <w:szCs w:val="24"/>
        </w:rPr>
      </w:pPr>
      <w:r w:rsidRPr="00D4419F">
        <w:rPr>
          <w:rFonts w:ascii="Times New Roman" w:hAnsi="Times New Roman"/>
          <w:szCs w:val="24"/>
        </w:rPr>
        <w:t xml:space="preserve">Considérant ainsi qu’en l’espèce, </w:t>
      </w:r>
      <w:r w:rsidR="00477A68" w:rsidRPr="00D4419F">
        <w:rPr>
          <w:rFonts w:ascii="Times New Roman" w:hAnsi="Times New Roman"/>
          <w:szCs w:val="24"/>
        </w:rPr>
        <w:t>nonobstant l’absence de mention expresse aux contrats de ladite prime</w:t>
      </w:r>
      <w:r w:rsidRPr="00D4419F">
        <w:rPr>
          <w:rFonts w:ascii="Times New Roman" w:hAnsi="Times New Roman"/>
          <w:szCs w:val="24"/>
        </w:rPr>
        <w:t xml:space="preserve"> et de ses modalités de calcul</w:t>
      </w:r>
      <w:r w:rsidR="00477A68" w:rsidRPr="00D4419F">
        <w:rPr>
          <w:rFonts w:ascii="Times New Roman" w:hAnsi="Times New Roman"/>
          <w:szCs w:val="24"/>
        </w:rPr>
        <w:t xml:space="preserve">, le comptable était en possession des éléments lui permettant de vérifier, comme pour les agents titulaires, l’exactitude de la somme liquidée au profit des contractuels ; qu’il n’est </w:t>
      </w:r>
      <w:r w:rsidR="00D4419F">
        <w:rPr>
          <w:rFonts w:ascii="Times New Roman" w:hAnsi="Times New Roman"/>
          <w:szCs w:val="24"/>
        </w:rPr>
        <w:t xml:space="preserve">pas </w:t>
      </w:r>
      <w:r w:rsidR="00477A68" w:rsidRPr="00D4419F">
        <w:rPr>
          <w:rFonts w:ascii="Times New Roman" w:hAnsi="Times New Roman"/>
          <w:szCs w:val="24"/>
        </w:rPr>
        <w:t>établi</w:t>
      </w:r>
      <w:r w:rsidR="00D4419F">
        <w:rPr>
          <w:rFonts w:ascii="Times New Roman" w:hAnsi="Times New Roman"/>
          <w:szCs w:val="24"/>
        </w:rPr>
        <w:t xml:space="preserve"> </w:t>
      </w:r>
      <w:r w:rsidR="00477A68" w:rsidRPr="00D4419F">
        <w:rPr>
          <w:rFonts w:ascii="Times New Roman" w:hAnsi="Times New Roman"/>
          <w:szCs w:val="24"/>
        </w:rPr>
        <w:t>que cette liquidation soit inexacte ;</w:t>
      </w:r>
      <w:r w:rsidR="000C136B">
        <w:rPr>
          <w:rFonts w:ascii="Times New Roman" w:hAnsi="Times New Roman"/>
          <w:szCs w:val="24"/>
        </w:rPr>
        <w:t xml:space="preserve"> qu’en conséquence</w:t>
      </w:r>
      <w:r w:rsidR="00477A68" w:rsidRPr="00D4419F">
        <w:rPr>
          <w:rFonts w:ascii="Times New Roman" w:hAnsi="Times New Roman"/>
          <w:szCs w:val="24"/>
        </w:rPr>
        <w:t xml:space="preserve"> le moyen doit être accueilli</w:t>
      </w:r>
      <w:r w:rsidR="003416F8">
        <w:rPr>
          <w:rFonts w:ascii="Times New Roman" w:hAnsi="Times New Roman"/>
          <w:szCs w:val="24"/>
        </w:rPr>
        <w:t xml:space="preserve"> ; </w:t>
      </w:r>
      <w:r w:rsidR="00477A68" w:rsidRPr="00D4419F">
        <w:rPr>
          <w:rFonts w:ascii="Times New Roman" w:hAnsi="Times New Roman"/>
          <w:szCs w:val="24"/>
        </w:rPr>
        <w:t>qu’il y a lieu d’infirmer le jugement sur ce point ;</w:t>
      </w:r>
    </w:p>
    <w:p w:rsidR="00477A68" w:rsidRPr="00D4419F" w:rsidRDefault="00477A68" w:rsidP="00411239">
      <w:pPr>
        <w:pStyle w:val="PS"/>
        <w:rPr>
          <w:rFonts w:ascii="Times New Roman" w:hAnsi="Times New Roman"/>
          <w:szCs w:val="24"/>
        </w:rPr>
      </w:pPr>
      <w:r w:rsidRPr="00D4419F">
        <w:rPr>
          <w:rFonts w:ascii="Times New Roman" w:hAnsi="Times New Roman"/>
          <w:szCs w:val="24"/>
        </w:rPr>
        <w:t xml:space="preserve">Considérant que la charge prononcée reposait sur ce seul manquement ; qu’il n’y a pas lieu </w:t>
      </w:r>
      <w:r w:rsidR="00D4419F">
        <w:rPr>
          <w:rFonts w:ascii="Times New Roman" w:hAnsi="Times New Roman"/>
          <w:szCs w:val="24"/>
        </w:rPr>
        <w:t xml:space="preserve">à ce stade </w:t>
      </w:r>
      <w:r w:rsidRPr="00D4419F">
        <w:rPr>
          <w:rFonts w:ascii="Times New Roman" w:hAnsi="Times New Roman"/>
          <w:szCs w:val="24"/>
        </w:rPr>
        <w:t xml:space="preserve">de statuer sur </w:t>
      </w:r>
      <w:r w:rsidR="00D4419F">
        <w:rPr>
          <w:rFonts w:ascii="Times New Roman" w:hAnsi="Times New Roman"/>
          <w:szCs w:val="24"/>
        </w:rPr>
        <w:t>d</w:t>
      </w:r>
      <w:r w:rsidRPr="00D4419F">
        <w:rPr>
          <w:rFonts w:ascii="Times New Roman" w:hAnsi="Times New Roman"/>
          <w:szCs w:val="24"/>
        </w:rPr>
        <w:t>es motifs tenant à établir un manquement à la nomenclature ou un défaut de base juridique de la créance ; qu’il n’y a donc pas lieu à charge</w:t>
      </w:r>
      <w:r w:rsidR="00FE1F5E">
        <w:rPr>
          <w:rFonts w:ascii="Times New Roman" w:hAnsi="Times New Roman"/>
          <w:szCs w:val="24"/>
        </w:rPr>
        <w:t xml:space="preserve"> </w:t>
      </w:r>
      <w:r w:rsidR="000C650D" w:rsidRPr="00D4419F">
        <w:rPr>
          <w:rFonts w:ascii="Times New Roman" w:hAnsi="Times New Roman"/>
          <w:szCs w:val="24"/>
        </w:rPr>
        <w:t>à raison du paiement de la prime de service à des contractuels</w:t>
      </w:r>
      <w:r w:rsidR="00FE1F5E">
        <w:rPr>
          <w:rFonts w:ascii="Times New Roman" w:hAnsi="Times New Roman"/>
          <w:szCs w:val="24"/>
        </w:rPr>
        <w:t> ;</w:t>
      </w:r>
    </w:p>
    <w:p w:rsidR="00D5791C" w:rsidRPr="00D4419F" w:rsidRDefault="00D5791C" w:rsidP="00AD7BD8">
      <w:pPr>
        <w:spacing w:after="480"/>
        <w:ind w:left="1701" w:firstLine="1134"/>
        <w:rPr>
          <w:rFonts w:eastAsia="Calibri"/>
          <w:b/>
          <w:szCs w:val="24"/>
          <w:lang w:val="x-none" w:eastAsia="en-US"/>
        </w:rPr>
      </w:pPr>
      <w:r w:rsidRPr="00D4419F">
        <w:rPr>
          <w:rFonts w:eastAsia="Calibri"/>
          <w:b/>
          <w:szCs w:val="24"/>
          <w:lang w:eastAsia="en-US"/>
        </w:rPr>
        <w:t>Sur la charge n°</w:t>
      </w:r>
      <w:r w:rsidR="003C11A6">
        <w:rPr>
          <w:rFonts w:eastAsia="Calibri"/>
          <w:b/>
          <w:szCs w:val="24"/>
          <w:lang w:eastAsia="en-US"/>
        </w:rPr>
        <w:t> </w:t>
      </w:r>
      <w:r w:rsidRPr="00D4419F">
        <w:rPr>
          <w:rFonts w:eastAsia="Calibri"/>
          <w:b/>
          <w:szCs w:val="24"/>
          <w:lang w:eastAsia="en-US"/>
        </w:rPr>
        <w:t xml:space="preserve">4 : paiement </w:t>
      </w:r>
      <w:r w:rsidR="00D4419F">
        <w:rPr>
          <w:rFonts w:eastAsia="Calibri"/>
          <w:b/>
          <w:szCs w:val="24"/>
          <w:lang w:eastAsia="en-US"/>
        </w:rPr>
        <w:t xml:space="preserve">de NBI </w:t>
      </w:r>
      <w:r w:rsidRPr="00D4419F">
        <w:rPr>
          <w:rFonts w:eastAsia="Calibri"/>
          <w:b/>
          <w:szCs w:val="24"/>
          <w:lang w:eastAsia="en-US"/>
        </w:rPr>
        <w:t>à des agents contractuels</w:t>
      </w:r>
    </w:p>
    <w:p w:rsidR="00F36D3B" w:rsidRDefault="00F0453D" w:rsidP="00F0453D">
      <w:pPr>
        <w:pStyle w:val="PS"/>
        <w:rPr>
          <w:rFonts w:ascii="Times New Roman" w:hAnsi="Times New Roman"/>
          <w:szCs w:val="24"/>
        </w:rPr>
      </w:pPr>
      <w:r w:rsidRPr="00D4419F">
        <w:rPr>
          <w:rFonts w:ascii="Times New Roman" w:hAnsi="Times New Roman"/>
          <w:szCs w:val="24"/>
        </w:rPr>
        <w:t>Attendu que le requérant soutient que l’attribution de la NBI dans les contrats s’opérait sans viser expressément la réglementation correspondante ; qu</w:t>
      </w:r>
      <w:r w:rsidR="00D4419F">
        <w:rPr>
          <w:rFonts w:ascii="Times New Roman" w:hAnsi="Times New Roman"/>
          <w:szCs w:val="24"/>
        </w:rPr>
        <w:t xml:space="preserve">’il </w:t>
      </w:r>
      <w:r w:rsidRPr="00D4419F">
        <w:rPr>
          <w:rFonts w:ascii="Times New Roman" w:hAnsi="Times New Roman"/>
          <w:szCs w:val="24"/>
        </w:rPr>
        <w:t>était donc dépourvu des moyens permettant d’apprécier la légalité interne des documents contractuels qui lui étaient présentés ;</w:t>
      </w:r>
    </w:p>
    <w:p w:rsidR="00F0453D" w:rsidRPr="00D4419F" w:rsidRDefault="00F0453D" w:rsidP="00F36D3B">
      <w:pPr>
        <w:pStyle w:val="PS"/>
        <w:rPr>
          <w:rFonts w:ascii="Times New Roman" w:hAnsi="Times New Roman"/>
          <w:szCs w:val="24"/>
        </w:rPr>
      </w:pPr>
      <w:r w:rsidRPr="00D4419F">
        <w:rPr>
          <w:rFonts w:ascii="Times New Roman" w:hAnsi="Times New Roman"/>
          <w:szCs w:val="24"/>
        </w:rPr>
        <w:t>Considérant</w:t>
      </w:r>
      <w:r w:rsidR="000C650D" w:rsidRPr="00D4419F">
        <w:rPr>
          <w:rFonts w:ascii="Times New Roman" w:hAnsi="Times New Roman"/>
          <w:szCs w:val="24"/>
        </w:rPr>
        <w:t xml:space="preserve"> </w:t>
      </w:r>
      <w:r w:rsidRPr="00D4419F">
        <w:rPr>
          <w:rFonts w:ascii="Times New Roman" w:hAnsi="Times New Roman"/>
          <w:szCs w:val="24"/>
        </w:rPr>
        <w:t>qu’aux termes des articles 27 de la loi n°</w:t>
      </w:r>
      <w:r w:rsidR="003C11A6">
        <w:rPr>
          <w:rFonts w:ascii="Times New Roman" w:hAnsi="Times New Roman"/>
          <w:szCs w:val="24"/>
        </w:rPr>
        <w:t> </w:t>
      </w:r>
      <w:r w:rsidRPr="00D4419F">
        <w:rPr>
          <w:rFonts w:ascii="Times New Roman" w:hAnsi="Times New Roman"/>
          <w:szCs w:val="24"/>
        </w:rPr>
        <w:t xml:space="preserve">91-73 du 18 janvier 1991 </w:t>
      </w:r>
      <w:r w:rsidR="00281E8D">
        <w:rPr>
          <w:rFonts w:ascii="Times New Roman" w:hAnsi="Times New Roman"/>
          <w:szCs w:val="24"/>
        </w:rPr>
        <w:t xml:space="preserve">susvisée </w:t>
      </w:r>
      <w:r w:rsidRPr="003C11A6">
        <w:rPr>
          <w:rStyle w:val="Normal1"/>
          <w:rFonts w:ascii="Times New Roman" w:hAnsi="Times New Roman"/>
          <w:szCs w:val="24"/>
        </w:rPr>
        <w:t>portant dispositions relatives à la santé publique et aux assurances sociales</w:t>
      </w:r>
      <w:r w:rsidRPr="00D4419F">
        <w:rPr>
          <w:rStyle w:val="Normal1"/>
          <w:rFonts w:ascii="Times New Roman" w:hAnsi="Times New Roman"/>
          <w:color w:val="000000"/>
          <w:szCs w:val="24"/>
        </w:rPr>
        <w:t xml:space="preserve"> </w:t>
      </w:r>
      <w:r w:rsidRPr="00D4419F">
        <w:rPr>
          <w:rFonts w:ascii="Times New Roman" w:hAnsi="Times New Roman"/>
          <w:szCs w:val="24"/>
        </w:rPr>
        <w:t>et de l’article 1 du décret n°</w:t>
      </w:r>
      <w:r w:rsidR="003C11A6">
        <w:rPr>
          <w:rFonts w:ascii="Times New Roman" w:hAnsi="Times New Roman"/>
          <w:szCs w:val="24"/>
        </w:rPr>
        <w:t> </w:t>
      </w:r>
      <w:r w:rsidRPr="00D4419F">
        <w:rPr>
          <w:rFonts w:ascii="Times New Roman" w:hAnsi="Times New Roman"/>
          <w:szCs w:val="24"/>
        </w:rPr>
        <w:t xml:space="preserve">93-92 du 19 janvier 1993 </w:t>
      </w:r>
      <w:r w:rsidR="00281E8D">
        <w:rPr>
          <w:rFonts w:ascii="Times New Roman" w:hAnsi="Times New Roman"/>
          <w:szCs w:val="24"/>
        </w:rPr>
        <w:t xml:space="preserve">susvisé </w:t>
      </w:r>
      <w:r w:rsidRPr="00D4419F">
        <w:rPr>
          <w:rFonts w:ascii="Times New Roman" w:hAnsi="Times New Roman"/>
          <w:szCs w:val="24"/>
        </w:rPr>
        <w:t xml:space="preserve">relatif à la nouvelle bonification indiciaire attachée à des emplois occupés par certains personnels de la fonction publique hospitalière, </w:t>
      </w:r>
      <w:r w:rsidR="000C650D" w:rsidRPr="00D4419F">
        <w:rPr>
          <w:rFonts w:ascii="Times New Roman" w:hAnsi="Times New Roman"/>
          <w:szCs w:val="24"/>
        </w:rPr>
        <w:t xml:space="preserve">la </w:t>
      </w:r>
      <w:r w:rsidRPr="00D4419F">
        <w:rPr>
          <w:rFonts w:ascii="Times New Roman" w:hAnsi="Times New Roman"/>
          <w:szCs w:val="24"/>
        </w:rPr>
        <w:t xml:space="preserve">NBI </w:t>
      </w:r>
      <w:r w:rsidR="000C650D" w:rsidRPr="00D4419F">
        <w:rPr>
          <w:rFonts w:ascii="Times New Roman" w:hAnsi="Times New Roman"/>
          <w:szCs w:val="24"/>
        </w:rPr>
        <w:t xml:space="preserve">est </w:t>
      </w:r>
      <w:r w:rsidRPr="00D4419F">
        <w:rPr>
          <w:rFonts w:ascii="Times New Roman" w:hAnsi="Times New Roman"/>
          <w:szCs w:val="24"/>
        </w:rPr>
        <w:t xml:space="preserve">attribuée à des </w:t>
      </w:r>
      <w:r w:rsidR="000C650D" w:rsidRPr="00D4419F">
        <w:rPr>
          <w:rFonts w:ascii="Times New Roman" w:hAnsi="Times New Roman"/>
          <w:szCs w:val="24"/>
        </w:rPr>
        <w:t xml:space="preserve">agents </w:t>
      </w:r>
      <w:r w:rsidRPr="00D4419F">
        <w:rPr>
          <w:rFonts w:ascii="Times New Roman" w:hAnsi="Times New Roman"/>
          <w:szCs w:val="24"/>
        </w:rPr>
        <w:t>fonctionnaires occupant certains emplois limitativement énumérés</w:t>
      </w:r>
      <w:r w:rsidR="008C5781">
        <w:rPr>
          <w:rFonts w:ascii="Times New Roman" w:hAnsi="Times New Roman"/>
          <w:szCs w:val="24"/>
        </w:rPr>
        <w:t> </w:t>
      </w:r>
      <w:r w:rsidRPr="00D4419F">
        <w:rPr>
          <w:rFonts w:ascii="Times New Roman" w:hAnsi="Times New Roman"/>
          <w:szCs w:val="24"/>
        </w:rPr>
        <w:t>;</w:t>
      </w:r>
    </w:p>
    <w:p w:rsidR="00BE6356" w:rsidRPr="00D4419F" w:rsidRDefault="00BE6356" w:rsidP="0065774D">
      <w:pPr>
        <w:pStyle w:val="PS"/>
        <w:spacing w:after="460"/>
        <w:rPr>
          <w:rFonts w:ascii="Times New Roman" w:hAnsi="Times New Roman"/>
          <w:szCs w:val="24"/>
        </w:rPr>
      </w:pPr>
      <w:r w:rsidRPr="00D4419F">
        <w:rPr>
          <w:rFonts w:ascii="Times New Roman" w:hAnsi="Times New Roman"/>
          <w:szCs w:val="24"/>
        </w:rPr>
        <w:lastRenderedPageBreak/>
        <w:t>Considérant que,</w:t>
      </w:r>
      <w:r w:rsidR="008C5781">
        <w:rPr>
          <w:rFonts w:ascii="Times New Roman" w:hAnsi="Times New Roman"/>
          <w:i/>
          <w:szCs w:val="24"/>
        </w:rPr>
        <w:t xml:space="preserve"> </w:t>
      </w:r>
      <w:r w:rsidRPr="00D4419F">
        <w:rPr>
          <w:rFonts w:ascii="Times New Roman" w:hAnsi="Times New Roman"/>
          <w:szCs w:val="24"/>
        </w:rPr>
        <w:t xml:space="preserve">pour apprécier la validité des créances, les comptables doivent notamment exercer leur contrôle sur la production des justifications ; </w:t>
      </w:r>
      <w:r w:rsidR="00F36D3B">
        <w:rPr>
          <w:rFonts w:ascii="Times New Roman" w:hAnsi="Times New Roman"/>
          <w:szCs w:val="24"/>
        </w:rPr>
        <w:t xml:space="preserve">que </w:t>
      </w:r>
      <w:r w:rsidRPr="00D4419F">
        <w:rPr>
          <w:rFonts w:ascii="Times New Roman" w:hAnsi="Times New Roman"/>
          <w:szCs w:val="24"/>
        </w:rPr>
        <w:t xml:space="preserve">ces contrôles peuvent </w:t>
      </w:r>
      <w:r w:rsidR="00281E8D">
        <w:rPr>
          <w:rFonts w:ascii="Times New Roman" w:hAnsi="Times New Roman"/>
          <w:szCs w:val="24"/>
        </w:rPr>
        <w:t xml:space="preserve">les </w:t>
      </w:r>
      <w:r w:rsidRPr="00D4419F">
        <w:rPr>
          <w:rFonts w:ascii="Times New Roman" w:hAnsi="Times New Roman"/>
          <w:szCs w:val="24"/>
        </w:rPr>
        <w:t>conduire à porter une appréciation juridique sur les actes administratifs à l’origine de la créance et qu’il leur appartient alors d’en donner une interprétation conforme à la réglementation en vigueur ; qu’enfin</w:t>
      </w:r>
      <w:r w:rsidR="00281E8D">
        <w:rPr>
          <w:rFonts w:ascii="Times New Roman" w:hAnsi="Times New Roman"/>
          <w:szCs w:val="24"/>
        </w:rPr>
        <w:t>,</w:t>
      </w:r>
      <w:r w:rsidRPr="00D4419F">
        <w:rPr>
          <w:rFonts w:ascii="Times New Roman" w:hAnsi="Times New Roman"/>
          <w:szCs w:val="24"/>
        </w:rPr>
        <w:t xml:space="preserve"> lorsque les pièces justificatives fournies sont insuffisantes ou contradictoires</w:t>
      </w:r>
      <w:r w:rsidR="008C5781">
        <w:rPr>
          <w:rFonts w:ascii="Times New Roman" w:hAnsi="Times New Roman"/>
          <w:szCs w:val="24"/>
        </w:rPr>
        <w:t xml:space="preserve"> </w:t>
      </w:r>
      <w:r w:rsidR="00F36D3B">
        <w:rPr>
          <w:rFonts w:ascii="Times New Roman" w:hAnsi="Times New Roman"/>
          <w:szCs w:val="24"/>
        </w:rPr>
        <w:t xml:space="preserve">pour établir la validité de la créance, </w:t>
      </w:r>
      <w:r w:rsidRPr="00D4419F">
        <w:rPr>
          <w:rFonts w:ascii="Times New Roman" w:hAnsi="Times New Roman"/>
          <w:szCs w:val="24"/>
        </w:rPr>
        <w:t>il appartient aux comptables d</w:t>
      </w:r>
      <w:r w:rsidR="00281E8D">
        <w:rPr>
          <w:rFonts w:ascii="Times New Roman" w:hAnsi="Times New Roman"/>
          <w:szCs w:val="24"/>
        </w:rPr>
        <w:t>’</w:t>
      </w:r>
      <w:r w:rsidRPr="00D4419F">
        <w:rPr>
          <w:rFonts w:ascii="Times New Roman" w:hAnsi="Times New Roman"/>
          <w:szCs w:val="24"/>
        </w:rPr>
        <w:t>e</w:t>
      </w:r>
      <w:r w:rsidR="00281E8D">
        <w:rPr>
          <w:rFonts w:ascii="Times New Roman" w:hAnsi="Times New Roman"/>
          <w:szCs w:val="24"/>
        </w:rPr>
        <w:t>n</w:t>
      </w:r>
      <w:r w:rsidRPr="00D4419F">
        <w:rPr>
          <w:rFonts w:ascii="Times New Roman" w:hAnsi="Times New Roman"/>
          <w:szCs w:val="24"/>
        </w:rPr>
        <w:t xml:space="preserve"> suspendre le paiement</w:t>
      </w:r>
      <w:r w:rsidR="00F36D3B">
        <w:rPr>
          <w:rFonts w:ascii="Times New Roman" w:hAnsi="Times New Roman"/>
          <w:szCs w:val="24"/>
        </w:rPr>
        <w:t> </w:t>
      </w:r>
      <w:r w:rsidRPr="00D4419F">
        <w:rPr>
          <w:rFonts w:ascii="Times New Roman" w:hAnsi="Times New Roman"/>
          <w:szCs w:val="24"/>
        </w:rPr>
        <w:t>;</w:t>
      </w:r>
    </w:p>
    <w:p w:rsidR="00BE6356" w:rsidRPr="00D4419F" w:rsidRDefault="001A2D25" w:rsidP="0065774D">
      <w:pPr>
        <w:pStyle w:val="PS"/>
        <w:spacing w:after="460"/>
        <w:rPr>
          <w:rFonts w:ascii="Times New Roman" w:hAnsi="Times New Roman"/>
          <w:szCs w:val="24"/>
        </w:rPr>
      </w:pPr>
      <w:r>
        <w:rPr>
          <w:rFonts w:ascii="Times New Roman" w:hAnsi="Times New Roman"/>
          <w:szCs w:val="24"/>
        </w:rPr>
        <w:t>Considérant</w:t>
      </w:r>
      <w:r w:rsidR="00281E8D">
        <w:rPr>
          <w:rFonts w:ascii="Times New Roman" w:hAnsi="Times New Roman"/>
          <w:szCs w:val="24"/>
        </w:rPr>
        <w:t xml:space="preserve"> que l’abondement indiciaire prévu aux contrats des intéressés est expressément dénommé « NBI » ;</w:t>
      </w:r>
      <w:r>
        <w:rPr>
          <w:rFonts w:ascii="Times New Roman" w:hAnsi="Times New Roman"/>
          <w:szCs w:val="24"/>
        </w:rPr>
        <w:t xml:space="preserve"> </w:t>
      </w:r>
      <w:r w:rsidR="00281E8D">
        <w:rPr>
          <w:rFonts w:ascii="Times New Roman" w:hAnsi="Times New Roman"/>
          <w:szCs w:val="24"/>
        </w:rPr>
        <w:t xml:space="preserve">que cette mention </w:t>
      </w:r>
      <w:r w:rsidR="00BE6356" w:rsidRPr="00D4419F">
        <w:rPr>
          <w:rFonts w:ascii="Times New Roman" w:hAnsi="Times New Roman"/>
          <w:szCs w:val="24"/>
        </w:rPr>
        <w:t xml:space="preserve">est contradictoire avec les textes susvisés, que cet octroi fasse ou non </w:t>
      </w:r>
      <w:r w:rsidR="00F36D3B">
        <w:rPr>
          <w:rFonts w:ascii="Times New Roman" w:hAnsi="Times New Roman"/>
          <w:szCs w:val="24"/>
        </w:rPr>
        <w:t xml:space="preserve">mention </w:t>
      </w:r>
      <w:r w:rsidR="00D64F53">
        <w:rPr>
          <w:rFonts w:ascii="Times New Roman" w:hAnsi="Times New Roman"/>
          <w:szCs w:val="24"/>
        </w:rPr>
        <w:t xml:space="preserve">desdits </w:t>
      </w:r>
      <w:r w:rsidR="00BE6356" w:rsidRPr="00D4419F">
        <w:rPr>
          <w:rFonts w:ascii="Times New Roman" w:hAnsi="Times New Roman"/>
          <w:szCs w:val="24"/>
        </w:rPr>
        <w:t>textes</w:t>
      </w:r>
      <w:r w:rsidR="008C5781">
        <w:rPr>
          <w:rFonts w:ascii="Times New Roman" w:hAnsi="Times New Roman"/>
          <w:szCs w:val="24"/>
        </w:rPr>
        <w:t> </w:t>
      </w:r>
      <w:r w:rsidR="00BE6356" w:rsidRPr="00D4419F">
        <w:rPr>
          <w:rFonts w:ascii="Times New Roman" w:hAnsi="Times New Roman"/>
          <w:szCs w:val="24"/>
        </w:rPr>
        <w:t>; que face à cette contradiction, il revenait au comptable de suspendre le</w:t>
      </w:r>
      <w:r w:rsidR="00F36D3B">
        <w:rPr>
          <w:rFonts w:ascii="Times New Roman" w:hAnsi="Times New Roman"/>
          <w:szCs w:val="24"/>
        </w:rPr>
        <w:t>s</w:t>
      </w:r>
      <w:r w:rsidR="00BE6356" w:rsidRPr="00D4419F">
        <w:rPr>
          <w:rFonts w:ascii="Times New Roman" w:hAnsi="Times New Roman"/>
          <w:szCs w:val="24"/>
        </w:rPr>
        <w:t xml:space="preserve"> paiement</w:t>
      </w:r>
      <w:r w:rsidR="00F36D3B">
        <w:rPr>
          <w:rFonts w:ascii="Times New Roman" w:hAnsi="Times New Roman"/>
          <w:szCs w:val="24"/>
        </w:rPr>
        <w:t>s</w:t>
      </w:r>
      <w:r w:rsidR="00D64F53">
        <w:rPr>
          <w:rFonts w:ascii="Times New Roman" w:hAnsi="Times New Roman"/>
          <w:szCs w:val="24"/>
        </w:rPr>
        <w:t xml:space="preserve"> correspondants</w:t>
      </w:r>
      <w:r w:rsidR="008C5781">
        <w:rPr>
          <w:rFonts w:ascii="Times New Roman" w:hAnsi="Times New Roman"/>
          <w:szCs w:val="24"/>
        </w:rPr>
        <w:t> </w:t>
      </w:r>
      <w:r w:rsidR="00BE6356" w:rsidRPr="00D4419F">
        <w:rPr>
          <w:rFonts w:ascii="Times New Roman" w:hAnsi="Times New Roman"/>
          <w:szCs w:val="24"/>
        </w:rPr>
        <w:t>;</w:t>
      </w:r>
      <w:r>
        <w:rPr>
          <w:rFonts w:ascii="Times New Roman" w:hAnsi="Times New Roman"/>
          <w:szCs w:val="24"/>
        </w:rPr>
        <w:t xml:space="preserve"> qu’en conséquence </w:t>
      </w:r>
      <w:r w:rsidR="00BE6356" w:rsidRPr="00D4419F">
        <w:rPr>
          <w:rFonts w:ascii="Times New Roman" w:hAnsi="Times New Roman"/>
          <w:szCs w:val="24"/>
        </w:rPr>
        <w:t>il y a lieu de rejeter le moyen ;</w:t>
      </w:r>
    </w:p>
    <w:p w:rsidR="00512443" w:rsidRPr="00D4419F" w:rsidRDefault="00512443" w:rsidP="00512443">
      <w:pPr>
        <w:ind w:firstLine="2835"/>
        <w:rPr>
          <w:szCs w:val="24"/>
        </w:rPr>
      </w:pPr>
      <w:r w:rsidRPr="00D4419F">
        <w:rPr>
          <w:szCs w:val="24"/>
        </w:rPr>
        <w:t xml:space="preserve">Par ces motifs, </w:t>
      </w:r>
    </w:p>
    <w:p w:rsidR="00512443" w:rsidRPr="001A2D25" w:rsidRDefault="00512443" w:rsidP="001A2D25">
      <w:pPr>
        <w:pStyle w:val="PS"/>
        <w:ind w:left="0" w:firstLine="1701"/>
        <w:jc w:val="center"/>
        <w:rPr>
          <w:rFonts w:ascii="Times New Roman" w:hAnsi="Times New Roman"/>
          <w:b/>
          <w:szCs w:val="24"/>
        </w:rPr>
      </w:pPr>
      <w:r w:rsidRPr="001A2D25">
        <w:rPr>
          <w:rFonts w:ascii="Times New Roman" w:hAnsi="Times New Roman"/>
          <w:b/>
          <w:szCs w:val="24"/>
        </w:rPr>
        <w:t>D</w:t>
      </w:r>
      <w:bookmarkStart w:id="0" w:name="_GoBack"/>
      <w:r w:rsidR="008C5781" w:rsidRPr="008C5781">
        <w:rPr>
          <w:rFonts w:ascii="Times New Roman Gras" w:hAnsi="Times New Roman Gras"/>
          <w:b/>
          <w:caps/>
          <w:szCs w:val="24"/>
        </w:rPr>
        <w:t>é</w:t>
      </w:r>
      <w:bookmarkEnd w:id="0"/>
      <w:r w:rsidRPr="001A2D25">
        <w:rPr>
          <w:rFonts w:ascii="Times New Roman" w:hAnsi="Times New Roman"/>
          <w:b/>
          <w:szCs w:val="24"/>
        </w:rPr>
        <w:t>CIDE :</w:t>
      </w:r>
    </w:p>
    <w:p w:rsidR="00512443" w:rsidRPr="00D4419F" w:rsidRDefault="00512443" w:rsidP="006401CB">
      <w:pPr>
        <w:pStyle w:val="Corpsdetexte"/>
        <w:spacing w:after="240"/>
        <w:ind w:left="1701" w:firstLine="1134"/>
        <w:rPr>
          <w:szCs w:val="24"/>
        </w:rPr>
      </w:pPr>
      <w:r w:rsidRPr="00D4419F">
        <w:rPr>
          <w:szCs w:val="24"/>
        </w:rPr>
        <w:t xml:space="preserve">Article </w:t>
      </w:r>
      <w:r w:rsidR="00BE6356" w:rsidRPr="00D4419F">
        <w:rPr>
          <w:szCs w:val="24"/>
        </w:rPr>
        <w:t>1</w:t>
      </w:r>
      <w:r w:rsidR="00BE6356" w:rsidRPr="00D4419F">
        <w:rPr>
          <w:szCs w:val="24"/>
          <w:vertAlign w:val="superscript"/>
        </w:rPr>
        <w:t>er</w:t>
      </w:r>
      <w:r w:rsidR="00086CCA">
        <w:rPr>
          <w:szCs w:val="24"/>
          <w:vertAlign w:val="superscript"/>
        </w:rPr>
        <w:t> </w:t>
      </w:r>
      <w:r w:rsidR="00BE6356" w:rsidRPr="00D4419F">
        <w:rPr>
          <w:szCs w:val="24"/>
        </w:rPr>
        <w:t>–</w:t>
      </w:r>
      <w:r w:rsidR="00086CCA">
        <w:rPr>
          <w:szCs w:val="24"/>
        </w:rPr>
        <w:t> </w:t>
      </w:r>
      <w:r w:rsidRPr="00D4419F">
        <w:rPr>
          <w:szCs w:val="24"/>
        </w:rPr>
        <w:t>L</w:t>
      </w:r>
      <w:r w:rsidR="00BE6356" w:rsidRPr="00D4419F">
        <w:rPr>
          <w:szCs w:val="24"/>
        </w:rPr>
        <w:t>e débet de 17</w:t>
      </w:r>
      <w:r w:rsidR="006401CB">
        <w:rPr>
          <w:szCs w:val="24"/>
        </w:rPr>
        <w:t> </w:t>
      </w:r>
      <w:r w:rsidR="00BE6356" w:rsidRPr="00D4419F">
        <w:rPr>
          <w:szCs w:val="24"/>
        </w:rPr>
        <w:t>365</w:t>
      </w:r>
      <w:r w:rsidR="006401CB">
        <w:rPr>
          <w:szCs w:val="24"/>
        </w:rPr>
        <w:t> </w:t>
      </w:r>
      <w:r w:rsidR="00BE6356" w:rsidRPr="00D4419F">
        <w:rPr>
          <w:szCs w:val="24"/>
        </w:rPr>
        <w:t>€ (au titre de la troisième charge) est infirmé</w:t>
      </w:r>
      <w:r w:rsidRPr="00D4419F">
        <w:rPr>
          <w:szCs w:val="24"/>
        </w:rPr>
        <w:t>.</w:t>
      </w:r>
    </w:p>
    <w:p w:rsidR="00BE6356" w:rsidRPr="00D4419F" w:rsidRDefault="00BE6356" w:rsidP="006401CB">
      <w:pPr>
        <w:pStyle w:val="Corpsdetexte"/>
        <w:spacing w:after="240"/>
        <w:ind w:left="1701" w:firstLine="1134"/>
        <w:rPr>
          <w:szCs w:val="24"/>
        </w:rPr>
      </w:pPr>
      <w:r w:rsidRPr="00D4419F">
        <w:rPr>
          <w:szCs w:val="24"/>
        </w:rPr>
        <w:t>Article 2.</w:t>
      </w:r>
      <w:r w:rsidR="00086CCA">
        <w:rPr>
          <w:szCs w:val="24"/>
        </w:rPr>
        <w:t> </w:t>
      </w:r>
      <w:r w:rsidRPr="00D4419F">
        <w:rPr>
          <w:szCs w:val="24"/>
        </w:rPr>
        <w:t>–</w:t>
      </w:r>
      <w:r w:rsidR="00086CCA">
        <w:rPr>
          <w:szCs w:val="24"/>
        </w:rPr>
        <w:t> </w:t>
      </w:r>
      <w:r w:rsidRPr="00D4419F">
        <w:rPr>
          <w:szCs w:val="24"/>
        </w:rPr>
        <w:t>Il n’y a pas lieu à charge à raison du paiement de la prime de service à des contractuels pour 17</w:t>
      </w:r>
      <w:r w:rsidR="006401CB">
        <w:rPr>
          <w:szCs w:val="24"/>
        </w:rPr>
        <w:t> </w:t>
      </w:r>
      <w:r w:rsidRPr="00D4419F">
        <w:rPr>
          <w:szCs w:val="24"/>
        </w:rPr>
        <w:t>365</w:t>
      </w:r>
      <w:r w:rsidR="006401CB">
        <w:rPr>
          <w:szCs w:val="24"/>
        </w:rPr>
        <w:t> </w:t>
      </w:r>
      <w:r w:rsidRPr="00D4419F">
        <w:rPr>
          <w:szCs w:val="24"/>
        </w:rPr>
        <w:t>€.</w:t>
      </w:r>
    </w:p>
    <w:p w:rsidR="00BE6356" w:rsidRPr="00D4419F" w:rsidRDefault="00BE6356" w:rsidP="00CB684B">
      <w:pPr>
        <w:pStyle w:val="Corpsdetexte"/>
        <w:spacing w:after="240"/>
        <w:ind w:left="1701" w:firstLine="1134"/>
        <w:rPr>
          <w:szCs w:val="24"/>
        </w:rPr>
      </w:pPr>
      <w:r w:rsidRPr="00D4419F">
        <w:rPr>
          <w:szCs w:val="24"/>
        </w:rPr>
        <w:t>Article 3.</w:t>
      </w:r>
      <w:r w:rsidR="00086CCA">
        <w:rPr>
          <w:szCs w:val="24"/>
        </w:rPr>
        <w:t> </w:t>
      </w:r>
      <w:r w:rsidRPr="00D4419F">
        <w:rPr>
          <w:szCs w:val="24"/>
        </w:rPr>
        <w:t>–</w:t>
      </w:r>
      <w:r w:rsidR="00086CCA">
        <w:rPr>
          <w:szCs w:val="24"/>
        </w:rPr>
        <w:t> </w:t>
      </w:r>
      <w:r w:rsidRPr="00D4419F">
        <w:rPr>
          <w:szCs w:val="24"/>
        </w:rPr>
        <w:t>La requête est rejetée pour le surplus.</w:t>
      </w:r>
    </w:p>
    <w:p w:rsidR="00512443" w:rsidRPr="00D4419F" w:rsidRDefault="00512443" w:rsidP="00CB684B">
      <w:pPr>
        <w:pStyle w:val="PS"/>
        <w:spacing w:after="240"/>
        <w:ind w:firstLine="0"/>
        <w:jc w:val="center"/>
        <w:rPr>
          <w:rFonts w:ascii="Times New Roman" w:hAnsi="Times New Roman"/>
          <w:szCs w:val="24"/>
        </w:rPr>
      </w:pPr>
      <w:r w:rsidRPr="00D4419F">
        <w:rPr>
          <w:rFonts w:ascii="Times New Roman" w:hAnsi="Times New Roman"/>
          <w:szCs w:val="24"/>
        </w:rPr>
        <w:t>------------</w:t>
      </w:r>
    </w:p>
    <w:p w:rsidR="00C91316" w:rsidRDefault="00C91316" w:rsidP="00CB684B">
      <w:pPr>
        <w:spacing w:after="240"/>
        <w:ind w:left="1559" w:firstLine="1276"/>
        <w:rPr>
          <w:szCs w:val="24"/>
        </w:rPr>
      </w:pPr>
      <w:r w:rsidRPr="00962CBF">
        <w:rPr>
          <w:szCs w:val="24"/>
        </w:rPr>
        <w:t>Fait et jugé en la Cour des comptes, quatrième cham</w:t>
      </w:r>
      <w:r>
        <w:rPr>
          <w:szCs w:val="24"/>
        </w:rPr>
        <w:t>bre, première section. Présents :</w:t>
      </w:r>
      <w:r w:rsidRPr="00962CBF">
        <w:rPr>
          <w:szCs w:val="24"/>
        </w:rPr>
        <w:t xml:space="preserve"> M</w:t>
      </w:r>
      <w:r>
        <w:rPr>
          <w:szCs w:val="24"/>
        </w:rPr>
        <w:t>M. Bayle, président, Lafaure, Vermeulen, Vachia, Mme Gadriot-Renard, MM. Rousselot et Geoffroy, conseillers maîtres.</w:t>
      </w:r>
    </w:p>
    <w:p w:rsidR="00C91316" w:rsidRPr="00962CBF" w:rsidRDefault="00C91316" w:rsidP="00C91316">
      <w:pPr>
        <w:spacing w:after="360"/>
        <w:ind w:firstLine="2835"/>
        <w:rPr>
          <w:szCs w:val="24"/>
        </w:rPr>
      </w:pPr>
      <w:r w:rsidRPr="00962CBF">
        <w:rPr>
          <w:szCs w:val="24"/>
        </w:rPr>
        <w:t xml:space="preserve">Signé : </w:t>
      </w:r>
      <w:r>
        <w:rPr>
          <w:szCs w:val="24"/>
        </w:rPr>
        <w:t>Bayle, président et Le Baron, greffier.</w:t>
      </w:r>
    </w:p>
    <w:p w:rsidR="00C91316" w:rsidRDefault="00C91316" w:rsidP="00C91316">
      <w:pPr>
        <w:spacing w:after="360"/>
        <w:ind w:left="1560" w:firstLine="1275"/>
        <w:rPr>
          <w:szCs w:val="24"/>
        </w:rPr>
      </w:pPr>
      <w:r w:rsidRPr="00962CBF">
        <w:rPr>
          <w:szCs w:val="24"/>
        </w:rPr>
        <w:t>Collationné, certifié conforme à la minute étant au greffe de la</w:t>
      </w:r>
      <w:r w:rsidR="005E4FE8">
        <w:rPr>
          <w:szCs w:val="24"/>
        </w:rPr>
        <w:t> </w:t>
      </w:r>
      <w:r w:rsidR="00EE5AD6">
        <w:rPr>
          <w:szCs w:val="24"/>
        </w:rPr>
        <w:t>Cour des comptes et d</w:t>
      </w:r>
      <w:r w:rsidRPr="00962CBF">
        <w:rPr>
          <w:szCs w:val="24"/>
        </w:rPr>
        <w:t>élivré par moi, secrétaire général.</w:t>
      </w:r>
    </w:p>
    <w:p w:rsidR="00C91316" w:rsidRPr="00742CE3" w:rsidRDefault="00C91316" w:rsidP="00C91316">
      <w:pPr>
        <w:spacing w:before="0" w:after="0"/>
        <w:ind w:left="539" w:firstLine="5131"/>
        <w:jc w:val="center"/>
        <w:rPr>
          <w:rFonts w:ascii="Times New Roman Gras" w:hAnsi="Times New Roman Gras"/>
          <w:b/>
          <w:bCs/>
        </w:rPr>
      </w:pPr>
      <w:r w:rsidRPr="00742CE3">
        <w:rPr>
          <w:rFonts w:ascii="Times New Roman Gras" w:hAnsi="Times New Roman Gras"/>
          <w:b/>
          <w:bCs/>
        </w:rPr>
        <w:t>Pour le Secrétaire général</w:t>
      </w:r>
    </w:p>
    <w:p w:rsidR="00C91316" w:rsidRPr="00742CE3" w:rsidRDefault="00C91316" w:rsidP="00C91316">
      <w:pPr>
        <w:spacing w:before="0" w:after="0"/>
        <w:ind w:left="539" w:firstLine="5131"/>
        <w:jc w:val="center"/>
        <w:rPr>
          <w:rFonts w:ascii="Times New Roman Gras" w:hAnsi="Times New Roman Gras"/>
          <w:b/>
          <w:bCs/>
        </w:rPr>
      </w:pPr>
      <w:proofErr w:type="gramStart"/>
      <w:r w:rsidRPr="00742CE3">
        <w:rPr>
          <w:rFonts w:ascii="Times New Roman Gras" w:hAnsi="Times New Roman Gras"/>
          <w:b/>
          <w:bCs/>
        </w:rPr>
        <w:t>et</w:t>
      </w:r>
      <w:proofErr w:type="gramEnd"/>
      <w:r w:rsidRPr="00742CE3">
        <w:rPr>
          <w:rFonts w:ascii="Times New Roman Gras" w:hAnsi="Times New Roman Gras"/>
          <w:b/>
          <w:bCs/>
        </w:rPr>
        <w:t xml:space="preserve"> par délégation,</w:t>
      </w:r>
    </w:p>
    <w:p w:rsidR="00C91316" w:rsidRPr="00742CE3" w:rsidRDefault="00C91316" w:rsidP="00CB684B">
      <w:pPr>
        <w:spacing w:before="0" w:after="960"/>
        <w:ind w:left="539" w:firstLine="5131"/>
        <w:jc w:val="center"/>
        <w:rPr>
          <w:rFonts w:ascii="Times New Roman Gras" w:hAnsi="Times New Roman Gras"/>
          <w:b/>
          <w:bCs/>
        </w:rPr>
      </w:pPr>
      <w:proofErr w:type="gramStart"/>
      <w:r>
        <w:rPr>
          <w:rFonts w:ascii="Times New Roman Gras" w:hAnsi="Times New Roman Gras"/>
          <w:b/>
          <w:bCs/>
        </w:rPr>
        <w:t>le</w:t>
      </w:r>
      <w:proofErr w:type="gramEnd"/>
      <w:r>
        <w:rPr>
          <w:rFonts w:ascii="Times New Roman Gras" w:hAnsi="Times New Roman Gras"/>
          <w:b/>
          <w:bCs/>
        </w:rPr>
        <w:t xml:space="preserve"> Chef du Greffe </w:t>
      </w:r>
      <w:r w:rsidRPr="00742CE3">
        <w:rPr>
          <w:rFonts w:ascii="Times New Roman Gras" w:hAnsi="Times New Roman Gras"/>
          <w:b/>
          <w:bCs/>
        </w:rPr>
        <w:t>contentieux</w:t>
      </w:r>
    </w:p>
    <w:p w:rsidR="00C91316" w:rsidRPr="00742CE3" w:rsidRDefault="00C91316" w:rsidP="00EE5AD6">
      <w:pPr>
        <w:ind w:left="539" w:firstLine="5698"/>
        <w:jc w:val="center"/>
        <w:rPr>
          <w:rFonts w:ascii="Times New Roman Gras" w:hAnsi="Times New Roman Gras"/>
          <w:b/>
          <w:bCs/>
        </w:rPr>
      </w:pPr>
      <w:r w:rsidRPr="00742CE3">
        <w:rPr>
          <w:rFonts w:ascii="Times New Roman Gras" w:hAnsi="Times New Roman Gras"/>
          <w:b/>
          <w:bCs/>
        </w:rPr>
        <w:t>Daniel FEREZ</w:t>
      </w:r>
      <w:r w:rsidR="001528A8">
        <w:rPr>
          <w:rFonts w:ascii="Times New Roman Gras" w:hAnsi="Times New Roman Gras"/>
          <w:b/>
          <w:bCs/>
        </w:rPr>
        <w:t>-</w:t>
      </w:r>
    </w:p>
    <w:sectPr w:rsidR="00C91316" w:rsidRPr="00742CE3" w:rsidSect="005B029C">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1D2" w:rsidRDefault="003851D2" w:rsidP="00512443">
      <w:pPr>
        <w:spacing w:before="0" w:after="0"/>
      </w:pPr>
      <w:r>
        <w:separator/>
      </w:r>
    </w:p>
  </w:endnote>
  <w:endnote w:type="continuationSeparator" w:id="0">
    <w:p w:rsidR="003851D2" w:rsidRDefault="003851D2" w:rsidP="005124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096" w:rsidRDefault="00F75096">
    <w:pPr>
      <w:pStyle w:val="Pieddepage"/>
      <w:jc w:val="right"/>
    </w:pPr>
  </w:p>
  <w:p w:rsidR="00512443" w:rsidRDefault="005124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1D2" w:rsidRDefault="003851D2" w:rsidP="00512443">
      <w:pPr>
        <w:spacing w:before="0" w:after="0"/>
      </w:pPr>
      <w:r>
        <w:separator/>
      </w:r>
    </w:p>
  </w:footnote>
  <w:footnote w:type="continuationSeparator" w:id="0">
    <w:p w:rsidR="003851D2" w:rsidRDefault="003851D2" w:rsidP="0051244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0FC" w:rsidRDefault="00E620FC">
    <w:pPr>
      <w:pStyle w:val="En-tte"/>
      <w:jc w:val="right"/>
    </w:pPr>
    <w:r>
      <w:fldChar w:fldCharType="begin"/>
    </w:r>
    <w:r>
      <w:instrText>PAGE   \* MERGEFORMAT</w:instrText>
    </w:r>
    <w:r>
      <w:fldChar w:fldCharType="separate"/>
    </w:r>
    <w:r w:rsidR="008C5781" w:rsidRPr="008C5781">
      <w:rPr>
        <w:noProof/>
        <w:lang w:val="fr-FR"/>
      </w:rPr>
      <w:t>7</w:t>
    </w:r>
    <w:r>
      <w:fldChar w:fldCharType="end"/>
    </w:r>
  </w:p>
  <w:p w:rsidR="00E620FC" w:rsidRDefault="00E620F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CA4"/>
    <w:multiLevelType w:val="hybridMultilevel"/>
    <w:tmpl w:val="2C8204F6"/>
    <w:lvl w:ilvl="0" w:tplc="1D0EE89E">
      <w:start w:val="13"/>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1B80268E"/>
    <w:multiLevelType w:val="hybridMultilevel"/>
    <w:tmpl w:val="CF209822"/>
    <w:lvl w:ilvl="0" w:tplc="1D0EE89E">
      <w:start w:val="13"/>
      <w:numFmt w:val="bullet"/>
      <w:lvlText w:val="-"/>
      <w:lvlJc w:val="left"/>
      <w:pPr>
        <w:ind w:left="2138" w:hanging="360"/>
      </w:pPr>
      <w:rPr>
        <w:rFonts w:ascii="Times New Roman" w:eastAsia="Times New Roman" w:hAnsi="Times New Roman" w:cs="Times New Roman"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
    <w:nsid w:val="319677CE"/>
    <w:multiLevelType w:val="hybridMultilevel"/>
    <w:tmpl w:val="549E858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35DC0303"/>
    <w:multiLevelType w:val="multilevel"/>
    <w:tmpl w:val="562C445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u w:val="none"/>
      </w:rPr>
    </w:lvl>
    <w:lvl w:ilvl="4">
      <w:start w:val="1"/>
      <w:numFmt w:val="lowerLetter"/>
      <w:pStyle w:val="Titre5"/>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6D44F70"/>
    <w:multiLevelType w:val="hybridMultilevel"/>
    <w:tmpl w:val="F424961E"/>
    <w:lvl w:ilvl="0" w:tplc="81809F4A">
      <w:start w:val="1"/>
      <w:numFmt w:val="upperLetter"/>
      <w:lvlText w:val="%1)"/>
      <w:lvlJc w:val="left"/>
      <w:pPr>
        <w:tabs>
          <w:tab w:val="num" w:pos="720"/>
        </w:tabs>
        <w:ind w:left="720" w:hanging="360"/>
      </w:pPr>
      <w:rPr>
        <w:rFonts w:ascii="Times New Roman" w:eastAsia="Times New Roman" w:hAnsi="Times New Roman" w:cs="Times New Roman"/>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72D526B8"/>
    <w:multiLevelType w:val="hybridMultilevel"/>
    <w:tmpl w:val="107CEBA6"/>
    <w:lvl w:ilvl="0" w:tplc="1D0EE89E">
      <w:start w:val="13"/>
      <w:numFmt w:val="bullet"/>
      <w:lvlText w:val="-"/>
      <w:lvlJc w:val="left"/>
      <w:pPr>
        <w:ind w:left="2149" w:hanging="360"/>
      </w:pPr>
      <w:rPr>
        <w:rFonts w:ascii="Times New Roman" w:eastAsia="Times New Roman" w:hAnsi="Times New Roman" w:cs="Times New Roman"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5245"/>
    <w:rsid w:val="00017D96"/>
    <w:rsid w:val="00036E13"/>
    <w:rsid w:val="00044056"/>
    <w:rsid w:val="00050BB7"/>
    <w:rsid w:val="00066046"/>
    <w:rsid w:val="00086CCA"/>
    <w:rsid w:val="000B6FF8"/>
    <w:rsid w:val="000C136B"/>
    <w:rsid w:val="000C650D"/>
    <w:rsid w:val="000E6165"/>
    <w:rsid w:val="000F67AB"/>
    <w:rsid w:val="00130318"/>
    <w:rsid w:val="001421E2"/>
    <w:rsid w:val="001528A8"/>
    <w:rsid w:val="001A2D25"/>
    <w:rsid w:val="001D5BBF"/>
    <w:rsid w:val="001E2DA5"/>
    <w:rsid w:val="00212099"/>
    <w:rsid w:val="00240594"/>
    <w:rsid w:val="00281E8D"/>
    <w:rsid w:val="00290F22"/>
    <w:rsid w:val="002C325A"/>
    <w:rsid w:val="003416F8"/>
    <w:rsid w:val="00356BD4"/>
    <w:rsid w:val="00365245"/>
    <w:rsid w:val="003851D2"/>
    <w:rsid w:val="003A76D3"/>
    <w:rsid w:val="003C11A6"/>
    <w:rsid w:val="00411239"/>
    <w:rsid w:val="00477A68"/>
    <w:rsid w:val="004D2BB2"/>
    <w:rsid w:val="00512443"/>
    <w:rsid w:val="00524157"/>
    <w:rsid w:val="005370FE"/>
    <w:rsid w:val="00552667"/>
    <w:rsid w:val="00564CCD"/>
    <w:rsid w:val="00585B7F"/>
    <w:rsid w:val="005B029C"/>
    <w:rsid w:val="005B4DFF"/>
    <w:rsid w:val="005E4FE8"/>
    <w:rsid w:val="006401CB"/>
    <w:rsid w:val="006502D0"/>
    <w:rsid w:val="0065774D"/>
    <w:rsid w:val="006643EB"/>
    <w:rsid w:val="006817EF"/>
    <w:rsid w:val="006951DF"/>
    <w:rsid w:val="00703B60"/>
    <w:rsid w:val="00751084"/>
    <w:rsid w:val="00785E7D"/>
    <w:rsid w:val="007C3AE3"/>
    <w:rsid w:val="007F1600"/>
    <w:rsid w:val="007F4B84"/>
    <w:rsid w:val="008420C5"/>
    <w:rsid w:val="008B1060"/>
    <w:rsid w:val="008C5781"/>
    <w:rsid w:val="008E41E9"/>
    <w:rsid w:val="00995847"/>
    <w:rsid w:val="009B2DCA"/>
    <w:rsid w:val="009E2374"/>
    <w:rsid w:val="009E42DD"/>
    <w:rsid w:val="00A23A00"/>
    <w:rsid w:val="00A47334"/>
    <w:rsid w:val="00A50BE3"/>
    <w:rsid w:val="00A604F9"/>
    <w:rsid w:val="00A9270E"/>
    <w:rsid w:val="00AA4DB8"/>
    <w:rsid w:val="00AB2992"/>
    <w:rsid w:val="00AC15EE"/>
    <w:rsid w:val="00AD7BD8"/>
    <w:rsid w:val="00AF0601"/>
    <w:rsid w:val="00B011E9"/>
    <w:rsid w:val="00B03330"/>
    <w:rsid w:val="00B053BE"/>
    <w:rsid w:val="00B17FD7"/>
    <w:rsid w:val="00B3084B"/>
    <w:rsid w:val="00B75B5D"/>
    <w:rsid w:val="00B939BF"/>
    <w:rsid w:val="00B944A2"/>
    <w:rsid w:val="00BE6356"/>
    <w:rsid w:val="00C7742C"/>
    <w:rsid w:val="00C87882"/>
    <w:rsid w:val="00C91316"/>
    <w:rsid w:val="00CB684B"/>
    <w:rsid w:val="00CC7B19"/>
    <w:rsid w:val="00D05018"/>
    <w:rsid w:val="00D26E59"/>
    <w:rsid w:val="00D32478"/>
    <w:rsid w:val="00D4419F"/>
    <w:rsid w:val="00D5791C"/>
    <w:rsid w:val="00D61300"/>
    <w:rsid w:val="00D64F53"/>
    <w:rsid w:val="00D6600E"/>
    <w:rsid w:val="00DF6BA6"/>
    <w:rsid w:val="00E11CB0"/>
    <w:rsid w:val="00E13D0B"/>
    <w:rsid w:val="00E54953"/>
    <w:rsid w:val="00E620FC"/>
    <w:rsid w:val="00E75E3E"/>
    <w:rsid w:val="00E761F2"/>
    <w:rsid w:val="00EC2FFB"/>
    <w:rsid w:val="00EC31BD"/>
    <w:rsid w:val="00ED08E6"/>
    <w:rsid w:val="00EE5AD6"/>
    <w:rsid w:val="00EE6459"/>
    <w:rsid w:val="00F0453D"/>
    <w:rsid w:val="00F255A8"/>
    <w:rsid w:val="00F36D3B"/>
    <w:rsid w:val="00F641B7"/>
    <w:rsid w:val="00F7387C"/>
    <w:rsid w:val="00F75096"/>
    <w:rsid w:val="00F85226"/>
    <w:rsid w:val="00FE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946F42"/>
    <w:pPr>
      <w:spacing w:before="120" w:after="120"/>
      <w:ind w:firstLine="709"/>
      <w:jc w:val="both"/>
    </w:pPr>
    <w:rPr>
      <w:sz w:val="24"/>
    </w:rPr>
  </w:style>
  <w:style w:type="paragraph" w:styleId="Titre1">
    <w:name w:val="heading 1"/>
    <w:basedOn w:val="Normal"/>
    <w:next w:val="Corpsdetexte"/>
    <w:qFormat/>
    <w:rsid w:val="008848C7"/>
    <w:pPr>
      <w:keepNext/>
      <w:numPr>
        <w:numId w:val="1"/>
      </w:numPr>
      <w:spacing w:before="480" w:after="480"/>
      <w:jc w:val="left"/>
      <w:outlineLvl w:val="0"/>
    </w:pPr>
    <w:rPr>
      <w:b/>
      <w:caps/>
      <w:kern w:val="28"/>
      <w:sz w:val="28"/>
    </w:rPr>
  </w:style>
  <w:style w:type="paragraph" w:styleId="Titre2">
    <w:name w:val="heading 2"/>
    <w:basedOn w:val="Normal"/>
    <w:next w:val="Corpsdetexte"/>
    <w:qFormat/>
    <w:rsid w:val="008848C7"/>
    <w:pPr>
      <w:keepNext/>
      <w:keepLines/>
      <w:numPr>
        <w:ilvl w:val="1"/>
        <w:numId w:val="1"/>
      </w:numPr>
      <w:spacing w:before="360" w:after="360"/>
      <w:jc w:val="left"/>
      <w:outlineLvl w:val="1"/>
    </w:pPr>
    <w:rPr>
      <w:b/>
      <w:caps/>
    </w:rPr>
  </w:style>
  <w:style w:type="paragraph" w:styleId="Titre3">
    <w:name w:val="heading 3"/>
    <w:basedOn w:val="Normal"/>
    <w:next w:val="Corpsdetexte"/>
    <w:qFormat/>
    <w:rsid w:val="008848C7"/>
    <w:pPr>
      <w:keepNext/>
      <w:keepLines/>
      <w:numPr>
        <w:ilvl w:val="2"/>
        <w:numId w:val="1"/>
      </w:numPr>
      <w:spacing w:before="240" w:after="240"/>
      <w:jc w:val="left"/>
      <w:outlineLvl w:val="2"/>
    </w:pPr>
    <w:rPr>
      <w:b/>
      <w:smallCaps/>
    </w:rPr>
  </w:style>
  <w:style w:type="paragraph" w:styleId="Titre4">
    <w:name w:val="heading 4"/>
    <w:basedOn w:val="Normal"/>
    <w:next w:val="Corpsdetexte"/>
    <w:qFormat/>
    <w:rsid w:val="008848C7"/>
    <w:pPr>
      <w:keepNext/>
      <w:keepLines/>
      <w:numPr>
        <w:ilvl w:val="3"/>
        <w:numId w:val="1"/>
      </w:numPr>
      <w:spacing w:before="240"/>
      <w:jc w:val="left"/>
      <w:outlineLvl w:val="3"/>
    </w:pPr>
    <w:rPr>
      <w:b/>
    </w:rPr>
  </w:style>
  <w:style w:type="paragraph" w:styleId="Titre5">
    <w:name w:val="heading 5"/>
    <w:basedOn w:val="Normal"/>
    <w:next w:val="Corpsdetexte"/>
    <w:qFormat/>
    <w:rsid w:val="008848C7"/>
    <w:pPr>
      <w:keepNext/>
      <w:keepLines/>
      <w:numPr>
        <w:ilvl w:val="4"/>
        <w:numId w:val="1"/>
      </w:numPr>
      <w:spacing w:before="240"/>
      <w:jc w:val="left"/>
      <w:outlineLvl w:val="4"/>
    </w:pPr>
    <w:rPr>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iPriority w:val="99"/>
    <w:rsid w:val="008848C7"/>
  </w:style>
  <w:style w:type="paragraph" w:customStyle="1" w:styleId="CarCar1CarCarCarCarCarCar">
    <w:name w:val="Car Car1 Car Car Car Car Car Car"/>
    <w:basedOn w:val="Normal"/>
    <w:rsid w:val="008848C7"/>
    <w:pPr>
      <w:spacing w:before="0" w:after="160" w:line="240" w:lineRule="exact"/>
      <w:ind w:firstLine="0"/>
      <w:jc w:val="left"/>
    </w:pPr>
    <w:rPr>
      <w:rFonts w:ascii="Tahoma" w:hAnsi="Tahoma"/>
      <w:sz w:val="20"/>
      <w:lang w:val="en-US" w:eastAsia="en-US"/>
    </w:rPr>
  </w:style>
  <w:style w:type="paragraph" w:customStyle="1" w:styleId="PS">
    <w:name w:val="PS"/>
    <w:basedOn w:val="Normal"/>
    <w:link w:val="PSCar"/>
    <w:rsid w:val="008848C7"/>
    <w:pPr>
      <w:spacing w:before="0" w:after="480"/>
      <w:ind w:left="1701" w:firstLine="1134"/>
    </w:pPr>
    <w:rPr>
      <w:rFonts w:ascii="CG Times (WN)" w:hAnsi="CG Times (WN)"/>
    </w:rPr>
  </w:style>
  <w:style w:type="character" w:customStyle="1" w:styleId="PSCar">
    <w:name w:val="PS Car"/>
    <w:link w:val="PS"/>
    <w:rsid w:val="008848C7"/>
    <w:rPr>
      <w:rFonts w:ascii="CG Times (WN)" w:hAnsi="CG Times (WN)"/>
      <w:sz w:val="24"/>
      <w:lang w:val="fr-FR" w:eastAsia="fr-FR" w:bidi="ar-SA"/>
    </w:rPr>
  </w:style>
  <w:style w:type="paragraph" w:styleId="Textedebulles">
    <w:name w:val="Balloon Text"/>
    <w:basedOn w:val="Normal"/>
    <w:link w:val="TextedebullesCar"/>
    <w:uiPriority w:val="99"/>
    <w:semiHidden/>
    <w:unhideWhenUsed/>
    <w:rsid w:val="00AC3E77"/>
    <w:pPr>
      <w:spacing w:before="0" w:after="0"/>
    </w:pPr>
    <w:rPr>
      <w:rFonts w:ascii="Tahoma" w:hAnsi="Tahoma"/>
      <w:sz w:val="16"/>
      <w:szCs w:val="16"/>
      <w:lang w:val="x-none" w:eastAsia="x-none"/>
    </w:rPr>
  </w:style>
  <w:style w:type="character" w:customStyle="1" w:styleId="TextedebullesCar">
    <w:name w:val="Texte de bulles Car"/>
    <w:link w:val="Textedebulles"/>
    <w:uiPriority w:val="99"/>
    <w:semiHidden/>
    <w:rsid w:val="00AC3E77"/>
    <w:rPr>
      <w:rFonts w:ascii="Tahoma" w:hAnsi="Tahoma" w:cs="Tahoma"/>
      <w:sz w:val="16"/>
      <w:szCs w:val="16"/>
    </w:rPr>
  </w:style>
  <w:style w:type="paragraph" w:styleId="En-tte">
    <w:name w:val="header"/>
    <w:basedOn w:val="Normal"/>
    <w:link w:val="En-tteCar"/>
    <w:uiPriority w:val="99"/>
    <w:unhideWhenUsed/>
    <w:rsid w:val="00AC3E77"/>
    <w:pPr>
      <w:tabs>
        <w:tab w:val="center" w:pos="4536"/>
        <w:tab w:val="right" w:pos="9072"/>
      </w:tabs>
    </w:pPr>
    <w:rPr>
      <w:lang w:val="x-none" w:eastAsia="x-none"/>
    </w:rPr>
  </w:style>
  <w:style w:type="character" w:customStyle="1" w:styleId="En-tteCar">
    <w:name w:val="En-tête Car"/>
    <w:link w:val="En-tte"/>
    <w:uiPriority w:val="99"/>
    <w:rsid w:val="00AC3E77"/>
    <w:rPr>
      <w:sz w:val="24"/>
    </w:rPr>
  </w:style>
  <w:style w:type="paragraph" w:styleId="Pieddepage">
    <w:name w:val="footer"/>
    <w:basedOn w:val="Normal"/>
    <w:link w:val="PieddepageCar"/>
    <w:uiPriority w:val="99"/>
    <w:unhideWhenUsed/>
    <w:rsid w:val="00AC3E77"/>
    <w:pPr>
      <w:tabs>
        <w:tab w:val="center" w:pos="4536"/>
        <w:tab w:val="right" w:pos="9072"/>
      </w:tabs>
    </w:pPr>
    <w:rPr>
      <w:lang w:val="x-none" w:eastAsia="x-none"/>
    </w:rPr>
  </w:style>
  <w:style w:type="character" w:customStyle="1" w:styleId="PieddepageCar">
    <w:name w:val="Pied de page Car"/>
    <w:link w:val="Pieddepage"/>
    <w:uiPriority w:val="99"/>
    <w:rsid w:val="00AC3E77"/>
    <w:rPr>
      <w:sz w:val="24"/>
    </w:rPr>
  </w:style>
  <w:style w:type="character" w:styleId="Marquedecommentaire">
    <w:name w:val="annotation reference"/>
    <w:uiPriority w:val="99"/>
    <w:semiHidden/>
    <w:unhideWhenUsed/>
    <w:rsid w:val="00AE775C"/>
    <w:rPr>
      <w:sz w:val="16"/>
      <w:szCs w:val="16"/>
    </w:rPr>
  </w:style>
  <w:style w:type="paragraph" w:styleId="Commentaire">
    <w:name w:val="annotation text"/>
    <w:basedOn w:val="Normal"/>
    <w:link w:val="CommentaireCar"/>
    <w:uiPriority w:val="99"/>
    <w:semiHidden/>
    <w:unhideWhenUsed/>
    <w:rsid w:val="00AE775C"/>
    <w:rPr>
      <w:sz w:val="20"/>
    </w:rPr>
  </w:style>
  <w:style w:type="character" w:customStyle="1" w:styleId="CommentaireCar">
    <w:name w:val="Commentaire Car"/>
    <w:basedOn w:val="Policepardfaut"/>
    <w:link w:val="Commentaire"/>
    <w:uiPriority w:val="99"/>
    <w:semiHidden/>
    <w:rsid w:val="00AE775C"/>
  </w:style>
  <w:style w:type="paragraph" w:styleId="Objetducommentaire">
    <w:name w:val="annotation subject"/>
    <w:basedOn w:val="Commentaire"/>
    <w:next w:val="Commentaire"/>
    <w:link w:val="ObjetducommentaireCar"/>
    <w:uiPriority w:val="99"/>
    <w:semiHidden/>
    <w:unhideWhenUsed/>
    <w:rsid w:val="00AE775C"/>
    <w:rPr>
      <w:b/>
      <w:bCs/>
      <w:lang w:val="x-none" w:eastAsia="x-none"/>
    </w:rPr>
  </w:style>
  <w:style w:type="character" w:customStyle="1" w:styleId="ObjetducommentaireCar">
    <w:name w:val="Objet du commentaire Car"/>
    <w:link w:val="Objetducommentaire"/>
    <w:uiPriority w:val="99"/>
    <w:semiHidden/>
    <w:rsid w:val="00AE775C"/>
    <w:rPr>
      <w:b/>
      <w:bCs/>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A50BE3"/>
    <w:rPr>
      <w:sz w:val="24"/>
      <w:lang w:val="fr-FR" w:eastAsia="fr-FR" w:bidi="ar-SA"/>
    </w:rPr>
  </w:style>
  <w:style w:type="paragraph" w:styleId="Textebrut">
    <w:name w:val="Plain Text"/>
    <w:basedOn w:val="Normal"/>
    <w:link w:val="TextebrutCar"/>
    <w:uiPriority w:val="99"/>
    <w:semiHidden/>
    <w:unhideWhenUsed/>
    <w:rsid w:val="00D6600E"/>
    <w:rPr>
      <w:rFonts w:ascii="Courier New" w:hAnsi="Courier New" w:cs="Courier New"/>
      <w:sz w:val="20"/>
    </w:rPr>
  </w:style>
  <w:style w:type="character" w:customStyle="1" w:styleId="TextebrutCar">
    <w:name w:val="Texte brut Car"/>
    <w:link w:val="Textebrut"/>
    <w:uiPriority w:val="99"/>
    <w:semiHidden/>
    <w:rsid w:val="00D6600E"/>
    <w:rPr>
      <w:rFonts w:ascii="Courier New" w:hAnsi="Courier New" w:cs="Courier New"/>
    </w:rPr>
  </w:style>
  <w:style w:type="paragraph" w:styleId="NormalWeb">
    <w:name w:val="Normal (Web)"/>
    <w:basedOn w:val="Normal"/>
    <w:uiPriority w:val="99"/>
    <w:unhideWhenUsed/>
    <w:rsid w:val="006643EB"/>
    <w:pPr>
      <w:spacing w:before="100" w:beforeAutospacing="1" w:after="100" w:afterAutospacing="1"/>
      <w:ind w:firstLine="0"/>
      <w:jc w:val="left"/>
    </w:pPr>
    <w:rPr>
      <w:szCs w:val="24"/>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link w:val="Corpsdetexte"/>
    <w:uiPriority w:val="99"/>
    <w:rsid w:val="00AB2992"/>
    <w:rPr>
      <w:sz w:val="24"/>
    </w:rPr>
  </w:style>
  <w:style w:type="character" w:customStyle="1" w:styleId="Normal1">
    <w:name w:val="Normal1"/>
    <w:rsid w:val="00AB2992"/>
  </w:style>
  <w:style w:type="paragraph" w:styleId="Notedebasdepage">
    <w:name w:val="footnote text"/>
    <w:basedOn w:val="Normal"/>
    <w:link w:val="NotedebasdepageCar"/>
    <w:rsid w:val="007C3AE3"/>
    <w:rPr>
      <w:sz w:val="20"/>
    </w:rPr>
  </w:style>
  <w:style w:type="character" w:customStyle="1" w:styleId="NotedebasdepageCar">
    <w:name w:val="Note de bas de page Car"/>
    <w:basedOn w:val="Policepardfaut"/>
    <w:link w:val="Notedebasdepage"/>
    <w:rsid w:val="007C3AE3"/>
  </w:style>
  <w:style w:type="character" w:styleId="Appelnotedebasdep">
    <w:name w:val="footnote reference"/>
    <w:semiHidden/>
    <w:rsid w:val="007C3AE3"/>
    <w:rPr>
      <w:vertAlign w:val="superscript"/>
    </w:rPr>
  </w:style>
  <w:style w:type="paragraph" w:customStyle="1" w:styleId="P0">
    <w:name w:val="P0"/>
    <w:basedOn w:val="Normal"/>
    <w:link w:val="P0Car"/>
    <w:rsid w:val="00C91316"/>
    <w:pPr>
      <w:spacing w:before="0" w:after="0"/>
      <w:ind w:left="1701" w:firstLine="0"/>
    </w:pPr>
    <w:rPr>
      <w:szCs w:val="24"/>
    </w:rPr>
  </w:style>
  <w:style w:type="paragraph" w:customStyle="1" w:styleId="ps0">
    <w:name w:val="ps"/>
    <w:basedOn w:val="Normal"/>
    <w:rsid w:val="00C91316"/>
    <w:pPr>
      <w:spacing w:before="100" w:beforeAutospacing="1" w:after="100" w:afterAutospacing="1"/>
      <w:ind w:firstLine="0"/>
      <w:jc w:val="left"/>
    </w:pPr>
    <w:rPr>
      <w:szCs w:val="24"/>
    </w:rPr>
  </w:style>
  <w:style w:type="character" w:customStyle="1" w:styleId="P0Car">
    <w:name w:val="P0 Car"/>
    <w:link w:val="P0"/>
    <w:rsid w:val="00C91316"/>
    <w:rPr>
      <w:sz w:val="24"/>
      <w:szCs w:val="24"/>
    </w:rPr>
  </w:style>
  <w:style w:type="paragraph" w:styleId="Rvision">
    <w:name w:val="Revision"/>
    <w:hidden/>
    <w:uiPriority w:val="99"/>
    <w:semiHidden/>
    <w:rsid w:val="00D26E5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2237">
      <w:bodyDiv w:val="1"/>
      <w:marLeft w:val="0"/>
      <w:marRight w:val="0"/>
      <w:marTop w:val="0"/>
      <w:marBottom w:val="0"/>
      <w:divBdr>
        <w:top w:val="none" w:sz="0" w:space="0" w:color="auto"/>
        <w:left w:val="none" w:sz="0" w:space="0" w:color="auto"/>
        <w:bottom w:val="none" w:sz="0" w:space="0" w:color="auto"/>
        <w:right w:val="none" w:sz="0" w:space="0" w:color="auto"/>
      </w:divBdr>
      <w:divsChild>
        <w:div w:id="1756969966">
          <w:marLeft w:val="0"/>
          <w:marRight w:val="0"/>
          <w:marTop w:val="0"/>
          <w:marBottom w:val="0"/>
          <w:divBdr>
            <w:top w:val="none" w:sz="0" w:space="0" w:color="auto"/>
            <w:left w:val="none" w:sz="0" w:space="0" w:color="auto"/>
            <w:bottom w:val="none" w:sz="0" w:space="0" w:color="auto"/>
            <w:right w:val="none" w:sz="0" w:space="0" w:color="auto"/>
          </w:divBdr>
          <w:divsChild>
            <w:div w:id="582765322">
              <w:marLeft w:val="0"/>
              <w:marRight w:val="0"/>
              <w:marTop w:val="0"/>
              <w:marBottom w:val="0"/>
              <w:divBdr>
                <w:top w:val="none" w:sz="0" w:space="0" w:color="auto"/>
                <w:left w:val="none" w:sz="0" w:space="0" w:color="auto"/>
                <w:bottom w:val="none" w:sz="0" w:space="0" w:color="auto"/>
                <w:right w:val="none" w:sz="0" w:space="0" w:color="auto"/>
              </w:divBdr>
              <w:divsChild>
                <w:div w:id="515386956">
                  <w:marLeft w:val="0"/>
                  <w:marRight w:val="0"/>
                  <w:marTop w:val="0"/>
                  <w:marBottom w:val="0"/>
                  <w:divBdr>
                    <w:top w:val="none" w:sz="0" w:space="0" w:color="auto"/>
                    <w:left w:val="none" w:sz="0" w:space="0" w:color="auto"/>
                    <w:bottom w:val="none" w:sz="0" w:space="0" w:color="auto"/>
                    <w:right w:val="none" w:sz="0" w:space="0" w:color="auto"/>
                  </w:divBdr>
                  <w:divsChild>
                    <w:div w:id="2085486956">
                      <w:marLeft w:val="0"/>
                      <w:marRight w:val="0"/>
                      <w:marTop w:val="0"/>
                      <w:marBottom w:val="0"/>
                      <w:divBdr>
                        <w:top w:val="none" w:sz="0" w:space="0" w:color="auto"/>
                        <w:left w:val="none" w:sz="0" w:space="0" w:color="auto"/>
                        <w:bottom w:val="none" w:sz="0" w:space="0" w:color="auto"/>
                        <w:right w:val="none" w:sz="0" w:space="0" w:color="auto"/>
                      </w:divBdr>
                      <w:divsChild>
                        <w:div w:id="2125073956">
                          <w:marLeft w:val="0"/>
                          <w:marRight w:val="0"/>
                          <w:marTop w:val="0"/>
                          <w:marBottom w:val="0"/>
                          <w:divBdr>
                            <w:top w:val="none" w:sz="0" w:space="0" w:color="auto"/>
                            <w:left w:val="none" w:sz="0" w:space="0" w:color="auto"/>
                            <w:bottom w:val="none" w:sz="0" w:space="0" w:color="auto"/>
                            <w:right w:val="none" w:sz="0" w:space="0" w:color="auto"/>
                          </w:divBdr>
                          <w:divsChild>
                            <w:div w:id="1810778794">
                              <w:marLeft w:val="0"/>
                              <w:marRight w:val="0"/>
                              <w:marTop w:val="0"/>
                              <w:marBottom w:val="0"/>
                              <w:divBdr>
                                <w:top w:val="none" w:sz="0" w:space="0" w:color="auto"/>
                                <w:left w:val="none" w:sz="0" w:space="0" w:color="auto"/>
                                <w:bottom w:val="none" w:sz="0" w:space="0" w:color="auto"/>
                                <w:right w:val="none" w:sz="0" w:space="0" w:color="auto"/>
                              </w:divBdr>
                              <w:divsChild>
                                <w:div w:id="369188833">
                                  <w:marLeft w:val="0"/>
                                  <w:marRight w:val="0"/>
                                  <w:marTop w:val="0"/>
                                  <w:marBottom w:val="0"/>
                                  <w:divBdr>
                                    <w:top w:val="none" w:sz="0" w:space="0" w:color="auto"/>
                                    <w:left w:val="none" w:sz="0" w:space="0" w:color="auto"/>
                                    <w:bottom w:val="none" w:sz="0" w:space="0" w:color="auto"/>
                                    <w:right w:val="none" w:sz="0" w:space="0" w:color="auto"/>
                                  </w:divBdr>
                                  <w:divsChild>
                                    <w:div w:id="1999646901">
                                      <w:marLeft w:val="0"/>
                                      <w:marRight w:val="0"/>
                                      <w:marTop w:val="0"/>
                                      <w:marBottom w:val="0"/>
                                      <w:divBdr>
                                        <w:top w:val="none" w:sz="0" w:space="0" w:color="auto"/>
                                        <w:left w:val="none" w:sz="0" w:space="0" w:color="auto"/>
                                        <w:bottom w:val="none" w:sz="0" w:space="0" w:color="auto"/>
                                        <w:right w:val="none" w:sz="0" w:space="0" w:color="auto"/>
                                      </w:divBdr>
                                      <w:divsChild>
                                        <w:div w:id="750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EA061-059C-4FD9-9B2D-9C0738376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2328</Words>
  <Characters>12809</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COUR DES COMPTES</vt:lpstr>
      <vt:lpstr>COUR DES COMPTES</vt:lpstr>
    </vt:vector>
  </TitlesOfParts>
  <Company>Cour des Comptes</Company>
  <LinksUpToDate>false</LinksUpToDate>
  <CharactersWithSpaces>15107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cdemier</dc:creator>
  <cp:keywords/>
  <dc:description/>
  <cp:lastModifiedBy>Jean-Pierre Bonin</cp:lastModifiedBy>
  <cp:revision>3</cp:revision>
  <cp:lastPrinted>2013-10-03T14:59:00Z</cp:lastPrinted>
  <dcterms:created xsi:type="dcterms:W3CDTF">2013-10-29T16:34:00Z</dcterms:created>
  <dcterms:modified xsi:type="dcterms:W3CDTF">2013-10-30T19:32:00Z</dcterms:modified>
</cp:coreProperties>
</file>