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54" w:rsidRDefault="00BB4552" w:rsidP="00A97654">
      <w:pPr>
        <w:pStyle w:val="ET"/>
      </w:pPr>
      <w:r>
        <w:t xml:space="preserve"> </w:t>
      </w:r>
      <w:r w:rsidR="00A97654">
        <w:t xml:space="preserve"> COUR DES COMPTES</w:t>
      </w:r>
    </w:p>
    <w:p w:rsidR="00A97654" w:rsidRDefault="00A97654" w:rsidP="00A97654">
      <w:pPr>
        <w:pStyle w:val="ET"/>
      </w:pPr>
      <w:r>
        <w:tab/>
      </w:r>
      <w:r w:rsidR="001421A5">
        <w:t xml:space="preserve">   </w:t>
      </w:r>
      <w:r>
        <w:t>--</w:t>
      </w:r>
      <w:r w:rsidR="00E77FEF">
        <w:t>-</w:t>
      </w:r>
      <w:r>
        <w:t xml:space="preserve">--- </w:t>
      </w:r>
    </w:p>
    <w:p w:rsidR="00A97654" w:rsidRDefault="00A97654" w:rsidP="00A97654">
      <w:pPr>
        <w:pStyle w:val="ET"/>
      </w:pPr>
      <w:r>
        <w:t>QUATRIEM</w:t>
      </w:r>
      <w:r w:rsidR="004B3353">
        <w:t xml:space="preserve">E </w:t>
      </w:r>
      <w:r>
        <w:t>CHAMBRE</w:t>
      </w:r>
    </w:p>
    <w:p w:rsidR="00A97654" w:rsidRDefault="00A97654" w:rsidP="00A97654">
      <w:pPr>
        <w:pStyle w:val="ET"/>
      </w:pPr>
      <w:r>
        <w:tab/>
      </w:r>
      <w:r w:rsidR="001421A5">
        <w:t xml:space="preserve"> </w:t>
      </w:r>
      <w:r w:rsidR="004B3353">
        <w:t xml:space="preserve"> </w:t>
      </w:r>
      <w:r w:rsidR="001421A5">
        <w:t xml:space="preserve">  </w:t>
      </w:r>
      <w:r>
        <w:t>-</w:t>
      </w:r>
      <w:r w:rsidR="005E3384">
        <w:t>-</w:t>
      </w:r>
      <w:r w:rsidR="00E77FEF">
        <w:t>-</w:t>
      </w:r>
      <w:r>
        <w:t xml:space="preserve">--- </w:t>
      </w:r>
    </w:p>
    <w:p w:rsidR="00A97654" w:rsidRDefault="00A97654" w:rsidP="00A97654">
      <w:pPr>
        <w:pStyle w:val="ET"/>
      </w:pPr>
      <w:r>
        <w:t xml:space="preserve"> PREMIERE SECTION</w:t>
      </w:r>
    </w:p>
    <w:p w:rsidR="00A97654" w:rsidRDefault="00A97654" w:rsidP="00A97654">
      <w:pPr>
        <w:pStyle w:val="ET"/>
        <w:spacing w:after="120"/>
      </w:pPr>
      <w:r>
        <w:tab/>
      </w:r>
      <w:r w:rsidR="00632A90">
        <w:t xml:space="preserve"> </w:t>
      </w:r>
      <w:r w:rsidR="004B3353">
        <w:t xml:space="preserve"> </w:t>
      </w:r>
      <w:r w:rsidR="001421A5">
        <w:t xml:space="preserve">  </w:t>
      </w:r>
      <w:r>
        <w:t>-</w:t>
      </w:r>
      <w:r w:rsidR="004B3353">
        <w:t>-</w:t>
      </w:r>
      <w:r w:rsidR="005E3384">
        <w:t>-</w:t>
      </w:r>
      <w:r w:rsidR="00E77FEF">
        <w:t>-</w:t>
      </w:r>
      <w:r>
        <w:t>--</w:t>
      </w:r>
    </w:p>
    <w:p w:rsidR="00A97654" w:rsidRPr="00A97654" w:rsidRDefault="00A97654" w:rsidP="00A97654">
      <w:pPr>
        <w:pStyle w:val="En-tte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1421A5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 </w:t>
      </w:r>
      <w:r w:rsidRPr="00A97654">
        <w:rPr>
          <w:b/>
          <w:i/>
          <w:sz w:val="22"/>
          <w:szCs w:val="22"/>
        </w:rPr>
        <w:t>Arrêt n° 67936</w:t>
      </w:r>
    </w:p>
    <w:p w:rsidR="00A97654" w:rsidRPr="00962CBF" w:rsidRDefault="00A97654" w:rsidP="00A97654">
      <w:pPr>
        <w:rPr>
          <w:sz w:val="24"/>
          <w:szCs w:val="24"/>
        </w:rPr>
      </w:pPr>
    </w:p>
    <w:p w:rsidR="00A97654" w:rsidRDefault="00A97654" w:rsidP="00A97654">
      <w:pPr>
        <w:pStyle w:val="OR"/>
        <w:ind w:left="5103"/>
      </w:pPr>
      <w:r w:rsidRPr="00962CBF">
        <w:t>COMMUNE DE BRUE-AURIAC</w:t>
      </w:r>
      <w:r>
        <w:t xml:space="preserve"> </w:t>
      </w:r>
      <w:r w:rsidRPr="00962CBF">
        <w:t>(VAR)</w:t>
      </w:r>
    </w:p>
    <w:p w:rsidR="00A97654" w:rsidRDefault="00A97654" w:rsidP="00A97654">
      <w:pPr>
        <w:pStyle w:val="OR"/>
        <w:ind w:left="5103"/>
      </w:pPr>
    </w:p>
    <w:p w:rsidR="00A97654" w:rsidRDefault="00A97654" w:rsidP="00A97654">
      <w:pPr>
        <w:pStyle w:val="OR"/>
        <w:ind w:left="5103"/>
      </w:pPr>
      <w:r w:rsidRPr="00751084">
        <w:t>Appel d’un jugement</w:t>
      </w:r>
      <w:r w:rsidRPr="005A2E8B">
        <w:t xml:space="preserve"> de la chambre régionale des comptes de Provence-Alpes-Côte d’Azur</w:t>
      </w:r>
    </w:p>
    <w:p w:rsidR="00A97654" w:rsidRPr="005A2E8B" w:rsidRDefault="00A97654" w:rsidP="00A97654">
      <w:pPr>
        <w:pStyle w:val="OR"/>
        <w:ind w:left="5103"/>
        <w:rPr>
          <w:b/>
          <w:caps/>
        </w:rPr>
      </w:pPr>
    </w:p>
    <w:p w:rsidR="00A97654" w:rsidRDefault="00A97654" w:rsidP="00A97654">
      <w:pPr>
        <w:pStyle w:val="OR"/>
        <w:ind w:left="5103"/>
      </w:pPr>
      <w:r w:rsidRPr="005A2E8B">
        <w:t>Rapport n° 2013-528-0</w:t>
      </w:r>
    </w:p>
    <w:p w:rsidR="00A97654" w:rsidRPr="005A2E8B" w:rsidRDefault="00A97654" w:rsidP="00A97654">
      <w:pPr>
        <w:pStyle w:val="OR"/>
        <w:ind w:left="5103"/>
        <w:rPr>
          <w:b/>
        </w:rPr>
      </w:pPr>
    </w:p>
    <w:p w:rsidR="00A97654" w:rsidRDefault="00A97654" w:rsidP="00A97654">
      <w:pPr>
        <w:pStyle w:val="OR"/>
        <w:ind w:left="5103"/>
      </w:pPr>
      <w:r w:rsidRPr="005A2E8B">
        <w:t>Audience publique et délibéré du 12 septembre 2013</w:t>
      </w:r>
    </w:p>
    <w:p w:rsidR="00A97654" w:rsidRPr="005A2E8B" w:rsidRDefault="00A97654" w:rsidP="00A97654">
      <w:pPr>
        <w:pStyle w:val="OR"/>
        <w:ind w:left="5103"/>
      </w:pPr>
    </w:p>
    <w:p w:rsidR="00A97654" w:rsidRPr="005A2E8B" w:rsidRDefault="00A97654" w:rsidP="00A97654">
      <w:pPr>
        <w:pStyle w:val="OR"/>
        <w:ind w:left="5103"/>
      </w:pPr>
      <w:r>
        <w:t>Lecture publique du 24 octobre 2013</w:t>
      </w:r>
    </w:p>
    <w:p w:rsidR="00A97654" w:rsidRDefault="00A97654" w:rsidP="00A97654">
      <w:pPr>
        <w:pStyle w:val="OR"/>
      </w:pPr>
    </w:p>
    <w:p w:rsidR="000F11C9" w:rsidRPr="00690D05" w:rsidRDefault="000F11C9" w:rsidP="000F11C9">
      <w:pPr>
        <w:pStyle w:val="P0"/>
        <w:spacing w:after="360"/>
        <w:ind w:left="539" w:right="-284" w:firstLine="595"/>
        <w:jc w:val="center"/>
      </w:pPr>
      <w:r w:rsidRPr="00690D05">
        <w:t>REPUBLIQUE FRANÇAISE</w:t>
      </w:r>
    </w:p>
    <w:p w:rsidR="000F11C9" w:rsidRPr="00690D05" w:rsidRDefault="000F11C9" w:rsidP="000F11C9">
      <w:pPr>
        <w:pStyle w:val="P0"/>
        <w:spacing w:after="360"/>
        <w:ind w:left="539" w:right="-284" w:firstLine="594"/>
        <w:jc w:val="center"/>
      </w:pPr>
      <w:r w:rsidRPr="00690D05">
        <w:t>AU NOM DU PEUPLE FRANÇAIS</w:t>
      </w:r>
    </w:p>
    <w:p w:rsidR="00D63F55" w:rsidRDefault="00D63F55" w:rsidP="00A97654">
      <w:pPr>
        <w:spacing w:after="360"/>
        <w:ind w:firstLine="2835"/>
        <w:jc w:val="both"/>
        <w:rPr>
          <w:sz w:val="24"/>
          <w:szCs w:val="24"/>
        </w:rPr>
      </w:pPr>
      <w:r>
        <w:rPr>
          <w:sz w:val="24"/>
          <w:szCs w:val="24"/>
        </w:rPr>
        <w:t>LA COUR DES COMPTES a rendu l’arrêt suivant :</w:t>
      </w:r>
    </w:p>
    <w:p w:rsidR="00A97654" w:rsidRPr="00962CBF" w:rsidRDefault="00A97654" w:rsidP="00A97654">
      <w:pPr>
        <w:spacing w:after="360"/>
        <w:ind w:firstLine="2835"/>
        <w:jc w:val="both"/>
        <w:rPr>
          <w:sz w:val="24"/>
          <w:szCs w:val="24"/>
        </w:rPr>
      </w:pPr>
      <w:r w:rsidRPr="00962CBF">
        <w:rPr>
          <w:sz w:val="24"/>
          <w:szCs w:val="24"/>
        </w:rPr>
        <w:t>LA COUR,</w:t>
      </w:r>
    </w:p>
    <w:p w:rsidR="00A97654" w:rsidRDefault="00A97654" w:rsidP="00A97654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 xml:space="preserve">Vu la requête, enregistrée le 25 mai 2011 au greffe de la chambre régionale des comptes </w:t>
      </w:r>
      <w:r>
        <w:rPr>
          <w:sz w:val="24"/>
          <w:szCs w:val="24"/>
        </w:rPr>
        <w:t xml:space="preserve">(CRC) </w:t>
      </w:r>
      <w:r w:rsidRPr="00962CBF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Provence-Alpes-Côte </w:t>
      </w:r>
      <w:r w:rsidRPr="00962CBF">
        <w:rPr>
          <w:sz w:val="24"/>
          <w:szCs w:val="24"/>
        </w:rPr>
        <w:t xml:space="preserve">d’Azur, par laquelle le procureur financier </w:t>
      </w:r>
      <w:r>
        <w:rPr>
          <w:sz w:val="24"/>
          <w:szCs w:val="24"/>
        </w:rPr>
        <w:t xml:space="preserve">près ladite chambre </w:t>
      </w:r>
      <w:r w:rsidRPr="00962CBF">
        <w:rPr>
          <w:sz w:val="24"/>
          <w:szCs w:val="24"/>
        </w:rPr>
        <w:t xml:space="preserve">a élevé appel du jugement du </w:t>
      </w:r>
      <w:r>
        <w:rPr>
          <w:sz w:val="24"/>
          <w:szCs w:val="24"/>
        </w:rPr>
        <w:t>7 avril 2011 par lequel la</w:t>
      </w:r>
      <w:r w:rsidRPr="00962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CRC </w:t>
      </w:r>
      <w:r w:rsidRPr="00962CBF">
        <w:rPr>
          <w:sz w:val="24"/>
          <w:szCs w:val="24"/>
        </w:rPr>
        <w:t xml:space="preserve">a </w:t>
      </w:r>
      <w:r w:rsidR="00D63F55">
        <w:rPr>
          <w:sz w:val="24"/>
          <w:szCs w:val="24"/>
        </w:rPr>
        <w:t>jugé qu’il n’y avait pas lieu</w:t>
      </w:r>
      <w:r>
        <w:rPr>
          <w:sz w:val="24"/>
          <w:szCs w:val="24"/>
        </w:rPr>
        <w:t xml:space="preserve"> à </w:t>
      </w:r>
      <w:r w:rsidRPr="00962CBF">
        <w:rPr>
          <w:sz w:val="24"/>
          <w:szCs w:val="24"/>
        </w:rPr>
        <w:t>charge contre M.</w:t>
      </w:r>
      <w:r>
        <w:rPr>
          <w:sz w:val="24"/>
          <w:szCs w:val="24"/>
        </w:rPr>
        <w:t> </w:t>
      </w:r>
      <w:r w:rsidR="0029523B">
        <w:rPr>
          <w:sz w:val="24"/>
          <w:szCs w:val="24"/>
        </w:rPr>
        <w:t>X</w:t>
      </w:r>
      <w:r w:rsidRPr="00962CBF">
        <w:rPr>
          <w:sz w:val="24"/>
          <w:szCs w:val="24"/>
        </w:rPr>
        <w:t>, comptable de la</w:t>
      </w:r>
      <w:r w:rsidR="003861E7">
        <w:rPr>
          <w:sz w:val="24"/>
          <w:szCs w:val="24"/>
        </w:rPr>
        <w:t xml:space="preserve"> </w:t>
      </w:r>
      <w:r w:rsidRPr="00632A90">
        <w:rPr>
          <w:caps/>
          <w:sz w:val="24"/>
          <w:szCs w:val="24"/>
        </w:rPr>
        <w:t>commune de</w:t>
      </w:r>
      <w:r w:rsidR="003861E7">
        <w:rPr>
          <w:sz w:val="24"/>
          <w:szCs w:val="24"/>
        </w:rPr>
        <w:t xml:space="preserve"> </w:t>
      </w:r>
      <w:r w:rsidRPr="00962CBF">
        <w:rPr>
          <w:sz w:val="24"/>
          <w:szCs w:val="24"/>
        </w:rPr>
        <w:t>BRUE-AURIAC ;</w:t>
      </w:r>
    </w:p>
    <w:p w:rsidR="00A97654" w:rsidRDefault="00A97654" w:rsidP="00A97654">
      <w:pPr>
        <w:spacing w:after="36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Vu l’arrêté de charge provisoire du receveur des finances de Draguignan du</w:t>
      </w:r>
      <w:r w:rsidR="003861E7">
        <w:rPr>
          <w:sz w:val="24"/>
          <w:szCs w:val="24"/>
        </w:rPr>
        <w:t xml:space="preserve"> </w:t>
      </w:r>
      <w:r>
        <w:rPr>
          <w:sz w:val="24"/>
          <w:szCs w:val="24"/>
        </w:rPr>
        <w:t>14 avril 2010 ;</w:t>
      </w:r>
    </w:p>
    <w:p w:rsidR="00A97654" w:rsidRDefault="00A97654" w:rsidP="00A97654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 xml:space="preserve">Vu le réquisitoire du procureur financier </w:t>
      </w:r>
      <w:r>
        <w:rPr>
          <w:sz w:val="24"/>
          <w:szCs w:val="24"/>
        </w:rPr>
        <w:t xml:space="preserve">près la CRC </w:t>
      </w:r>
      <w:r w:rsidRPr="00962CBF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Provence-Alpes-Côte </w:t>
      </w:r>
      <w:r w:rsidRPr="00962CBF">
        <w:rPr>
          <w:sz w:val="24"/>
          <w:szCs w:val="24"/>
        </w:rPr>
        <w:t>d’Azur du 30 juillet 2010 ;</w:t>
      </w:r>
    </w:p>
    <w:p w:rsidR="00A97654" w:rsidRDefault="00A97654" w:rsidP="00A97654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 xml:space="preserve">Vu le réquisitoire </w:t>
      </w:r>
      <w:r>
        <w:rPr>
          <w:sz w:val="24"/>
          <w:szCs w:val="24"/>
        </w:rPr>
        <w:t>du Procureur général</w:t>
      </w:r>
      <w:r w:rsidRPr="00962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près la Cour des comptes </w:t>
      </w:r>
      <w:r w:rsidRPr="00962CBF">
        <w:rPr>
          <w:sz w:val="24"/>
          <w:szCs w:val="24"/>
        </w:rPr>
        <w:t>n°</w:t>
      </w:r>
      <w:r>
        <w:rPr>
          <w:sz w:val="24"/>
          <w:szCs w:val="24"/>
        </w:rPr>
        <w:t> </w:t>
      </w:r>
      <w:r w:rsidRPr="00962CBF">
        <w:rPr>
          <w:sz w:val="24"/>
          <w:szCs w:val="24"/>
        </w:rPr>
        <w:t xml:space="preserve">2011-71 du 21 juillet 2011 transmettant </w:t>
      </w:r>
      <w:r>
        <w:rPr>
          <w:sz w:val="24"/>
          <w:szCs w:val="24"/>
        </w:rPr>
        <w:t xml:space="preserve">à la Cour </w:t>
      </w:r>
      <w:r w:rsidRPr="00962CBF">
        <w:rPr>
          <w:sz w:val="24"/>
          <w:szCs w:val="24"/>
        </w:rPr>
        <w:t>la requête précitée ;</w:t>
      </w:r>
    </w:p>
    <w:p w:rsidR="00A97654" w:rsidRDefault="00A97654" w:rsidP="00A97654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>Vu les pièces de la procédure suivie en première instance ;</w:t>
      </w:r>
    </w:p>
    <w:p w:rsidR="00A97654" w:rsidRPr="00962CBF" w:rsidRDefault="00A97654" w:rsidP="00A97654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>Vu le code des juridictions financières ;</w:t>
      </w:r>
    </w:p>
    <w:p w:rsidR="00A97654" w:rsidRDefault="00A97654" w:rsidP="00A97654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>Vu l’article 60 de la loi de finances n° 63-156 du 23 février 1963 modifiée ;</w:t>
      </w:r>
    </w:p>
    <w:p w:rsidR="00F94E8E" w:rsidRDefault="00F94E8E">
      <w:pPr>
        <w:pStyle w:val="PS"/>
      </w:pPr>
      <w:r>
        <w:fldChar w:fldCharType="begin"/>
      </w:r>
      <w:r>
        <w:fldChar w:fldCharType="end"/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A97654" w:rsidRDefault="00A97654" w:rsidP="00A97654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lastRenderedPageBreak/>
        <w:t>Vu le décret n°</w:t>
      </w:r>
      <w:r>
        <w:rPr>
          <w:sz w:val="24"/>
          <w:szCs w:val="24"/>
        </w:rPr>
        <w:t> </w:t>
      </w:r>
      <w:r w:rsidRPr="00962CBF">
        <w:rPr>
          <w:sz w:val="24"/>
          <w:szCs w:val="24"/>
        </w:rPr>
        <w:t>62-1587 du 29 décembre 1962 modifié portant règlement général sur la comptabilité publique</w:t>
      </w:r>
      <w:r>
        <w:rPr>
          <w:sz w:val="24"/>
          <w:szCs w:val="24"/>
        </w:rPr>
        <w:t>, en vigueur au moment des faits</w:t>
      </w:r>
      <w:r w:rsidRPr="00962CBF">
        <w:rPr>
          <w:sz w:val="24"/>
          <w:szCs w:val="24"/>
        </w:rPr>
        <w:t> ;</w:t>
      </w:r>
    </w:p>
    <w:p w:rsidR="00A97654" w:rsidRDefault="00A97654" w:rsidP="00A97654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>Vu les pièces produites en appel ;</w:t>
      </w:r>
    </w:p>
    <w:p w:rsidR="00A97654" w:rsidRDefault="00A97654" w:rsidP="00A97654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>Vu le rapport de M.</w:t>
      </w:r>
      <w:r>
        <w:rPr>
          <w:sz w:val="24"/>
          <w:szCs w:val="24"/>
        </w:rPr>
        <w:t> </w:t>
      </w:r>
      <w:r w:rsidRPr="00962CBF">
        <w:rPr>
          <w:sz w:val="24"/>
          <w:szCs w:val="24"/>
        </w:rPr>
        <w:t>Thibault Deloye, auditeur ;</w:t>
      </w:r>
    </w:p>
    <w:p w:rsidR="00A97654" w:rsidRDefault="00A97654" w:rsidP="00A97654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>Vu les conclusions du Procureur général</w:t>
      </w:r>
      <w:r w:rsidR="003861E7">
        <w:rPr>
          <w:sz w:val="24"/>
          <w:szCs w:val="24"/>
        </w:rPr>
        <w:t xml:space="preserve"> </w:t>
      </w:r>
      <w:r w:rsidRPr="00962CBF">
        <w:rPr>
          <w:sz w:val="24"/>
          <w:szCs w:val="24"/>
        </w:rPr>
        <w:t>n°</w:t>
      </w:r>
      <w:r>
        <w:rPr>
          <w:sz w:val="24"/>
          <w:szCs w:val="24"/>
        </w:rPr>
        <w:t> 547 du 22 juillet 2013</w:t>
      </w:r>
      <w:r w:rsidR="003861E7">
        <w:rPr>
          <w:sz w:val="24"/>
          <w:szCs w:val="24"/>
        </w:rPr>
        <w:t> </w:t>
      </w:r>
      <w:r w:rsidRPr="00962CBF">
        <w:rPr>
          <w:sz w:val="24"/>
          <w:szCs w:val="24"/>
        </w:rPr>
        <w:t>;</w:t>
      </w:r>
    </w:p>
    <w:p w:rsidR="00A97654" w:rsidRDefault="00A97654" w:rsidP="00CE3FBB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>Entendu lors de l’audience publique de ce jour, M.</w:t>
      </w:r>
      <w:r w:rsidR="00B32CBD">
        <w:rPr>
          <w:sz w:val="24"/>
          <w:szCs w:val="24"/>
        </w:rPr>
        <w:t> </w:t>
      </w:r>
      <w:r w:rsidRPr="00962CBF">
        <w:rPr>
          <w:sz w:val="24"/>
          <w:szCs w:val="24"/>
        </w:rPr>
        <w:t>Deloye, en son rapport, M.</w:t>
      </w:r>
      <w:r>
        <w:rPr>
          <w:sz w:val="24"/>
          <w:szCs w:val="24"/>
        </w:rPr>
        <w:t xml:space="preserve"> Christian </w:t>
      </w:r>
      <w:r w:rsidRPr="00962CBF">
        <w:rPr>
          <w:sz w:val="24"/>
          <w:szCs w:val="24"/>
        </w:rPr>
        <w:t xml:space="preserve">Michaut, avocat général, en les conclusions du </w:t>
      </w:r>
      <w:r>
        <w:rPr>
          <w:sz w:val="24"/>
          <w:szCs w:val="24"/>
        </w:rPr>
        <w:t>ministère public, les héritiers de M. </w:t>
      </w:r>
      <w:r w:rsidR="0029523B">
        <w:rPr>
          <w:sz w:val="24"/>
          <w:szCs w:val="24"/>
        </w:rPr>
        <w:t>X</w:t>
      </w:r>
      <w:r>
        <w:rPr>
          <w:sz w:val="24"/>
          <w:szCs w:val="24"/>
        </w:rPr>
        <w:t xml:space="preserve">, décédé le </w:t>
      </w:r>
      <w:r w:rsidRPr="005A2E8B">
        <w:rPr>
          <w:sz w:val="24"/>
          <w:szCs w:val="24"/>
        </w:rPr>
        <w:t>16 juillet</w:t>
      </w:r>
      <w:r>
        <w:rPr>
          <w:sz w:val="24"/>
          <w:szCs w:val="24"/>
        </w:rPr>
        <w:t xml:space="preserve"> 2013, informés de l’audience, n’étant ni</w:t>
      </w:r>
      <w:r w:rsidR="003861E7">
        <w:rPr>
          <w:sz w:val="24"/>
          <w:szCs w:val="24"/>
        </w:rPr>
        <w:t xml:space="preserve"> </w:t>
      </w:r>
      <w:r w:rsidRPr="00962CBF">
        <w:rPr>
          <w:sz w:val="24"/>
          <w:szCs w:val="24"/>
        </w:rPr>
        <w:t>présent</w:t>
      </w:r>
      <w:r>
        <w:rPr>
          <w:sz w:val="24"/>
          <w:szCs w:val="24"/>
        </w:rPr>
        <w:t>s ni représentés ;</w:t>
      </w:r>
    </w:p>
    <w:p w:rsidR="00A97654" w:rsidRDefault="00A97654" w:rsidP="00CE3FBB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 xml:space="preserve">Après avoir entendu, en délibéré, le rapporteur et le ministère public s’étant retirés, </w:t>
      </w:r>
      <w:r>
        <w:rPr>
          <w:sz w:val="24"/>
          <w:szCs w:val="24"/>
        </w:rPr>
        <w:t xml:space="preserve">M. Philippe Geoffroy, </w:t>
      </w:r>
      <w:r w:rsidRPr="00962CBF">
        <w:rPr>
          <w:sz w:val="24"/>
          <w:szCs w:val="24"/>
        </w:rPr>
        <w:t>conseiller maître, en ses observations ;</w:t>
      </w:r>
    </w:p>
    <w:p w:rsidR="00A97654" w:rsidRPr="00962CBF" w:rsidRDefault="00A97654" w:rsidP="00CE3FBB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 xml:space="preserve">Attendu que la </w:t>
      </w:r>
      <w:r>
        <w:rPr>
          <w:sz w:val="24"/>
          <w:szCs w:val="24"/>
        </w:rPr>
        <w:t>CRC</w:t>
      </w:r>
      <w:r w:rsidRPr="00962CBF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été saisie, par le </w:t>
      </w:r>
      <w:r w:rsidRPr="00962CBF">
        <w:rPr>
          <w:sz w:val="24"/>
          <w:szCs w:val="24"/>
        </w:rPr>
        <w:t xml:space="preserve">réquisitoire du 30 juillet 2010 susvisé, </w:t>
      </w:r>
      <w:r>
        <w:rPr>
          <w:sz w:val="24"/>
          <w:szCs w:val="24"/>
        </w:rPr>
        <w:t>de</w:t>
      </w:r>
      <w:r w:rsidRPr="00962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restes à recouvrer au 31 décembre 2006 mentionnant </w:t>
      </w:r>
      <w:r w:rsidRPr="00962CBF">
        <w:rPr>
          <w:sz w:val="24"/>
          <w:szCs w:val="24"/>
        </w:rPr>
        <w:t>quatre titres de recettes</w:t>
      </w:r>
      <w:r>
        <w:rPr>
          <w:sz w:val="24"/>
          <w:szCs w:val="24"/>
        </w:rPr>
        <w:t xml:space="preserve"> émis en 2002 à l’encontre de régisseurs communaux, </w:t>
      </w:r>
      <w:r w:rsidRPr="00962CBF">
        <w:rPr>
          <w:sz w:val="24"/>
          <w:szCs w:val="24"/>
        </w:rPr>
        <w:t>pour une somme de 1</w:t>
      </w:r>
      <w:r w:rsidR="00B32CBD">
        <w:rPr>
          <w:sz w:val="24"/>
          <w:szCs w:val="24"/>
        </w:rPr>
        <w:t> </w:t>
      </w:r>
      <w:r w:rsidRPr="00962CBF">
        <w:rPr>
          <w:sz w:val="24"/>
          <w:szCs w:val="24"/>
        </w:rPr>
        <w:t>524,03</w:t>
      </w:r>
      <w:r w:rsidR="00B32CBD">
        <w:rPr>
          <w:sz w:val="24"/>
          <w:szCs w:val="24"/>
        </w:rPr>
        <w:t> </w:t>
      </w:r>
      <w:r>
        <w:rPr>
          <w:sz w:val="24"/>
          <w:szCs w:val="24"/>
        </w:rPr>
        <w:t xml:space="preserve">€ </w:t>
      </w:r>
      <w:r w:rsidRPr="00962CBF">
        <w:rPr>
          <w:sz w:val="24"/>
          <w:szCs w:val="24"/>
        </w:rPr>
        <w:t>conformément au tableau ci-après :</w:t>
      </w:r>
    </w:p>
    <w:tbl>
      <w:tblPr>
        <w:tblW w:w="0" w:type="auto"/>
        <w:tblInd w:w="2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6"/>
        <w:gridCol w:w="3306"/>
      </w:tblGrid>
      <w:tr w:rsidR="00A97654" w:rsidTr="004F172E">
        <w:trPr>
          <w:trHeight w:val="261"/>
        </w:trPr>
        <w:tc>
          <w:tcPr>
            <w:tcW w:w="3306" w:type="dxa"/>
            <w:shd w:val="clear" w:color="auto" w:fill="auto"/>
          </w:tcPr>
          <w:p w:rsidR="00A97654" w:rsidRPr="00EC2B55" w:rsidRDefault="00A97654" w:rsidP="00EC2B55">
            <w:pPr>
              <w:jc w:val="center"/>
              <w:rPr>
                <w:rFonts w:eastAsia="Calibri"/>
                <w:sz w:val="22"/>
                <w:szCs w:val="22"/>
              </w:rPr>
            </w:pPr>
            <w:bookmarkStart w:id="0" w:name="_GoBack"/>
            <w:r w:rsidRPr="00EC2B55">
              <w:rPr>
                <w:rFonts w:eastAsia="Calibri"/>
                <w:sz w:val="22"/>
                <w:szCs w:val="22"/>
              </w:rPr>
              <w:t>Titre</w:t>
            </w:r>
          </w:p>
        </w:tc>
        <w:tc>
          <w:tcPr>
            <w:tcW w:w="3306" w:type="dxa"/>
            <w:shd w:val="clear" w:color="auto" w:fill="auto"/>
          </w:tcPr>
          <w:p w:rsidR="00A97654" w:rsidRPr="00EC2B55" w:rsidRDefault="00A97654" w:rsidP="00EC2B55">
            <w:pPr>
              <w:jc w:val="center"/>
              <w:rPr>
                <w:rFonts w:eastAsia="Calibri"/>
                <w:sz w:val="22"/>
                <w:szCs w:val="22"/>
              </w:rPr>
            </w:pPr>
            <w:r w:rsidRPr="00EC2B55">
              <w:rPr>
                <w:rFonts w:eastAsia="Calibri"/>
                <w:sz w:val="22"/>
                <w:szCs w:val="22"/>
              </w:rPr>
              <w:t>Montant en euros</w:t>
            </w:r>
          </w:p>
        </w:tc>
      </w:tr>
      <w:tr w:rsidR="00A97654" w:rsidTr="004F172E">
        <w:trPr>
          <w:trHeight w:val="261"/>
        </w:trPr>
        <w:tc>
          <w:tcPr>
            <w:tcW w:w="3306" w:type="dxa"/>
            <w:shd w:val="clear" w:color="auto" w:fill="auto"/>
          </w:tcPr>
          <w:p w:rsidR="00A97654" w:rsidRPr="00EC2B55" w:rsidRDefault="00A97654" w:rsidP="00EC2B55">
            <w:pPr>
              <w:jc w:val="center"/>
              <w:rPr>
                <w:rFonts w:eastAsia="Calibri"/>
                <w:sz w:val="22"/>
                <w:szCs w:val="22"/>
              </w:rPr>
            </w:pPr>
            <w:r w:rsidRPr="00EC2B55">
              <w:rPr>
                <w:rFonts w:eastAsia="Calibri"/>
                <w:sz w:val="22"/>
                <w:szCs w:val="22"/>
              </w:rPr>
              <w:t>T2/27</w:t>
            </w:r>
          </w:p>
        </w:tc>
        <w:tc>
          <w:tcPr>
            <w:tcW w:w="3306" w:type="dxa"/>
            <w:shd w:val="clear" w:color="auto" w:fill="auto"/>
          </w:tcPr>
          <w:p w:rsidR="00A97654" w:rsidRPr="00EC2B55" w:rsidRDefault="00A97654" w:rsidP="00EC2B55">
            <w:pPr>
              <w:jc w:val="center"/>
              <w:rPr>
                <w:rFonts w:eastAsia="Calibri"/>
                <w:sz w:val="22"/>
                <w:szCs w:val="22"/>
              </w:rPr>
            </w:pPr>
            <w:r w:rsidRPr="00EC2B55">
              <w:rPr>
                <w:rFonts w:eastAsia="Calibri"/>
                <w:sz w:val="22"/>
                <w:szCs w:val="22"/>
              </w:rPr>
              <w:t>167,69</w:t>
            </w:r>
          </w:p>
        </w:tc>
      </w:tr>
      <w:tr w:rsidR="00A97654" w:rsidTr="004F172E">
        <w:trPr>
          <w:trHeight w:val="245"/>
        </w:trPr>
        <w:tc>
          <w:tcPr>
            <w:tcW w:w="3306" w:type="dxa"/>
            <w:shd w:val="clear" w:color="auto" w:fill="auto"/>
          </w:tcPr>
          <w:p w:rsidR="00A97654" w:rsidRPr="00EC2B55" w:rsidRDefault="00A97654" w:rsidP="00EC2B55">
            <w:pPr>
              <w:jc w:val="center"/>
              <w:rPr>
                <w:rFonts w:eastAsia="Calibri"/>
                <w:sz w:val="22"/>
                <w:szCs w:val="22"/>
              </w:rPr>
            </w:pPr>
            <w:r w:rsidRPr="00EC2B55">
              <w:rPr>
                <w:rFonts w:eastAsia="Calibri"/>
                <w:sz w:val="22"/>
                <w:szCs w:val="22"/>
              </w:rPr>
              <w:t>T2/28</w:t>
            </w:r>
          </w:p>
        </w:tc>
        <w:tc>
          <w:tcPr>
            <w:tcW w:w="3306" w:type="dxa"/>
            <w:shd w:val="clear" w:color="auto" w:fill="auto"/>
          </w:tcPr>
          <w:p w:rsidR="00A97654" w:rsidRPr="00EC2B55" w:rsidRDefault="00A97654" w:rsidP="00EC2B55">
            <w:pPr>
              <w:jc w:val="center"/>
              <w:rPr>
                <w:rFonts w:eastAsia="Calibri"/>
                <w:sz w:val="22"/>
                <w:szCs w:val="22"/>
              </w:rPr>
            </w:pPr>
            <w:r w:rsidRPr="00EC2B55">
              <w:rPr>
                <w:rFonts w:eastAsia="Calibri"/>
                <w:sz w:val="22"/>
                <w:szCs w:val="22"/>
              </w:rPr>
              <w:t>164,80</w:t>
            </w:r>
          </w:p>
        </w:tc>
      </w:tr>
      <w:tr w:rsidR="00A97654" w:rsidTr="004F172E">
        <w:trPr>
          <w:trHeight w:val="261"/>
        </w:trPr>
        <w:tc>
          <w:tcPr>
            <w:tcW w:w="3306" w:type="dxa"/>
            <w:shd w:val="clear" w:color="auto" w:fill="auto"/>
          </w:tcPr>
          <w:p w:rsidR="00A97654" w:rsidRPr="00EC2B55" w:rsidRDefault="00A97654" w:rsidP="00EC2B55">
            <w:pPr>
              <w:jc w:val="center"/>
              <w:rPr>
                <w:rFonts w:eastAsia="Calibri"/>
                <w:sz w:val="22"/>
                <w:szCs w:val="22"/>
              </w:rPr>
            </w:pPr>
            <w:r w:rsidRPr="00EC2B55">
              <w:rPr>
                <w:rFonts w:eastAsia="Calibri"/>
                <w:sz w:val="22"/>
                <w:szCs w:val="22"/>
              </w:rPr>
              <w:t>T2/29</w:t>
            </w:r>
          </w:p>
        </w:tc>
        <w:tc>
          <w:tcPr>
            <w:tcW w:w="3306" w:type="dxa"/>
            <w:shd w:val="clear" w:color="auto" w:fill="auto"/>
          </w:tcPr>
          <w:p w:rsidR="00A97654" w:rsidRPr="00EC2B55" w:rsidRDefault="00A97654" w:rsidP="00EC2B55">
            <w:pPr>
              <w:jc w:val="center"/>
              <w:rPr>
                <w:rFonts w:eastAsia="Calibri"/>
                <w:sz w:val="22"/>
                <w:szCs w:val="22"/>
              </w:rPr>
            </w:pPr>
            <w:r w:rsidRPr="00EC2B55">
              <w:rPr>
                <w:rFonts w:eastAsia="Calibri"/>
                <w:sz w:val="22"/>
                <w:szCs w:val="22"/>
              </w:rPr>
              <w:t>534,04</w:t>
            </w:r>
          </w:p>
        </w:tc>
      </w:tr>
      <w:tr w:rsidR="00A97654" w:rsidTr="004F172E">
        <w:trPr>
          <w:trHeight w:val="261"/>
        </w:trPr>
        <w:tc>
          <w:tcPr>
            <w:tcW w:w="3306" w:type="dxa"/>
            <w:shd w:val="clear" w:color="auto" w:fill="auto"/>
          </w:tcPr>
          <w:p w:rsidR="00A97654" w:rsidRPr="00EC2B55" w:rsidRDefault="00A97654" w:rsidP="00EC2B55">
            <w:pPr>
              <w:jc w:val="center"/>
              <w:rPr>
                <w:rFonts w:eastAsia="Calibri"/>
                <w:sz w:val="22"/>
                <w:szCs w:val="22"/>
              </w:rPr>
            </w:pPr>
            <w:r w:rsidRPr="00EC2B55">
              <w:rPr>
                <w:rFonts w:eastAsia="Calibri"/>
                <w:sz w:val="22"/>
                <w:szCs w:val="22"/>
              </w:rPr>
              <w:t>T2/66</w:t>
            </w:r>
          </w:p>
        </w:tc>
        <w:tc>
          <w:tcPr>
            <w:tcW w:w="3306" w:type="dxa"/>
            <w:shd w:val="clear" w:color="auto" w:fill="auto"/>
          </w:tcPr>
          <w:p w:rsidR="00A97654" w:rsidRPr="00EC2B55" w:rsidRDefault="00A97654" w:rsidP="00EC2B55">
            <w:pPr>
              <w:jc w:val="center"/>
              <w:rPr>
                <w:rFonts w:eastAsia="Calibri"/>
                <w:sz w:val="22"/>
                <w:szCs w:val="22"/>
              </w:rPr>
            </w:pPr>
            <w:r w:rsidRPr="00EC2B55">
              <w:rPr>
                <w:rFonts w:eastAsia="Calibri"/>
                <w:sz w:val="22"/>
                <w:szCs w:val="22"/>
              </w:rPr>
              <w:t>657,50</w:t>
            </w:r>
          </w:p>
        </w:tc>
      </w:tr>
    </w:tbl>
    <w:bookmarkEnd w:id="0"/>
    <w:p w:rsidR="00A97654" w:rsidRPr="00962CBF" w:rsidRDefault="00A97654" w:rsidP="00CE3FBB">
      <w:pPr>
        <w:spacing w:before="240"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>Attendu que la chambre régionale a estimé qu</w:t>
      </w:r>
      <w:r>
        <w:rPr>
          <w:sz w:val="24"/>
          <w:szCs w:val="24"/>
        </w:rPr>
        <w:t>’il n’y avait pas lieu à charge, au motif que</w:t>
      </w:r>
      <w:r w:rsidRPr="00962CBF">
        <w:rPr>
          <w:sz w:val="24"/>
          <w:szCs w:val="24"/>
        </w:rPr>
        <w:t xml:space="preserve"> les titres considérés avaient fait l’objet d’un détournement par un agent du poste comptable</w:t>
      </w:r>
      <w:r>
        <w:rPr>
          <w:sz w:val="24"/>
          <w:szCs w:val="24"/>
        </w:rPr>
        <w:t>,</w:t>
      </w:r>
      <w:r w:rsidRPr="00962CBF">
        <w:rPr>
          <w:sz w:val="24"/>
          <w:szCs w:val="24"/>
        </w:rPr>
        <w:t xml:space="preserve"> </w:t>
      </w:r>
      <w:r>
        <w:rPr>
          <w:sz w:val="24"/>
          <w:szCs w:val="24"/>
        </w:rPr>
        <w:t>en 2002, exercice pour lequel M.</w:t>
      </w:r>
      <w:r w:rsidR="00CE3FBB">
        <w:rPr>
          <w:sz w:val="24"/>
          <w:szCs w:val="24"/>
        </w:rPr>
        <w:t> </w:t>
      </w:r>
      <w:r w:rsidR="0029523B">
        <w:rPr>
          <w:sz w:val="24"/>
          <w:szCs w:val="24"/>
        </w:rPr>
        <w:t>X</w:t>
      </w:r>
      <w:r>
        <w:rPr>
          <w:sz w:val="24"/>
          <w:szCs w:val="24"/>
        </w:rPr>
        <w:t xml:space="preserve"> avait reçu décharge</w:t>
      </w:r>
      <w:r w:rsidR="003861E7">
        <w:rPr>
          <w:sz w:val="24"/>
          <w:szCs w:val="24"/>
        </w:rPr>
        <w:t> </w:t>
      </w:r>
      <w:r w:rsidRPr="00962CBF">
        <w:rPr>
          <w:sz w:val="24"/>
          <w:szCs w:val="24"/>
        </w:rPr>
        <w:t>;</w:t>
      </w:r>
    </w:p>
    <w:p w:rsidR="00A97654" w:rsidRPr="00640676" w:rsidRDefault="00A97654" w:rsidP="00CE3FBB">
      <w:pPr>
        <w:spacing w:before="120" w:after="240"/>
        <w:ind w:firstLine="2835"/>
        <w:jc w:val="both"/>
        <w:rPr>
          <w:b/>
          <w:sz w:val="24"/>
          <w:szCs w:val="24"/>
        </w:rPr>
      </w:pPr>
      <w:r w:rsidRPr="00640676">
        <w:rPr>
          <w:b/>
          <w:sz w:val="24"/>
          <w:szCs w:val="24"/>
        </w:rPr>
        <w:t>Sur la régularité du jugement</w:t>
      </w:r>
    </w:p>
    <w:p w:rsidR="00A97654" w:rsidRDefault="00A97654" w:rsidP="00CE3FBB">
      <w:pPr>
        <w:spacing w:before="120" w:after="24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 xml:space="preserve">Attendu que l’appelant fait valoir que le jugement de la </w:t>
      </w:r>
      <w:r>
        <w:rPr>
          <w:sz w:val="24"/>
          <w:szCs w:val="24"/>
        </w:rPr>
        <w:t>CRC</w:t>
      </w:r>
      <w:r w:rsidRPr="00962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manquerait en motivation et qu’il </w:t>
      </w:r>
      <w:r w:rsidRPr="00962CBF">
        <w:rPr>
          <w:sz w:val="24"/>
          <w:szCs w:val="24"/>
        </w:rPr>
        <w:t>ne discute</w:t>
      </w:r>
      <w:r>
        <w:rPr>
          <w:sz w:val="24"/>
          <w:szCs w:val="24"/>
        </w:rPr>
        <w:t>rait</w:t>
      </w:r>
      <w:r w:rsidRPr="00962CBF">
        <w:rPr>
          <w:sz w:val="24"/>
          <w:szCs w:val="24"/>
        </w:rPr>
        <w:t xml:space="preserve"> pas la totalité des arguments du ministère public et des propositions du rapporteur ;</w:t>
      </w:r>
    </w:p>
    <w:p w:rsidR="00A97654" w:rsidRDefault="00A97654" w:rsidP="00CE3FBB">
      <w:pPr>
        <w:spacing w:before="120" w:after="24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Considérant </w:t>
      </w:r>
      <w:r w:rsidRPr="00962CBF">
        <w:rPr>
          <w:sz w:val="24"/>
          <w:szCs w:val="24"/>
        </w:rPr>
        <w:t xml:space="preserve">que </w:t>
      </w:r>
      <w:r>
        <w:rPr>
          <w:sz w:val="24"/>
          <w:szCs w:val="24"/>
        </w:rPr>
        <w:t>le deuxième alinéa de l’</w:t>
      </w:r>
      <w:r w:rsidRPr="00962CBF">
        <w:rPr>
          <w:sz w:val="24"/>
          <w:szCs w:val="24"/>
        </w:rPr>
        <w:t>article R.</w:t>
      </w:r>
      <w:r w:rsidR="00CE3FBB">
        <w:rPr>
          <w:sz w:val="24"/>
          <w:szCs w:val="24"/>
        </w:rPr>
        <w:t> </w:t>
      </w:r>
      <w:r w:rsidRPr="00962CBF">
        <w:rPr>
          <w:sz w:val="24"/>
          <w:szCs w:val="24"/>
        </w:rPr>
        <w:t>241-41 du code des juridictions financières dispose que « </w:t>
      </w:r>
      <w:r w:rsidRPr="00962CBF">
        <w:rPr>
          <w:i/>
          <w:sz w:val="24"/>
          <w:szCs w:val="24"/>
        </w:rPr>
        <w:t xml:space="preserve">le </w:t>
      </w:r>
      <w:r>
        <w:rPr>
          <w:i/>
          <w:sz w:val="24"/>
          <w:szCs w:val="24"/>
        </w:rPr>
        <w:t>jugement, motivé, statue sur</w:t>
      </w:r>
      <w:r w:rsidRPr="00962CBF">
        <w:rPr>
          <w:i/>
          <w:sz w:val="24"/>
          <w:szCs w:val="24"/>
        </w:rPr>
        <w:t xml:space="preserve"> les propositions du rapporteur, les conclusions du ministère public et les observations des autres parties</w:t>
      </w:r>
      <w:r>
        <w:rPr>
          <w:sz w:val="24"/>
          <w:szCs w:val="24"/>
        </w:rPr>
        <w:t> » ; qu’il en résulte qu’est entaché d’irrégularité un jugement qui omet de discuter, fût-ce succinctement, l’un ou l’autre de ces éléments ;</w:t>
      </w:r>
    </w:p>
    <w:p w:rsidR="00A97654" w:rsidRDefault="00CE3FBB" w:rsidP="00CE3FBB">
      <w:pPr>
        <w:spacing w:before="360" w:after="36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97654">
        <w:rPr>
          <w:sz w:val="24"/>
          <w:szCs w:val="24"/>
        </w:rPr>
        <w:lastRenderedPageBreak/>
        <w:t>Considérant, en premier lieu, que le rapport et les conclusions de première instance exposaient que les restes à recouvrer correspondaient à un manquant en monnaie ou en valeurs, au motif que les montants des titres émis à l’encontre des régisseurs auraient été encaissés</w:t>
      </w:r>
      <w:r w:rsidR="003861E7">
        <w:rPr>
          <w:sz w:val="24"/>
          <w:szCs w:val="24"/>
        </w:rPr>
        <w:t xml:space="preserve"> </w:t>
      </w:r>
      <w:r w:rsidR="00A97654">
        <w:rPr>
          <w:sz w:val="24"/>
          <w:szCs w:val="24"/>
        </w:rPr>
        <w:t xml:space="preserve">par l’agence comptable ; </w:t>
      </w:r>
    </w:p>
    <w:p w:rsidR="00A97654" w:rsidRDefault="00A97654" w:rsidP="00CE3FBB">
      <w:pPr>
        <w:spacing w:before="120" w:after="36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Considérant, en second lieu, que si le jugement entrepris résume dans un attendu le réquisitoire initial </w:t>
      </w:r>
      <w:r w:rsidRPr="00962CBF">
        <w:rPr>
          <w:sz w:val="24"/>
          <w:szCs w:val="24"/>
        </w:rPr>
        <w:t>du procureur financier du 30 juillet 2010</w:t>
      </w:r>
      <w:r w:rsidR="003861E7">
        <w:rPr>
          <w:sz w:val="24"/>
          <w:szCs w:val="24"/>
        </w:rPr>
        <w:t xml:space="preserve"> </w:t>
      </w:r>
      <w:r>
        <w:rPr>
          <w:sz w:val="24"/>
          <w:szCs w:val="24"/>
        </w:rPr>
        <w:t>susvisé</w:t>
      </w:r>
      <w:r w:rsidR="003861E7">
        <w:rPr>
          <w:sz w:val="24"/>
          <w:szCs w:val="24"/>
        </w:rPr>
        <w:t>,</w:t>
      </w:r>
      <w:r>
        <w:rPr>
          <w:sz w:val="24"/>
          <w:szCs w:val="24"/>
        </w:rPr>
        <w:t xml:space="preserve"> il se borne ensuite à rappeler la règle issue de la loi du 23</w:t>
      </w:r>
      <w:r w:rsidR="003861E7">
        <w:rPr>
          <w:sz w:val="24"/>
          <w:szCs w:val="24"/>
        </w:rPr>
        <w:t xml:space="preserve"> </w:t>
      </w:r>
      <w:r>
        <w:rPr>
          <w:sz w:val="24"/>
          <w:szCs w:val="24"/>
        </w:rPr>
        <w:t>février</w:t>
      </w:r>
      <w:r w:rsidR="003861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1963 susvisée, selon laquelle la responsabilité d’un comptable </w:t>
      </w:r>
      <w:r w:rsidRPr="008624B0">
        <w:rPr>
          <w:i/>
          <w:sz w:val="24"/>
          <w:szCs w:val="24"/>
        </w:rPr>
        <w:t>« se trouve engagée dès lors qu'un déficit ou un manquant en monnaie ou en valeurs a été constaté »</w:t>
      </w:r>
      <w:r>
        <w:rPr>
          <w:sz w:val="24"/>
          <w:szCs w:val="24"/>
        </w:rPr>
        <w:t>, sans discuter la qualification juridique de l’anomalie</w:t>
      </w:r>
      <w:r>
        <w:rPr>
          <w:i/>
          <w:sz w:val="24"/>
          <w:szCs w:val="24"/>
        </w:rPr>
        <w:t xml:space="preserve"> </w:t>
      </w:r>
      <w:r w:rsidRPr="0008231F">
        <w:rPr>
          <w:sz w:val="24"/>
          <w:szCs w:val="24"/>
        </w:rPr>
        <w:t>telle qu’</w:t>
      </w:r>
      <w:r>
        <w:rPr>
          <w:sz w:val="24"/>
          <w:szCs w:val="24"/>
        </w:rPr>
        <w:t>argumentée au rapport et aux conclusions ; qu’ainsi l’élément susmentionné, s’il peut être considéré comme ayant été exposé par le rappel du réquisitoire, n’a pas été discuté</w:t>
      </w:r>
      <w:r w:rsidR="003861E7">
        <w:rPr>
          <w:sz w:val="24"/>
          <w:szCs w:val="24"/>
        </w:rPr>
        <w:t xml:space="preserve"> </w:t>
      </w:r>
      <w:r>
        <w:rPr>
          <w:sz w:val="24"/>
          <w:szCs w:val="24"/>
        </w:rPr>
        <w:t>au fond par le jugement entrepris</w:t>
      </w:r>
      <w:r w:rsidR="003861E7">
        <w:rPr>
          <w:sz w:val="24"/>
          <w:szCs w:val="24"/>
        </w:rPr>
        <w:t> ;</w:t>
      </w:r>
    </w:p>
    <w:p w:rsidR="00A97654" w:rsidRDefault="00A97654" w:rsidP="00CE3FBB">
      <w:pPr>
        <w:spacing w:after="36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Considérant, au surplus, que le rapporteur faisait également valoir à charge l’absence de réponse du comptable à son questionnaire et que cet argument n’a pas été discuté, ni même exposé</w:t>
      </w:r>
      <w:r w:rsidR="003861E7">
        <w:rPr>
          <w:sz w:val="24"/>
          <w:szCs w:val="24"/>
        </w:rPr>
        <w:t xml:space="preserve"> </w:t>
      </w:r>
      <w:r>
        <w:rPr>
          <w:sz w:val="24"/>
          <w:szCs w:val="24"/>
        </w:rPr>
        <w:t>par le jugement entrepris</w:t>
      </w:r>
      <w:r w:rsidR="003861E7">
        <w:rPr>
          <w:sz w:val="24"/>
          <w:szCs w:val="24"/>
        </w:rPr>
        <w:t> ;</w:t>
      </w:r>
    </w:p>
    <w:p w:rsidR="00A97654" w:rsidRDefault="00A97654" w:rsidP="00CE3FBB">
      <w:pPr>
        <w:spacing w:after="36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Considérant qu’il résulte de l’ensemble des éléments ainsi rappelés qu’il y a lieu d’annuler le jugement de la CRC </w:t>
      </w:r>
      <w:r w:rsidRPr="00962CBF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Provence-Alpes-Côte </w:t>
      </w:r>
      <w:r w:rsidRPr="00962CBF">
        <w:rPr>
          <w:sz w:val="24"/>
          <w:szCs w:val="24"/>
        </w:rPr>
        <w:t>d’Azur</w:t>
      </w:r>
      <w:r w:rsidR="003861E7">
        <w:rPr>
          <w:sz w:val="24"/>
          <w:szCs w:val="24"/>
        </w:rPr>
        <w:t> ;</w:t>
      </w:r>
    </w:p>
    <w:p w:rsidR="00A97654" w:rsidRPr="00640676" w:rsidRDefault="00A97654" w:rsidP="00CE3FBB">
      <w:pPr>
        <w:spacing w:after="360"/>
        <w:ind w:firstLine="2835"/>
        <w:jc w:val="both"/>
        <w:rPr>
          <w:b/>
          <w:sz w:val="24"/>
          <w:szCs w:val="24"/>
        </w:rPr>
      </w:pPr>
      <w:r w:rsidRPr="00640676">
        <w:rPr>
          <w:b/>
          <w:sz w:val="24"/>
          <w:szCs w:val="24"/>
        </w:rPr>
        <w:t>Sur l’évocation</w:t>
      </w:r>
    </w:p>
    <w:p w:rsidR="00A97654" w:rsidRDefault="00A97654" w:rsidP="00CE3FBB">
      <w:pPr>
        <w:spacing w:after="36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Considérant que l’affaire est en l’état d’être jugée ; qu’elle peut donc être évoquée par la Cour ;</w:t>
      </w:r>
    </w:p>
    <w:p w:rsidR="00A97654" w:rsidRPr="00640676" w:rsidRDefault="00A97654" w:rsidP="00CE3FBB">
      <w:pPr>
        <w:spacing w:after="360"/>
        <w:ind w:firstLine="2694"/>
        <w:jc w:val="both"/>
        <w:rPr>
          <w:b/>
          <w:sz w:val="24"/>
          <w:szCs w:val="24"/>
        </w:rPr>
      </w:pPr>
      <w:r w:rsidRPr="00640676">
        <w:rPr>
          <w:b/>
          <w:sz w:val="24"/>
          <w:szCs w:val="24"/>
        </w:rPr>
        <w:t>Sur les détournement</w:t>
      </w:r>
      <w:r w:rsidR="00CE3FBB">
        <w:rPr>
          <w:b/>
          <w:sz w:val="24"/>
          <w:szCs w:val="24"/>
        </w:rPr>
        <w:t>s intervenus au poste comptable</w:t>
      </w:r>
    </w:p>
    <w:p w:rsidR="00A97654" w:rsidRDefault="00A97654" w:rsidP="00CE3FBB">
      <w:pPr>
        <w:spacing w:after="360"/>
        <w:ind w:left="1701" w:firstLine="1134"/>
        <w:jc w:val="both"/>
        <w:rPr>
          <w:sz w:val="24"/>
          <w:szCs w:val="24"/>
        </w:rPr>
      </w:pPr>
      <w:r w:rsidRPr="00962CBF">
        <w:rPr>
          <w:sz w:val="24"/>
          <w:szCs w:val="24"/>
        </w:rPr>
        <w:t xml:space="preserve">Attendu </w:t>
      </w:r>
      <w:r>
        <w:rPr>
          <w:sz w:val="24"/>
          <w:szCs w:val="24"/>
        </w:rPr>
        <w:t>que le comptable fait valoir que les titres litigieux étaient de ceux ayant fait l’objet d’un détournement de fonds par un agent du poste comptable ;</w:t>
      </w:r>
    </w:p>
    <w:p w:rsidR="00A97654" w:rsidRDefault="00A97654" w:rsidP="00CE3FBB">
      <w:pPr>
        <w:spacing w:after="36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Considérant que les titres en question ne figurent ni dans une décision du juge judiciaire, ni dans la liste des titres ayant fait l’objet dudit détournement telle qu’établie le 1</w:t>
      </w:r>
      <w:r w:rsidRPr="0018321A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octobre 2008 par les inspecteurs du Trésor public ; que, le comptable ayant contresigné ladite liste, il ne pouvait utilement exciper de son ignorance du déroulement de la procédure ; que le fait que ces titres puissent être rattachés au détournement n’est en outre corroboré ni par le comptable supérieur, ni par aucun autre élément figurant au dossier ; </w:t>
      </w:r>
    </w:p>
    <w:p w:rsidR="00A97654" w:rsidRDefault="00A97654" w:rsidP="00CE3FBB">
      <w:pPr>
        <w:spacing w:after="36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Considérant ainsi que l’existence, non contestée, d’un détournement de fonds à l’agence comptable sur la même période ne s’oppose pas, le cas échéant, à la mise en jeu de la responsabilité du comptable</w:t>
      </w:r>
      <w:r w:rsidR="003861E7">
        <w:rPr>
          <w:sz w:val="24"/>
          <w:szCs w:val="24"/>
        </w:rPr>
        <w:t xml:space="preserve"> </w:t>
      </w:r>
      <w:r>
        <w:rPr>
          <w:sz w:val="24"/>
          <w:szCs w:val="24"/>
        </w:rPr>
        <w:t>à raison des titres litigieux</w:t>
      </w:r>
      <w:r w:rsidR="003861E7">
        <w:rPr>
          <w:sz w:val="24"/>
          <w:szCs w:val="24"/>
        </w:rPr>
        <w:t> </w:t>
      </w:r>
      <w:r>
        <w:rPr>
          <w:sz w:val="24"/>
          <w:szCs w:val="24"/>
        </w:rPr>
        <w:t>;</w:t>
      </w:r>
    </w:p>
    <w:p w:rsidR="00A97654" w:rsidRPr="007D13B3" w:rsidRDefault="00043324" w:rsidP="00CE3FBB">
      <w:pPr>
        <w:spacing w:after="360"/>
        <w:ind w:firstLine="283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A97654" w:rsidRPr="007D13B3">
        <w:rPr>
          <w:b/>
          <w:sz w:val="24"/>
          <w:szCs w:val="24"/>
        </w:rPr>
        <w:lastRenderedPageBreak/>
        <w:t>Sur la date du fait générateur de la présomption de charge</w:t>
      </w:r>
    </w:p>
    <w:p w:rsidR="00A97654" w:rsidRPr="007D13B3" w:rsidRDefault="00A97654" w:rsidP="00CE3FBB">
      <w:pPr>
        <w:spacing w:after="36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Considérant que le fait générateur de la présomption de charge consiste en la persistance de restes à recouvrer au compte 2006, exercice pour lequel le comptable n’a pas reçu décharge ; qu’ainsi, quelles que soient les dates de prise en charge des titres et celles auxquelles l’anomalie est apparue, le fait que M.</w:t>
      </w:r>
      <w:r w:rsidR="00CE3FBB">
        <w:rPr>
          <w:sz w:val="24"/>
          <w:szCs w:val="24"/>
        </w:rPr>
        <w:t> </w:t>
      </w:r>
      <w:r w:rsidR="0029523B">
        <w:rPr>
          <w:sz w:val="24"/>
          <w:szCs w:val="24"/>
        </w:rPr>
        <w:t>X</w:t>
      </w:r>
      <w:r>
        <w:rPr>
          <w:sz w:val="24"/>
          <w:szCs w:val="24"/>
        </w:rPr>
        <w:t xml:space="preserve"> ait été déchargé pour l’exercice 2002 ne s’oppose pas, le cas échéant, à la mise en jeu de sa responsabilité pour les titres en question</w:t>
      </w:r>
      <w:r w:rsidR="003861E7">
        <w:rPr>
          <w:sz w:val="24"/>
          <w:szCs w:val="24"/>
        </w:rPr>
        <w:t> ;</w:t>
      </w:r>
    </w:p>
    <w:p w:rsidR="00A97654" w:rsidRPr="007D13B3" w:rsidRDefault="00A97654" w:rsidP="00CE3FBB">
      <w:pPr>
        <w:spacing w:after="360"/>
        <w:ind w:firstLine="2835"/>
        <w:jc w:val="both"/>
        <w:rPr>
          <w:b/>
          <w:sz w:val="24"/>
          <w:szCs w:val="24"/>
        </w:rPr>
      </w:pPr>
      <w:r w:rsidRPr="007D13B3">
        <w:rPr>
          <w:b/>
          <w:sz w:val="24"/>
          <w:szCs w:val="24"/>
        </w:rPr>
        <w:t>Sur le manquant en monnaie ou en valeurs</w:t>
      </w:r>
    </w:p>
    <w:p w:rsidR="00A97654" w:rsidRDefault="00A97654" w:rsidP="00CE3FBB">
      <w:pPr>
        <w:spacing w:after="360"/>
        <w:ind w:left="1560" w:firstLine="1275"/>
        <w:jc w:val="both"/>
        <w:rPr>
          <w:sz w:val="24"/>
          <w:szCs w:val="24"/>
        </w:rPr>
      </w:pPr>
      <w:r>
        <w:rPr>
          <w:sz w:val="24"/>
          <w:szCs w:val="24"/>
        </w:rPr>
        <w:t>Considérant</w:t>
      </w:r>
      <w:r w:rsidRPr="0014317F">
        <w:rPr>
          <w:sz w:val="24"/>
          <w:szCs w:val="24"/>
        </w:rPr>
        <w:t xml:space="preserve"> qu’en application de l’article 11 du décret du 29 décembre 1962 susvisé </w:t>
      </w:r>
      <w:r>
        <w:rPr>
          <w:sz w:val="24"/>
          <w:szCs w:val="24"/>
        </w:rPr>
        <w:t>l</w:t>
      </w:r>
      <w:r w:rsidRPr="0014317F">
        <w:rPr>
          <w:sz w:val="24"/>
          <w:szCs w:val="24"/>
        </w:rPr>
        <w:t xml:space="preserve">es comptables publics </w:t>
      </w:r>
      <w:r w:rsidRPr="0014317F">
        <w:rPr>
          <w:i/>
          <w:sz w:val="24"/>
          <w:szCs w:val="24"/>
        </w:rPr>
        <w:t>« sont seuls chargés […] de la prise en charge et du recouvrement des ordres de recettes qui leur sont remis par les ordonnateurs, […] de la garde et de la conservation des fonds et valeurs appartenant ou confiés aux organismes publics ; […] de la conservation des pièces justificatives des opérations et des documents de comptabilité ; de la tenue de la comptabilité du poste comptable qu'ils dirigent</w:t>
      </w:r>
      <w:r>
        <w:rPr>
          <w:i/>
          <w:sz w:val="24"/>
          <w:szCs w:val="24"/>
        </w:rPr>
        <w:t> »</w:t>
      </w:r>
      <w:r w:rsidRPr="0014317F">
        <w:rPr>
          <w:sz w:val="24"/>
          <w:szCs w:val="24"/>
        </w:rPr>
        <w:t> ;</w:t>
      </w:r>
      <w:r>
        <w:rPr>
          <w:sz w:val="24"/>
          <w:szCs w:val="24"/>
        </w:rPr>
        <w:t xml:space="preserve"> qu’en vertu de</w:t>
      </w:r>
      <w:r w:rsidRPr="008624B0">
        <w:rPr>
          <w:sz w:val="24"/>
          <w:szCs w:val="24"/>
        </w:rPr>
        <w:t xml:space="preserve"> la loi du 2</w:t>
      </w:r>
      <w:r>
        <w:rPr>
          <w:sz w:val="24"/>
          <w:szCs w:val="24"/>
        </w:rPr>
        <w:t>3</w:t>
      </w:r>
      <w:r w:rsidRPr="008624B0">
        <w:rPr>
          <w:sz w:val="24"/>
          <w:szCs w:val="24"/>
        </w:rPr>
        <w:t xml:space="preserve"> février 1963 susvisée, </w:t>
      </w:r>
      <w:r>
        <w:rPr>
          <w:sz w:val="24"/>
          <w:szCs w:val="24"/>
        </w:rPr>
        <w:t>l</w:t>
      </w:r>
      <w:r w:rsidRPr="008624B0">
        <w:rPr>
          <w:sz w:val="24"/>
          <w:szCs w:val="24"/>
        </w:rPr>
        <w:t xml:space="preserve">a responsabilité personnelle et pécuniaire </w:t>
      </w:r>
      <w:r>
        <w:rPr>
          <w:sz w:val="24"/>
          <w:szCs w:val="24"/>
        </w:rPr>
        <w:t xml:space="preserve">des comptables </w:t>
      </w:r>
      <w:r w:rsidRPr="008624B0">
        <w:rPr>
          <w:i/>
          <w:sz w:val="24"/>
          <w:szCs w:val="24"/>
        </w:rPr>
        <w:t>« se trouve engagée dès lors qu'un déficit ou un manquant en monnaie ou en valeurs a été constaté »</w:t>
      </w:r>
      <w:r w:rsidRPr="008624B0">
        <w:rPr>
          <w:sz w:val="24"/>
          <w:szCs w:val="24"/>
        </w:rPr>
        <w:t> ;</w:t>
      </w:r>
    </w:p>
    <w:p w:rsidR="00A97654" w:rsidRDefault="00A97654" w:rsidP="00CE3FBB">
      <w:pPr>
        <w:spacing w:after="360"/>
        <w:ind w:left="1560" w:firstLine="1275"/>
        <w:jc w:val="both"/>
        <w:rPr>
          <w:sz w:val="24"/>
          <w:szCs w:val="24"/>
        </w:rPr>
      </w:pPr>
      <w:r>
        <w:rPr>
          <w:sz w:val="24"/>
          <w:szCs w:val="24"/>
        </w:rPr>
        <w:t>Considérant que si l’état des restes à recouvrer mentionne que les quatre titres litigieux ont été émis à l’encontre de deux régisseurs communaux, le dossier ne permet pas d’établir avec certitude l’identité des débiteurs réels des créances</w:t>
      </w:r>
      <w:r w:rsidR="003861E7">
        <w:rPr>
          <w:sz w:val="24"/>
          <w:szCs w:val="24"/>
        </w:rPr>
        <w:t> </w:t>
      </w:r>
      <w:r>
        <w:rPr>
          <w:sz w:val="24"/>
          <w:szCs w:val="24"/>
        </w:rPr>
        <w:t>; qu’ainsi l’anomalie relevée par le réquisitoire susvisé traduit un manquant en monnaie ou en valeurs ; qu’il y a donc lieu de mettre en jeu la responsabilité du comptable à ce motif ;</w:t>
      </w:r>
    </w:p>
    <w:p w:rsidR="00A97654" w:rsidRPr="00326BAA" w:rsidRDefault="00A97654" w:rsidP="00CE3FBB">
      <w:pPr>
        <w:spacing w:after="360"/>
        <w:ind w:firstLine="2835"/>
        <w:jc w:val="both"/>
        <w:rPr>
          <w:b/>
          <w:sz w:val="24"/>
          <w:szCs w:val="24"/>
        </w:rPr>
      </w:pPr>
      <w:r w:rsidRPr="00326BAA">
        <w:rPr>
          <w:b/>
          <w:sz w:val="24"/>
          <w:szCs w:val="24"/>
        </w:rPr>
        <w:t>Sur le point de départ des intérêts de droit</w:t>
      </w:r>
    </w:p>
    <w:p w:rsidR="00A97654" w:rsidRDefault="00A97654" w:rsidP="00CE3FBB">
      <w:pPr>
        <w:spacing w:after="360"/>
        <w:ind w:left="1560" w:firstLine="1275"/>
        <w:jc w:val="both"/>
        <w:rPr>
          <w:sz w:val="24"/>
          <w:szCs w:val="24"/>
        </w:rPr>
      </w:pPr>
      <w:r>
        <w:rPr>
          <w:sz w:val="24"/>
          <w:szCs w:val="24"/>
        </w:rPr>
        <w:t>Considérant que les accusés de réception de l’arrêté de charge provisoire du</w:t>
      </w:r>
      <w:r w:rsidR="003861E7">
        <w:rPr>
          <w:sz w:val="24"/>
          <w:szCs w:val="24"/>
        </w:rPr>
        <w:t xml:space="preserve"> </w:t>
      </w:r>
      <w:r>
        <w:rPr>
          <w:sz w:val="24"/>
          <w:szCs w:val="24"/>
        </w:rPr>
        <w:t>14 avril 2010 et du réquisitoire du 30 juillet 2010 susvisés, ainsi que ceux du jugement entrepris, ont été adirés ; qu’il y a donc lieu de fixer la date de départ des intérêts de droit au 31</w:t>
      </w:r>
      <w:r w:rsidR="00043324">
        <w:rPr>
          <w:sz w:val="24"/>
          <w:szCs w:val="24"/>
        </w:rPr>
        <w:t> </w:t>
      </w:r>
      <w:r>
        <w:rPr>
          <w:sz w:val="24"/>
          <w:szCs w:val="24"/>
        </w:rPr>
        <w:t>mai</w:t>
      </w:r>
      <w:r w:rsidR="00043324">
        <w:rPr>
          <w:sz w:val="24"/>
          <w:szCs w:val="24"/>
        </w:rPr>
        <w:t> </w:t>
      </w:r>
      <w:r>
        <w:rPr>
          <w:sz w:val="24"/>
          <w:szCs w:val="24"/>
        </w:rPr>
        <w:t>2011, date à laquelle M.</w:t>
      </w:r>
      <w:r w:rsidR="00CE3FBB">
        <w:rPr>
          <w:sz w:val="24"/>
          <w:szCs w:val="24"/>
        </w:rPr>
        <w:t> </w:t>
      </w:r>
      <w:r w:rsidR="0029523B">
        <w:rPr>
          <w:sz w:val="24"/>
          <w:szCs w:val="24"/>
        </w:rPr>
        <w:t>X</w:t>
      </w:r>
      <w:r>
        <w:rPr>
          <w:sz w:val="24"/>
          <w:szCs w:val="24"/>
        </w:rPr>
        <w:t xml:space="preserve"> a accusé réception de la requête en appel susvisée ;</w:t>
      </w:r>
    </w:p>
    <w:p w:rsidR="00A97654" w:rsidRPr="00962CBF" w:rsidRDefault="00A97654" w:rsidP="00043324">
      <w:pPr>
        <w:spacing w:after="120"/>
        <w:ind w:firstLine="2835"/>
        <w:jc w:val="both"/>
        <w:rPr>
          <w:sz w:val="24"/>
          <w:szCs w:val="24"/>
        </w:rPr>
      </w:pPr>
      <w:r w:rsidRPr="00962CBF">
        <w:rPr>
          <w:sz w:val="24"/>
          <w:szCs w:val="24"/>
        </w:rPr>
        <w:t>Par ces motifs,</w:t>
      </w:r>
    </w:p>
    <w:p w:rsidR="00A97654" w:rsidRPr="00326BAA" w:rsidRDefault="00A97654" w:rsidP="00043324">
      <w:pPr>
        <w:spacing w:after="120"/>
        <w:ind w:left="1559"/>
        <w:jc w:val="center"/>
        <w:rPr>
          <w:b/>
          <w:sz w:val="24"/>
          <w:szCs w:val="24"/>
        </w:rPr>
      </w:pPr>
      <w:r w:rsidRPr="00326BAA">
        <w:rPr>
          <w:b/>
          <w:sz w:val="24"/>
          <w:szCs w:val="24"/>
        </w:rPr>
        <w:t>D</w:t>
      </w:r>
      <w:r w:rsidR="003861E7" w:rsidRPr="003861E7">
        <w:rPr>
          <w:rFonts w:ascii="Times New Roman Gras" w:hAnsi="Times New Roman Gras"/>
          <w:b/>
          <w:caps/>
          <w:sz w:val="24"/>
          <w:szCs w:val="24"/>
        </w:rPr>
        <w:t>é</w:t>
      </w:r>
      <w:r w:rsidRPr="00326BAA">
        <w:rPr>
          <w:b/>
          <w:sz w:val="24"/>
          <w:szCs w:val="24"/>
        </w:rPr>
        <w:t>CIDE :</w:t>
      </w:r>
    </w:p>
    <w:p w:rsidR="00A97654" w:rsidRPr="00962CBF" w:rsidRDefault="00A97654" w:rsidP="00A97654">
      <w:pPr>
        <w:ind w:firstLine="709"/>
        <w:jc w:val="both"/>
        <w:rPr>
          <w:sz w:val="24"/>
          <w:szCs w:val="24"/>
        </w:rPr>
      </w:pPr>
    </w:p>
    <w:p w:rsidR="00A97654" w:rsidRDefault="00A97654" w:rsidP="00043324">
      <w:pPr>
        <w:spacing w:after="360"/>
        <w:ind w:left="1559" w:firstLine="1276"/>
        <w:jc w:val="both"/>
        <w:rPr>
          <w:sz w:val="24"/>
          <w:szCs w:val="24"/>
        </w:rPr>
      </w:pPr>
      <w:r>
        <w:rPr>
          <w:sz w:val="24"/>
          <w:szCs w:val="24"/>
        </w:rPr>
        <w:t>Article 1</w:t>
      </w:r>
      <w:r w:rsidRPr="008A14FE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. – </w:t>
      </w:r>
      <w:r w:rsidRPr="00962CBF">
        <w:rPr>
          <w:sz w:val="24"/>
          <w:szCs w:val="24"/>
        </w:rPr>
        <w:t xml:space="preserve">Le jugement du 7 avril 2011 est </w:t>
      </w:r>
      <w:r>
        <w:rPr>
          <w:sz w:val="24"/>
          <w:szCs w:val="24"/>
        </w:rPr>
        <w:t>annulé.</w:t>
      </w:r>
    </w:p>
    <w:p w:rsidR="00A97654" w:rsidRDefault="00A97654" w:rsidP="00043324">
      <w:pPr>
        <w:spacing w:after="360"/>
        <w:ind w:left="1559" w:firstLine="1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Article 2. – </w:t>
      </w:r>
      <w:r w:rsidRPr="00962CBF">
        <w:rPr>
          <w:sz w:val="24"/>
          <w:szCs w:val="24"/>
        </w:rPr>
        <w:t>L</w:t>
      </w:r>
      <w:r>
        <w:rPr>
          <w:sz w:val="24"/>
          <w:szCs w:val="24"/>
        </w:rPr>
        <w:t>’affaire est évoquée devant la Cour des comptes.</w:t>
      </w:r>
    </w:p>
    <w:p w:rsidR="00A97654" w:rsidRPr="00962CBF" w:rsidRDefault="00A97654" w:rsidP="00A97654">
      <w:pPr>
        <w:ind w:left="1560" w:firstLine="1275"/>
        <w:jc w:val="both"/>
        <w:rPr>
          <w:sz w:val="24"/>
          <w:szCs w:val="24"/>
        </w:rPr>
      </w:pPr>
      <w:r>
        <w:rPr>
          <w:sz w:val="24"/>
          <w:szCs w:val="24"/>
        </w:rPr>
        <w:t>Article 3. – M.</w:t>
      </w:r>
      <w:r w:rsidR="00043324">
        <w:rPr>
          <w:sz w:val="24"/>
          <w:szCs w:val="24"/>
        </w:rPr>
        <w:t> </w:t>
      </w:r>
      <w:r w:rsidR="0029523B">
        <w:rPr>
          <w:sz w:val="24"/>
          <w:szCs w:val="24"/>
        </w:rPr>
        <w:t>X</w:t>
      </w:r>
      <w:r>
        <w:rPr>
          <w:sz w:val="24"/>
          <w:szCs w:val="24"/>
        </w:rPr>
        <w:t xml:space="preserve"> est constitué, en la personne de ses héritiers, débiteur de la commune de B</w:t>
      </w:r>
      <w:r w:rsidR="00043324">
        <w:rPr>
          <w:sz w:val="24"/>
          <w:szCs w:val="24"/>
        </w:rPr>
        <w:t>rue-</w:t>
      </w:r>
      <w:r>
        <w:rPr>
          <w:sz w:val="24"/>
          <w:szCs w:val="24"/>
        </w:rPr>
        <w:t>A</w:t>
      </w:r>
      <w:r w:rsidR="00043324">
        <w:rPr>
          <w:sz w:val="24"/>
          <w:szCs w:val="24"/>
        </w:rPr>
        <w:t>uriac</w:t>
      </w:r>
      <w:r>
        <w:rPr>
          <w:sz w:val="24"/>
          <w:szCs w:val="24"/>
        </w:rPr>
        <w:t xml:space="preserve"> pour la somme de 1 524,03</w:t>
      </w:r>
      <w:r w:rsidR="00043324">
        <w:rPr>
          <w:sz w:val="24"/>
          <w:szCs w:val="24"/>
        </w:rPr>
        <w:t> </w:t>
      </w:r>
      <w:r>
        <w:rPr>
          <w:sz w:val="24"/>
          <w:szCs w:val="24"/>
        </w:rPr>
        <w:t>€ augmentée des intérêts de droit à compter du 31 mai 2011</w:t>
      </w:r>
      <w:r w:rsidRPr="00962CBF">
        <w:rPr>
          <w:sz w:val="24"/>
          <w:szCs w:val="24"/>
        </w:rPr>
        <w:t>.</w:t>
      </w:r>
    </w:p>
    <w:p w:rsidR="00A97654" w:rsidRPr="00962CBF" w:rsidRDefault="00A97654" w:rsidP="00A97654">
      <w:pPr>
        <w:jc w:val="both"/>
        <w:rPr>
          <w:sz w:val="24"/>
          <w:szCs w:val="24"/>
        </w:rPr>
      </w:pPr>
    </w:p>
    <w:p w:rsidR="00A97654" w:rsidRPr="00962CBF" w:rsidRDefault="00A97654" w:rsidP="00043324">
      <w:pPr>
        <w:ind w:left="1560"/>
        <w:jc w:val="center"/>
        <w:rPr>
          <w:sz w:val="24"/>
          <w:szCs w:val="24"/>
        </w:rPr>
      </w:pPr>
      <w:r w:rsidRPr="00962CBF">
        <w:rPr>
          <w:sz w:val="24"/>
          <w:szCs w:val="24"/>
        </w:rPr>
        <w:t>------------</w:t>
      </w:r>
    </w:p>
    <w:p w:rsidR="00A97654" w:rsidRDefault="00A97654" w:rsidP="00043324">
      <w:pPr>
        <w:ind w:left="1560"/>
        <w:jc w:val="both"/>
        <w:rPr>
          <w:sz w:val="24"/>
          <w:szCs w:val="24"/>
        </w:rPr>
      </w:pPr>
    </w:p>
    <w:p w:rsidR="00A97654" w:rsidRDefault="00A97654" w:rsidP="0046317C">
      <w:pPr>
        <w:spacing w:after="600"/>
        <w:ind w:left="1559" w:firstLine="1276"/>
        <w:jc w:val="both"/>
        <w:rPr>
          <w:sz w:val="24"/>
          <w:szCs w:val="24"/>
        </w:rPr>
      </w:pPr>
      <w:r w:rsidRPr="00962CBF">
        <w:rPr>
          <w:sz w:val="24"/>
          <w:szCs w:val="24"/>
        </w:rPr>
        <w:lastRenderedPageBreak/>
        <w:t>Fait et jugé en la Cour des comptes, quatrième cham</w:t>
      </w:r>
      <w:r w:rsidR="00043324">
        <w:rPr>
          <w:sz w:val="24"/>
          <w:szCs w:val="24"/>
        </w:rPr>
        <w:t>bre, première section. Présents :</w:t>
      </w:r>
      <w:r w:rsidRPr="00962CBF">
        <w:rPr>
          <w:sz w:val="24"/>
          <w:szCs w:val="24"/>
        </w:rPr>
        <w:t xml:space="preserve"> M</w:t>
      </w:r>
      <w:r w:rsidR="00043324">
        <w:rPr>
          <w:sz w:val="24"/>
          <w:szCs w:val="24"/>
        </w:rPr>
        <w:t>M. Bayle, président, Maistre, président de section, Lafaure, Vermeulen, Vachia, M</w:t>
      </w:r>
      <w:r w:rsidR="00043324" w:rsidRPr="003861E7">
        <w:rPr>
          <w:sz w:val="24"/>
          <w:szCs w:val="24"/>
          <w:vertAlign w:val="superscript"/>
        </w:rPr>
        <w:t>me</w:t>
      </w:r>
      <w:r w:rsidR="00043324">
        <w:rPr>
          <w:sz w:val="24"/>
          <w:szCs w:val="24"/>
        </w:rPr>
        <w:t xml:space="preserve"> Gadriot-Renard, </w:t>
      </w:r>
      <w:r w:rsidR="00632A90">
        <w:rPr>
          <w:sz w:val="24"/>
          <w:szCs w:val="24"/>
        </w:rPr>
        <w:t>M</w:t>
      </w:r>
      <w:r w:rsidR="00043324">
        <w:rPr>
          <w:sz w:val="24"/>
          <w:szCs w:val="24"/>
        </w:rPr>
        <w:t>M.</w:t>
      </w:r>
      <w:r w:rsidR="00C841D9">
        <w:rPr>
          <w:sz w:val="24"/>
          <w:szCs w:val="24"/>
        </w:rPr>
        <w:t> </w:t>
      </w:r>
      <w:r w:rsidR="00811A87">
        <w:rPr>
          <w:sz w:val="24"/>
          <w:szCs w:val="24"/>
        </w:rPr>
        <w:t>Rousselot</w:t>
      </w:r>
      <w:r w:rsidR="00632A90">
        <w:rPr>
          <w:sz w:val="24"/>
          <w:szCs w:val="24"/>
        </w:rPr>
        <w:t xml:space="preserve"> et Geoffroy</w:t>
      </w:r>
      <w:r w:rsidR="00043324">
        <w:rPr>
          <w:sz w:val="24"/>
          <w:szCs w:val="24"/>
        </w:rPr>
        <w:t>, conseillers maîtres.</w:t>
      </w:r>
    </w:p>
    <w:p w:rsidR="00A97654" w:rsidRPr="00962CBF" w:rsidRDefault="00A97654" w:rsidP="00043324">
      <w:pPr>
        <w:spacing w:after="360"/>
        <w:ind w:firstLine="2835"/>
        <w:jc w:val="both"/>
        <w:rPr>
          <w:sz w:val="24"/>
          <w:szCs w:val="24"/>
        </w:rPr>
      </w:pPr>
      <w:r w:rsidRPr="00962CBF">
        <w:rPr>
          <w:sz w:val="24"/>
          <w:szCs w:val="24"/>
        </w:rPr>
        <w:t xml:space="preserve">Signé : </w:t>
      </w:r>
      <w:r w:rsidR="00043324">
        <w:rPr>
          <w:sz w:val="24"/>
          <w:szCs w:val="24"/>
        </w:rPr>
        <w:t>Bayle, président et Le Baron, greffier.</w:t>
      </w:r>
    </w:p>
    <w:p w:rsidR="00A97654" w:rsidRPr="00962CBF" w:rsidRDefault="00A97654" w:rsidP="00043324">
      <w:pPr>
        <w:spacing w:after="360"/>
        <w:ind w:left="1560" w:firstLine="1275"/>
        <w:jc w:val="both"/>
        <w:rPr>
          <w:sz w:val="24"/>
          <w:szCs w:val="24"/>
        </w:rPr>
      </w:pPr>
      <w:r w:rsidRPr="00962CBF">
        <w:rPr>
          <w:sz w:val="24"/>
          <w:szCs w:val="24"/>
        </w:rPr>
        <w:t>Collationné, certifié conforme à la minute étant au greffe de la Cour des comptes.</w:t>
      </w:r>
    </w:p>
    <w:p w:rsidR="00A97654" w:rsidRPr="00962CBF" w:rsidRDefault="00A97654" w:rsidP="00043324">
      <w:pPr>
        <w:spacing w:after="360"/>
        <w:ind w:left="1560" w:firstLine="1275"/>
        <w:jc w:val="both"/>
        <w:rPr>
          <w:sz w:val="24"/>
          <w:szCs w:val="24"/>
        </w:rPr>
      </w:pPr>
      <w:r w:rsidRPr="00962CBF">
        <w:rPr>
          <w:sz w:val="24"/>
          <w:szCs w:val="24"/>
        </w:rPr>
        <w:t>En conséquence, la République</w:t>
      </w:r>
      <w:r w:rsidR="000F11C9">
        <w:rPr>
          <w:sz w:val="24"/>
          <w:szCs w:val="24"/>
        </w:rPr>
        <w:t xml:space="preserve"> française</w:t>
      </w:r>
      <w:r w:rsidRPr="00962CBF">
        <w:rPr>
          <w:sz w:val="24"/>
          <w:szCs w:val="24"/>
        </w:rPr>
        <w:t xml:space="preserve"> mande et ordonne à tous huissiers de justice, sur ce requis, de mettre ledit arrêt à exécution, aux procureurs généraux et aux procureurs de la République près les tribunaux de grande instance d’y tenir la main, à tous commandants et officiers de la force publique de prêter main-forte lorsqu’ils en seront légalement requis.</w:t>
      </w:r>
    </w:p>
    <w:p w:rsidR="00A97654" w:rsidRDefault="00A97654" w:rsidP="00043324">
      <w:pPr>
        <w:spacing w:after="360"/>
        <w:ind w:left="1560" w:firstLine="1275"/>
        <w:jc w:val="both"/>
        <w:rPr>
          <w:sz w:val="24"/>
          <w:szCs w:val="24"/>
        </w:rPr>
      </w:pPr>
      <w:r w:rsidRPr="00962CBF">
        <w:rPr>
          <w:sz w:val="24"/>
          <w:szCs w:val="24"/>
        </w:rPr>
        <w:t>Délivré par moi, secrétaire général.</w:t>
      </w:r>
    </w:p>
    <w:p w:rsidR="001421A5" w:rsidRDefault="001421A5" w:rsidP="00043324">
      <w:pPr>
        <w:spacing w:after="360"/>
        <w:ind w:left="1560" w:firstLine="1275"/>
        <w:jc w:val="both"/>
        <w:rPr>
          <w:sz w:val="24"/>
          <w:szCs w:val="24"/>
        </w:rPr>
      </w:pPr>
    </w:p>
    <w:p w:rsidR="00C841D9" w:rsidRPr="00742CE3" w:rsidRDefault="00C841D9" w:rsidP="00C841D9">
      <w:pPr>
        <w:ind w:left="540" w:firstLine="5697"/>
        <w:jc w:val="center"/>
        <w:rPr>
          <w:rFonts w:ascii="Times New Roman Gras" w:hAnsi="Times New Roman Gras"/>
          <w:b/>
          <w:bCs/>
          <w:sz w:val="24"/>
        </w:rPr>
      </w:pPr>
      <w:r w:rsidRPr="00742CE3">
        <w:rPr>
          <w:rFonts w:ascii="Times New Roman Gras" w:hAnsi="Times New Roman Gras"/>
          <w:b/>
          <w:bCs/>
          <w:sz w:val="24"/>
        </w:rPr>
        <w:t>Pour le Secrétaire général</w:t>
      </w:r>
    </w:p>
    <w:p w:rsidR="00C841D9" w:rsidRPr="00742CE3" w:rsidRDefault="00C841D9" w:rsidP="00C841D9">
      <w:pPr>
        <w:ind w:left="540" w:firstLine="5697"/>
        <w:jc w:val="center"/>
        <w:rPr>
          <w:rFonts w:ascii="Times New Roman Gras" w:hAnsi="Times New Roman Gras"/>
          <w:b/>
          <w:bCs/>
          <w:sz w:val="24"/>
        </w:rPr>
      </w:pPr>
      <w:r w:rsidRPr="00742CE3">
        <w:rPr>
          <w:rFonts w:ascii="Times New Roman Gras" w:hAnsi="Times New Roman Gras"/>
          <w:b/>
          <w:bCs/>
          <w:sz w:val="24"/>
        </w:rPr>
        <w:t>et par délégation,</w:t>
      </w:r>
    </w:p>
    <w:p w:rsidR="00C841D9" w:rsidRPr="00742CE3" w:rsidRDefault="00C841D9" w:rsidP="0030051C">
      <w:pPr>
        <w:spacing w:after="1920"/>
        <w:ind w:left="539" w:firstLine="5698"/>
        <w:jc w:val="center"/>
        <w:rPr>
          <w:rFonts w:ascii="Times New Roman Gras" w:hAnsi="Times New Roman Gras"/>
          <w:b/>
          <w:bCs/>
          <w:sz w:val="24"/>
        </w:rPr>
      </w:pPr>
      <w:r>
        <w:rPr>
          <w:rFonts w:ascii="Times New Roman Gras" w:hAnsi="Times New Roman Gras"/>
          <w:b/>
          <w:bCs/>
          <w:sz w:val="24"/>
        </w:rPr>
        <w:t xml:space="preserve">le Chef du Greffe </w:t>
      </w:r>
      <w:r w:rsidRPr="00742CE3">
        <w:rPr>
          <w:rFonts w:ascii="Times New Roman Gras" w:hAnsi="Times New Roman Gras"/>
          <w:b/>
          <w:bCs/>
          <w:sz w:val="24"/>
        </w:rPr>
        <w:t>contentieux</w:t>
      </w:r>
    </w:p>
    <w:p w:rsidR="00C841D9" w:rsidRPr="00742CE3" w:rsidRDefault="00C841D9" w:rsidP="0030051C">
      <w:pPr>
        <w:spacing w:before="120" w:after="360"/>
        <w:ind w:left="540" w:firstLine="6123"/>
        <w:jc w:val="center"/>
        <w:rPr>
          <w:rFonts w:ascii="Times New Roman Gras" w:hAnsi="Times New Roman Gras"/>
          <w:b/>
          <w:bCs/>
          <w:sz w:val="24"/>
        </w:rPr>
      </w:pPr>
      <w:r w:rsidRPr="00742CE3">
        <w:rPr>
          <w:rFonts w:ascii="Times New Roman Gras" w:hAnsi="Times New Roman Gras"/>
          <w:b/>
          <w:bCs/>
          <w:sz w:val="24"/>
        </w:rPr>
        <w:t>Daniel FEREZ</w:t>
      </w:r>
    </w:p>
    <w:sectPr w:rsidR="00C841D9" w:rsidRPr="00742CE3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649" w:rsidRDefault="00664649">
      <w:r>
        <w:separator/>
      </w:r>
    </w:p>
  </w:endnote>
  <w:endnote w:type="continuationSeparator" w:id="0">
    <w:p w:rsidR="00664649" w:rsidRDefault="0066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Gras">
    <w:panose1 w:val="02020803070505020304"/>
    <w:charset w:val="00"/>
    <w:family w:val="roman"/>
    <w:notTrueType/>
    <w:pitch w:val="default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649" w:rsidRDefault="00664649">
      <w:r>
        <w:separator/>
      </w:r>
    </w:p>
  </w:footnote>
  <w:footnote w:type="continuationSeparator" w:id="0">
    <w:p w:rsidR="00664649" w:rsidRDefault="00664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8E" w:rsidRDefault="00F94E8E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4F172E">
      <w:rPr>
        <w:rFonts w:ascii="CG Times (WN)" w:hAnsi="CG Times (WN)"/>
        <w:noProof/>
        <w:sz w:val="24"/>
      </w:rPr>
      <w:t>4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43324"/>
    <w:rsid w:val="000C3483"/>
    <w:rsid w:val="000F11C9"/>
    <w:rsid w:val="001421A5"/>
    <w:rsid w:val="0029523B"/>
    <w:rsid w:val="002A164C"/>
    <w:rsid w:val="002A38F1"/>
    <w:rsid w:val="0030051C"/>
    <w:rsid w:val="003861E7"/>
    <w:rsid w:val="00410689"/>
    <w:rsid w:val="0046317C"/>
    <w:rsid w:val="004B3353"/>
    <w:rsid w:val="004F172E"/>
    <w:rsid w:val="00530700"/>
    <w:rsid w:val="00536A1C"/>
    <w:rsid w:val="00593C36"/>
    <w:rsid w:val="005E3384"/>
    <w:rsid w:val="00632A90"/>
    <w:rsid w:val="00664649"/>
    <w:rsid w:val="006F17CA"/>
    <w:rsid w:val="00707126"/>
    <w:rsid w:val="0071309F"/>
    <w:rsid w:val="007C5A15"/>
    <w:rsid w:val="00811A87"/>
    <w:rsid w:val="008A2C03"/>
    <w:rsid w:val="008B05A5"/>
    <w:rsid w:val="00912BBA"/>
    <w:rsid w:val="00974578"/>
    <w:rsid w:val="009E0057"/>
    <w:rsid w:val="009F7885"/>
    <w:rsid w:val="00A67D2E"/>
    <w:rsid w:val="00A82460"/>
    <w:rsid w:val="00A835E8"/>
    <w:rsid w:val="00A97654"/>
    <w:rsid w:val="00B04D82"/>
    <w:rsid w:val="00B32CBD"/>
    <w:rsid w:val="00B33935"/>
    <w:rsid w:val="00BA55DA"/>
    <w:rsid w:val="00BB4552"/>
    <w:rsid w:val="00C84020"/>
    <w:rsid w:val="00C841D9"/>
    <w:rsid w:val="00CE3FBB"/>
    <w:rsid w:val="00D25388"/>
    <w:rsid w:val="00D63F55"/>
    <w:rsid w:val="00E77FEF"/>
    <w:rsid w:val="00E823A2"/>
    <w:rsid w:val="00E845B1"/>
    <w:rsid w:val="00E90719"/>
    <w:rsid w:val="00EC2B55"/>
    <w:rsid w:val="00F1607C"/>
    <w:rsid w:val="00F3154A"/>
    <w:rsid w:val="00F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765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character" w:customStyle="1" w:styleId="Titre4Car">
    <w:name w:val="Titre 4 Car"/>
    <w:link w:val="Titre4"/>
    <w:uiPriority w:val="9"/>
    <w:semiHidden/>
    <w:rsid w:val="00A9765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1pageChambre">
    <w:name w:val="1°page Chambre"/>
    <w:basedOn w:val="Normal"/>
    <w:rsid w:val="00A97654"/>
    <w:pPr>
      <w:keepNext/>
      <w:jc w:val="center"/>
      <w:outlineLvl w:val="5"/>
    </w:pPr>
    <w:rPr>
      <w:b/>
      <w:bCs/>
      <w:smallCaps/>
      <w:spacing w:val="6"/>
      <w:sz w:val="24"/>
      <w:szCs w:val="24"/>
    </w:rPr>
  </w:style>
  <w:style w:type="paragraph" w:customStyle="1" w:styleId="1pageCour">
    <w:name w:val="1°page Cour"/>
    <w:basedOn w:val="Normal"/>
    <w:rsid w:val="00A97654"/>
    <w:pPr>
      <w:jc w:val="center"/>
    </w:pPr>
    <w:rPr>
      <w:b/>
      <w:bCs/>
      <w:smallCaps/>
      <w:sz w:val="28"/>
      <w:szCs w:val="28"/>
    </w:rPr>
  </w:style>
  <w:style w:type="table" w:styleId="Grilledutableau">
    <w:name w:val="Table Grid"/>
    <w:basedOn w:val="TableauNormal"/>
    <w:uiPriority w:val="59"/>
    <w:rsid w:val="00A9765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0">
    <w:name w:val="ps"/>
    <w:basedOn w:val="Normal"/>
    <w:rsid w:val="0046317C"/>
    <w:pPr>
      <w:spacing w:before="100" w:beforeAutospacing="1" w:after="100" w:afterAutospacing="1"/>
    </w:pPr>
    <w:rPr>
      <w:sz w:val="24"/>
      <w:szCs w:val="24"/>
    </w:rPr>
  </w:style>
  <w:style w:type="character" w:customStyle="1" w:styleId="P0Car">
    <w:name w:val="P0 Car"/>
    <w:link w:val="P0"/>
    <w:rsid w:val="0046317C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45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B4552"/>
    <w:rPr>
      <w:rFonts w:ascii="Tahoma" w:hAnsi="Tahoma" w:cs="Tahoma"/>
      <w:sz w:val="16"/>
      <w:szCs w:val="16"/>
    </w:rPr>
  </w:style>
  <w:style w:type="character" w:styleId="Marquedecommentaire">
    <w:name w:val="annotation reference"/>
    <w:uiPriority w:val="99"/>
    <w:semiHidden/>
    <w:unhideWhenUsed/>
    <w:rsid w:val="0041068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0689"/>
  </w:style>
  <w:style w:type="character" w:customStyle="1" w:styleId="CommentaireCar">
    <w:name w:val="Commentaire Car"/>
    <w:basedOn w:val="Policepardfaut"/>
    <w:link w:val="Commentaire"/>
    <w:uiPriority w:val="99"/>
    <w:semiHidden/>
    <w:rsid w:val="00410689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0689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410689"/>
    <w:rPr>
      <w:b/>
      <w:bCs/>
    </w:rPr>
  </w:style>
  <w:style w:type="paragraph" w:styleId="Rvision">
    <w:name w:val="Revision"/>
    <w:hidden/>
    <w:uiPriority w:val="99"/>
    <w:semiHidden/>
    <w:rsid w:val="004106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8</TotalTime>
  <Pages>5</Pages>
  <Words>1379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Jean-Pierre Bonin</cp:lastModifiedBy>
  <cp:revision>4</cp:revision>
  <cp:lastPrinted>2013-10-22T07:33:00Z</cp:lastPrinted>
  <dcterms:created xsi:type="dcterms:W3CDTF">2013-10-29T16:38:00Z</dcterms:created>
  <dcterms:modified xsi:type="dcterms:W3CDTF">2013-10-31T17:45:00Z</dcterms:modified>
</cp:coreProperties>
</file>