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45" w:rsidRPr="00EB6713" w:rsidRDefault="00D06DB8" w:rsidP="005C3F45">
      <w:pPr>
        <w:jc w:val="both"/>
        <w:rPr>
          <w:b/>
          <w:caps/>
          <w:sz w:val="24"/>
        </w:rPr>
      </w:pPr>
      <w:bookmarkStart w:id="0" w:name="_GoBack"/>
      <w:bookmarkEnd w:id="0"/>
      <w:r>
        <w:rPr>
          <w:b/>
          <w:caps/>
          <w:sz w:val="24"/>
        </w:rPr>
        <w:t xml:space="preserve"> </w:t>
      </w:r>
      <w:r w:rsidR="005C3F45" w:rsidRPr="00EB6713">
        <w:rPr>
          <w:b/>
          <w:caps/>
          <w:sz w:val="24"/>
        </w:rPr>
        <w:t>COUR DES COMPTES</w:t>
      </w:r>
    </w:p>
    <w:p w:rsidR="005C3F45" w:rsidRPr="00EB6713" w:rsidRDefault="005C3F45" w:rsidP="005C3F45">
      <w:pPr>
        <w:jc w:val="both"/>
        <w:rPr>
          <w:b/>
          <w:caps/>
          <w:sz w:val="24"/>
        </w:rPr>
      </w:pPr>
      <w:r w:rsidRPr="00EB6713">
        <w:rPr>
          <w:b/>
          <w:caps/>
          <w:sz w:val="24"/>
        </w:rPr>
        <w:t xml:space="preserve">               --------</w:t>
      </w:r>
    </w:p>
    <w:p w:rsidR="005C3F45" w:rsidRPr="00EB6713" w:rsidRDefault="005C3F45" w:rsidP="005C3F45">
      <w:pPr>
        <w:jc w:val="both"/>
        <w:rPr>
          <w:b/>
          <w:caps/>
          <w:sz w:val="24"/>
        </w:rPr>
      </w:pPr>
      <w:r w:rsidRPr="00EB6713">
        <w:rPr>
          <w:b/>
          <w:caps/>
          <w:sz w:val="24"/>
        </w:rPr>
        <w:t>QUATRIEME CHAMBRE</w:t>
      </w:r>
    </w:p>
    <w:p w:rsidR="005C3F45" w:rsidRPr="00EB6713" w:rsidRDefault="005C3F45" w:rsidP="005C3F45">
      <w:pPr>
        <w:jc w:val="both"/>
        <w:rPr>
          <w:b/>
          <w:caps/>
          <w:sz w:val="24"/>
        </w:rPr>
      </w:pPr>
      <w:r w:rsidRPr="00EB6713">
        <w:rPr>
          <w:b/>
          <w:caps/>
          <w:sz w:val="24"/>
        </w:rPr>
        <w:t xml:space="preserve">               --------</w:t>
      </w:r>
    </w:p>
    <w:p w:rsidR="005C3F45" w:rsidRPr="00EB6713" w:rsidRDefault="00D06DB8" w:rsidP="005C3F45">
      <w:pPr>
        <w:jc w:val="both"/>
        <w:rPr>
          <w:b/>
          <w:caps/>
          <w:sz w:val="24"/>
        </w:rPr>
      </w:pPr>
      <w:r>
        <w:rPr>
          <w:b/>
          <w:caps/>
          <w:sz w:val="24"/>
        </w:rPr>
        <w:t xml:space="preserve"> </w:t>
      </w:r>
      <w:r w:rsidR="005C3F45" w:rsidRPr="00EB6713">
        <w:rPr>
          <w:b/>
          <w:caps/>
          <w:sz w:val="24"/>
        </w:rPr>
        <w:t>PREMIERE SECTION</w:t>
      </w:r>
    </w:p>
    <w:p w:rsidR="005C3F45" w:rsidRDefault="00D06DB8" w:rsidP="005A4BCD">
      <w:pPr>
        <w:spacing w:after="120"/>
        <w:jc w:val="both"/>
        <w:rPr>
          <w:sz w:val="24"/>
        </w:rPr>
      </w:pPr>
      <w:r>
        <w:rPr>
          <w:sz w:val="24"/>
        </w:rPr>
        <w:t xml:space="preserve">               --------</w:t>
      </w:r>
    </w:p>
    <w:p w:rsidR="005C3F45" w:rsidRPr="00D06DB8" w:rsidRDefault="00D06DB8" w:rsidP="005C3F45">
      <w:pPr>
        <w:pStyle w:val="Titre1"/>
        <w:jc w:val="both"/>
        <w:rPr>
          <w:b/>
          <w:i/>
          <w:sz w:val="22"/>
          <w:szCs w:val="22"/>
        </w:rPr>
      </w:pPr>
      <w:r>
        <w:rPr>
          <w:b/>
          <w:i/>
        </w:rPr>
        <w:t xml:space="preserve">         </w:t>
      </w:r>
      <w:r w:rsidR="005C3F45" w:rsidRPr="00D06DB8">
        <w:rPr>
          <w:b/>
          <w:i/>
          <w:sz w:val="22"/>
          <w:szCs w:val="22"/>
        </w:rPr>
        <w:t>Arrêt n°</w:t>
      </w:r>
      <w:r w:rsidRPr="00D06DB8">
        <w:rPr>
          <w:b/>
          <w:i/>
          <w:sz w:val="22"/>
          <w:szCs w:val="22"/>
        </w:rPr>
        <w:t xml:space="preserve"> 67940</w:t>
      </w:r>
    </w:p>
    <w:p w:rsidR="005C3F45" w:rsidRPr="005F641F" w:rsidRDefault="005C3F45" w:rsidP="005C3F45"/>
    <w:p w:rsidR="005C3F45" w:rsidRPr="00042DE1" w:rsidRDefault="005C3F45" w:rsidP="005C3F45">
      <w:pPr>
        <w:ind w:left="4536"/>
        <w:jc w:val="both"/>
        <w:rPr>
          <w:caps/>
          <w:sz w:val="24"/>
          <w:szCs w:val="24"/>
        </w:rPr>
      </w:pPr>
      <w:r>
        <w:rPr>
          <w:caps/>
          <w:sz w:val="24"/>
          <w:szCs w:val="24"/>
        </w:rPr>
        <w:t>Institut pour le développement des compétences en Nouvelle-Calédonie</w:t>
      </w:r>
      <w:r w:rsidR="00D06DB8">
        <w:rPr>
          <w:caps/>
          <w:sz w:val="24"/>
          <w:szCs w:val="24"/>
        </w:rPr>
        <w:t xml:space="preserve"> (IDC-NC)</w:t>
      </w:r>
    </w:p>
    <w:p w:rsidR="005C3F45" w:rsidRDefault="005C3F45" w:rsidP="005C3F45">
      <w:pPr>
        <w:ind w:left="4536"/>
        <w:jc w:val="both"/>
        <w:rPr>
          <w:sz w:val="24"/>
        </w:rPr>
      </w:pPr>
    </w:p>
    <w:p w:rsidR="005C3F45" w:rsidRDefault="005C3F45" w:rsidP="005C3F45">
      <w:pPr>
        <w:pStyle w:val="Titre2"/>
        <w:ind w:left="4536"/>
        <w:jc w:val="both"/>
      </w:pPr>
      <w:r>
        <w:t>Appel d’un jugement de la chambre territoriale des comptes de Nouvelle-Calédonie</w:t>
      </w:r>
    </w:p>
    <w:p w:rsidR="005C3F45" w:rsidRDefault="005C3F45" w:rsidP="005C3F45">
      <w:pPr>
        <w:ind w:left="4536"/>
        <w:jc w:val="both"/>
        <w:rPr>
          <w:sz w:val="24"/>
        </w:rPr>
      </w:pPr>
    </w:p>
    <w:p w:rsidR="005C3F45" w:rsidRDefault="005C3F45" w:rsidP="005C3F45">
      <w:pPr>
        <w:pStyle w:val="Titre4"/>
        <w:ind w:left="4536"/>
      </w:pPr>
      <w:r>
        <w:t>Rapport n° 2013-559-0</w:t>
      </w:r>
    </w:p>
    <w:p w:rsidR="005C3F45" w:rsidRDefault="005C3F45" w:rsidP="005C3F45">
      <w:pPr>
        <w:ind w:left="4536"/>
        <w:jc w:val="both"/>
        <w:rPr>
          <w:sz w:val="24"/>
        </w:rPr>
      </w:pPr>
    </w:p>
    <w:p w:rsidR="00D06DB8" w:rsidRDefault="005C3F45" w:rsidP="005C3F45">
      <w:pPr>
        <w:ind w:left="4536"/>
        <w:jc w:val="both"/>
        <w:rPr>
          <w:sz w:val="24"/>
        </w:rPr>
      </w:pPr>
      <w:r>
        <w:rPr>
          <w:sz w:val="24"/>
        </w:rPr>
        <w:t xml:space="preserve">Audience publique </w:t>
      </w:r>
      <w:r w:rsidR="00D06DB8">
        <w:rPr>
          <w:sz w:val="24"/>
        </w:rPr>
        <w:t xml:space="preserve">et délibéré </w:t>
      </w:r>
    </w:p>
    <w:p w:rsidR="005C3F45" w:rsidRDefault="005C3F45" w:rsidP="005C3F45">
      <w:pPr>
        <w:ind w:left="4536"/>
        <w:jc w:val="both"/>
        <w:rPr>
          <w:sz w:val="24"/>
        </w:rPr>
      </w:pPr>
      <w:proofErr w:type="gramStart"/>
      <w:r>
        <w:rPr>
          <w:sz w:val="24"/>
        </w:rPr>
        <w:t>du</w:t>
      </w:r>
      <w:proofErr w:type="gramEnd"/>
      <w:r>
        <w:rPr>
          <w:sz w:val="24"/>
        </w:rPr>
        <w:t xml:space="preserve"> 12 septembre 2013</w:t>
      </w:r>
    </w:p>
    <w:p w:rsidR="005C3F45" w:rsidRDefault="005C3F45" w:rsidP="005C3F45">
      <w:pPr>
        <w:ind w:left="4536"/>
        <w:jc w:val="both"/>
        <w:rPr>
          <w:sz w:val="24"/>
        </w:rPr>
      </w:pPr>
    </w:p>
    <w:p w:rsidR="005C3F45" w:rsidRDefault="005C3F45" w:rsidP="005C3F45">
      <w:pPr>
        <w:ind w:left="4536"/>
        <w:jc w:val="both"/>
        <w:rPr>
          <w:sz w:val="24"/>
        </w:rPr>
      </w:pPr>
      <w:r>
        <w:rPr>
          <w:sz w:val="24"/>
        </w:rPr>
        <w:t xml:space="preserve">Lecture publique du </w:t>
      </w:r>
      <w:r w:rsidR="00D06DB8">
        <w:rPr>
          <w:sz w:val="24"/>
        </w:rPr>
        <w:t>24 octobre 2013</w:t>
      </w:r>
    </w:p>
    <w:p w:rsidR="005C3F45" w:rsidRDefault="005C3F45" w:rsidP="005C3F45">
      <w:pPr>
        <w:jc w:val="both"/>
        <w:rPr>
          <w:sz w:val="24"/>
        </w:rPr>
      </w:pPr>
    </w:p>
    <w:p w:rsidR="00D06DB8" w:rsidRDefault="00D06DB8" w:rsidP="005C3F45">
      <w:pPr>
        <w:jc w:val="both"/>
        <w:rPr>
          <w:color w:val="000000"/>
          <w:sz w:val="24"/>
        </w:rPr>
      </w:pPr>
    </w:p>
    <w:p w:rsidR="00386E63" w:rsidRPr="009206BF" w:rsidRDefault="00386E63" w:rsidP="005C3F45">
      <w:pPr>
        <w:jc w:val="both"/>
        <w:rPr>
          <w:color w:val="000000"/>
          <w:sz w:val="24"/>
        </w:rPr>
      </w:pPr>
    </w:p>
    <w:p w:rsidR="006066DA" w:rsidRDefault="006066DA" w:rsidP="005C3F45">
      <w:pPr>
        <w:pStyle w:val="PS"/>
        <w:ind w:left="2268" w:firstLine="567"/>
        <w:jc w:val="left"/>
        <w:rPr>
          <w:rFonts w:ascii="Times New Roman" w:hAnsi="Times New Roman"/>
          <w:szCs w:val="24"/>
        </w:rPr>
      </w:pPr>
      <w:r>
        <w:rPr>
          <w:rFonts w:ascii="Times New Roman" w:hAnsi="Times New Roman"/>
          <w:szCs w:val="24"/>
        </w:rPr>
        <w:t>LA COUR DES COMPTES a rendu l’arrêt suivant :</w:t>
      </w:r>
    </w:p>
    <w:p w:rsidR="005C3F45" w:rsidRPr="00D06DB8" w:rsidRDefault="005C3F45" w:rsidP="005C3F45">
      <w:pPr>
        <w:pStyle w:val="PS"/>
        <w:ind w:left="2268" w:firstLine="567"/>
        <w:jc w:val="left"/>
        <w:rPr>
          <w:rFonts w:ascii="Times New Roman" w:hAnsi="Times New Roman"/>
          <w:szCs w:val="24"/>
        </w:rPr>
      </w:pPr>
      <w:r w:rsidRPr="00D06DB8">
        <w:rPr>
          <w:rFonts w:ascii="Times New Roman" w:hAnsi="Times New Roman"/>
          <w:szCs w:val="24"/>
        </w:rPr>
        <w:t>L</w:t>
      </w:r>
      <w:r w:rsidR="00D06DB8" w:rsidRPr="00D06DB8">
        <w:rPr>
          <w:rFonts w:ascii="Times New Roman" w:hAnsi="Times New Roman"/>
          <w:szCs w:val="24"/>
        </w:rPr>
        <w:t>A</w:t>
      </w:r>
      <w:r w:rsidRPr="00D06DB8">
        <w:rPr>
          <w:rFonts w:ascii="Times New Roman" w:hAnsi="Times New Roman"/>
          <w:szCs w:val="24"/>
        </w:rPr>
        <w:t xml:space="preserve"> COUR,</w:t>
      </w:r>
    </w:p>
    <w:p w:rsidR="005C3F45" w:rsidRPr="00FB7BEE" w:rsidRDefault="005C3F45" w:rsidP="005C3F45">
      <w:pPr>
        <w:pStyle w:val="PS"/>
        <w:spacing w:after="240"/>
        <w:rPr>
          <w:rFonts w:ascii="Times New Roman" w:hAnsi="Times New Roman"/>
        </w:rPr>
      </w:pPr>
      <w:r w:rsidRPr="00D06DB8">
        <w:rPr>
          <w:rFonts w:ascii="Times New Roman" w:hAnsi="Times New Roman"/>
        </w:rPr>
        <w:t>Vu la requête, enregistrée le 14 février 2013 au greffe de la chambre territoriale des comptes (CTC) de Nouvelle-Calédonie, par laquelle M.</w:t>
      </w:r>
      <w:r w:rsidR="00D06DB8">
        <w:rPr>
          <w:rFonts w:ascii="Times New Roman" w:hAnsi="Times New Roman"/>
        </w:rPr>
        <w:t> </w:t>
      </w:r>
      <w:r w:rsidR="0089218F">
        <w:rPr>
          <w:rFonts w:ascii="Times New Roman" w:hAnsi="Times New Roman"/>
        </w:rPr>
        <w:t>X</w:t>
      </w:r>
      <w:r w:rsidRPr="00D06DB8">
        <w:rPr>
          <w:rFonts w:ascii="Times New Roman" w:hAnsi="Times New Roman"/>
        </w:rPr>
        <w:t>, comptable de l’I</w:t>
      </w:r>
      <w:r w:rsidR="00953F33">
        <w:rPr>
          <w:rFonts w:ascii="Times New Roman" w:hAnsi="Times New Roman"/>
        </w:rPr>
        <w:t>NSTITUT POUR LE</w:t>
      </w:r>
      <w:r w:rsidRPr="00D06DB8">
        <w:rPr>
          <w:rFonts w:ascii="Times New Roman" w:hAnsi="Times New Roman"/>
        </w:rPr>
        <w:t xml:space="preserve"> </w:t>
      </w:r>
      <w:r w:rsidRPr="00D06DB8">
        <w:rPr>
          <w:rFonts w:ascii="Times New Roman" w:hAnsi="Times New Roman"/>
          <w:caps/>
        </w:rPr>
        <w:t>développement des compétences en Nouvelle-Calédonie</w:t>
      </w:r>
      <w:r w:rsidRPr="00D06DB8">
        <w:rPr>
          <w:rFonts w:ascii="Times New Roman" w:hAnsi="Times New Roman"/>
        </w:rPr>
        <w:t xml:space="preserve"> (IDC-NC) pour les exercices 2006 à 2010, a élevé appel du jugement n°</w:t>
      </w:r>
      <w:r w:rsidR="00D06DB8">
        <w:rPr>
          <w:rFonts w:ascii="Times New Roman" w:hAnsi="Times New Roman"/>
        </w:rPr>
        <w:t> </w:t>
      </w:r>
      <w:r w:rsidRPr="00D06DB8">
        <w:rPr>
          <w:rFonts w:ascii="Times New Roman" w:hAnsi="Times New Roman"/>
        </w:rPr>
        <w:t>12-003 du 3</w:t>
      </w:r>
      <w:r w:rsidR="0093348E">
        <w:rPr>
          <w:rFonts w:ascii="Times New Roman" w:hAnsi="Times New Roman"/>
        </w:rPr>
        <w:t xml:space="preserve"> </w:t>
      </w:r>
      <w:r w:rsidRPr="00D06DB8">
        <w:rPr>
          <w:rFonts w:ascii="Times New Roman" w:hAnsi="Times New Roman"/>
        </w:rPr>
        <w:t>décembre 2012 par lequel ladite CTC l’a constitué débiteur de l’Institut précité de la somme de 102 770</w:t>
      </w:r>
      <w:r w:rsidR="0093348E">
        <w:rPr>
          <w:rFonts w:ascii="Times New Roman" w:hAnsi="Times New Roman"/>
        </w:rPr>
        <w:t> </w:t>
      </w:r>
      <w:r w:rsidRPr="00D06DB8">
        <w:rPr>
          <w:rFonts w:ascii="Times New Roman" w:hAnsi="Times New Roman"/>
        </w:rPr>
        <w:t>326</w:t>
      </w:r>
      <w:r w:rsidR="0093348E">
        <w:rPr>
          <w:rFonts w:ascii="Times New Roman" w:hAnsi="Times New Roman"/>
        </w:rPr>
        <w:t> </w:t>
      </w:r>
      <w:r w:rsidRPr="00D06DB8">
        <w:rPr>
          <w:rFonts w:ascii="Times New Roman" w:hAnsi="Times New Roman"/>
        </w:rPr>
        <w:t>F</w:t>
      </w:r>
      <w:r w:rsidR="00321164">
        <w:rPr>
          <w:rFonts w:ascii="Times New Roman" w:hAnsi="Times New Roman"/>
        </w:rPr>
        <w:t> </w:t>
      </w:r>
      <w:r w:rsidRPr="00D06DB8">
        <w:rPr>
          <w:rFonts w:ascii="Times New Roman" w:hAnsi="Times New Roman"/>
        </w:rPr>
        <w:t>CFP</w:t>
      </w:r>
      <w:r w:rsidRPr="00FB7BEE">
        <w:rPr>
          <w:rFonts w:ascii="Times New Roman" w:hAnsi="Times New Roman"/>
          <w:color w:val="000000"/>
        </w:rPr>
        <w:t xml:space="preserve"> </w:t>
      </w:r>
      <w:r w:rsidRPr="00BC50C5">
        <w:rPr>
          <w:rFonts w:ascii="Times New Roman" w:hAnsi="Times New Roman"/>
        </w:rPr>
        <w:t>(</w:t>
      </w:r>
      <w:r w:rsidRPr="00FB7BEE">
        <w:rPr>
          <w:rFonts w:ascii="Times New Roman" w:hAnsi="Times New Roman"/>
        </w:rPr>
        <w:t>861 215,35 €) augmentée des intérêts de droit calculés à compter du 7 juin 2012 ;</w:t>
      </w:r>
    </w:p>
    <w:p w:rsidR="005C3F45" w:rsidRPr="00D06DB8" w:rsidRDefault="005C3F45" w:rsidP="005C3F45">
      <w:pPr>
        <w:pStyle w:val="PS"/>
        <w:spacing w:after="240"/>
        <w:rPr>
          <w:rFonts w:ascii="Times New Roman" w:hAnsi="Times New Roman"/>
        </w:rPr>
      </w:pPr>
      <w:r w:rsidRPr="00D06DB8">
        <w:rPr>
          <w:rFonts w:ascii="Times New Roman" w:hAnsi="Times New Roman"/>
          <w:szCs w:val="24"/>
        </w:rPr>
        <w:t>Vu le réquisitoire du Procureur général près la Cour des comptes n°</w:t>
      </w:r>
      <w:r w:rsidR="00D06DB8">
        <w:rPr>
          <w:rFonts w:ascii="Times New Roman" w:hAnsi="Times New Roman"/>
          <w:szCs w:val="24"/>
        </w:rPr>
        <w:t> </w:t>
      </w:r>
      <w:r w:rsidRPr="00D06DB8">
        <w:rPr>
          <w:rFonts w:ascii="Times New Roman" w:hAnsi="Times New Roman"/>
        </w:rPr>
        <w:t xml:space="preserve">2013-38 du 18 juin 2013 </w:t>
      </w:r>
      <w:r w:rsidRPr="00D06DB8">
        <w:rPr>
          <w:rFonts w:ascii="Times New Roman" w:hAnsi="Times New Roman"/>
          <w:szCs w:val="24"/>
        </w:rPr>
        <w:t>transmettant à la Cour la requête précitée ;</w:t>
      </w:r>
    </w:p>
    <w:p w:rsidR="005C3F45" w:rsidRPr="00D06DB8" w:rsidRDefault="005C3F45" w:rsidP="005C3F45">
      <w:pPr>
        <w:pStyle w:val="PS"/>
        <w:spacing w:after="240"/>
        <w:rPr>
          <w:rFonts w:ascii="Times New Roman" w:hAnsi="Times New Roman"/>
        </w:rPr>
      </w:pPr>
      <w:r w:rsidRPr="00D06DB8">
        <w:rPr>
          <w:rFonts w:ascii="Times New Roman" w:hAnsi="Times New Roman"/>
        </w:rPr>
        <w:t>Vu les pièces de la procédure suivie en première instance, en particulier</w:t>
      </w:r>
      <w:r w:rsidR="00321164">
        <w:rPr>
          <w:rFonts w:ascii="Times New Roman" w:hAnsi="Times New Roman"/>
        </w:rPr>
        <w:t xml:space="preserve"> </w:t>
      </w:r>
      <w:r w:rsidRPr="00D06DB8">
        <w:rPr>
          <w:rFonts w:ascii="Times New Roman" w:hAnsi="Times New Roman"/>
        </w:rPr>
        <w:t>le réquisitoire</w:t>
      </w:r>
      <w:r w:rsidRPr="00FB7BEE">
        <w:rPr>
          <w:rFonts w:ascii="Times New Roman" w:hAnsi="Times New Roman"/>
          <w:color w:val="000000"/>
        </w:rPr>
        <w:t xml:space="preserve"> </w:t>
      </w:r>
      <w:r w:rsidRPr="00FB7BEE">
        <w:rPr>
          <w:rFonts w:ascii="Times New Roman" w:hAnsi="Times New Roman"/>
        </w:rPr>
        <w:t>n°</w:t>
      </w:r>
      <w:r w:rsidR="00D06DB8">
        <w:rPr>
          <w:rFonts w:ascii="Times New Roman" w:hAnsi="Times New Roman"/>
        </w:rPr>
        <w:t> </w:t>
      </w:r>
      <w:r w:rsidRPr="00FB7BEE">
        <w:rPr>
          <w:rFonts w:ascii="Times New Roman" w:hAnsi="Times New Roman"/>
        </w:rPr>
        <w:t xml:space="preserve">2012-004-NC du 27 avril 2012 par lequel </w:t>
      </w:r>
      <w:r w:rsidRPr="00FB7BEE">
        <w:rPr>
          <w:rStyle w:val="CorpsdetexteCarCar"/>
          <w:rFonts w:ascii="Times New Roman" w:hAnsi="Times New Roman"/>
        </w:rPr>
        <w:t>le ministère public a saisi la CTC à fin d’instruction de présomptions de charges concernant notamment la gestion de M. </w:t>
      </w:r>
      <w:r w:rsidR="0089218F">
        <w:rPr>
          <w:rFonts w:ascii="Times New Roman" w:hAnsi="Times New Roman"/>
        </w:rPr>
        <w:t>X</w:t>
      </w:r>
      <w:r w:rsidRPr="00D06DB8">
        <w:rPr>
          <w:rStyle w:val="CorpsdetexteCarCar"/>
          <w:rFonts w:ascii="Times New Roman" w:hAnsi="Times New Roman"/>
        </w:rPr>
        <w:t> ;</w:t>
      </w:r>
    </w:p>
    <w:p w:rsidR="005C3F45" w:rsidRDefault="005C3F45" w:rsidP="005C3F45">
      <w:pPr>
        <w:pStyle w:val="PS"/>
        <w:spacing w:after="240"/>
        <w:rPr>
          <w:rFonts w:ascii="Times New Roman" w:hAnsi="Times New Roman"/>
        </w:rPr>
      </w:pPr>
      <w:r w:rsidRPr="00D06DB8">
        <w:rPr>
          <w:rFonts w:ascii="Times New Roman" w:hAnsi="Times New Roman"/>
        </w:rPr>
        <w:t>Vu le code des juridictions financières ;</w:t>
      </w:r>
    </w:p>
    <w:p w:rsidR="005C3F45" w:rsidRPr="00D06DB8" w:rsidRDefault="005C3F45" w:rsidP="005C3F45">
      <w:pPr>
        <w:pStyle w:val="PS"/>
        <w:spacing w:after="240"/>
        <w:rPr>
          <w:rFonts w:ascii="Times New Roman" w:hAnsi="Times New Roman"/>
        </w:rPr>
      </w:pPr>
      <w:r w:rsidRPr="00D06DB8">
        <w:rPr>
          <w:rFonts w:ascii="Times New Roman" w:hAnsi="Times New Roman"/>
        </w:rPr>
        <w:t xml:space="preserve">Vu l’article 60 de la loi de finances n° 63-156 du 23 février 1963 </w:t>
      </w:r>
      <w:r w:rsidRPr="00D06DB8">
        <w:rPr>
          <w:rFonts w:ascii="Times New Roman" w:hAnsi="Times New Roman"/>
          <w:szCs w:val="24"/>
        </w:rPr>
        <w:t>modifiée</w:t>
      </w:r>
      <w:r w:rsidRPr="00D06DB8">
        <w:rPr>
          <w:rFonts w:ascii="Times New Roman" w:hAnsi="Times New Roman"/>
        </w:rPr>
        <w:t> ;</w:t>
      </w:r>
    </w:p>
    <w:p w:rsidR="005C3F45" w:rsidRPr="00D06DB8" w:rsidRDefault="005C3F45" w:rsidP="005C3F45">
      <w:pPr>
        <w:pStyle w:val="PS"/>
        <w:spacing w:after="240"/>
      </w:pPr>
      <w:r w:rsidRPr="00D06DB8">
        <w:rPr>
          <w:rFonts w:ascii="Times New Roman" w:hAnsi="Times New Roman"/>
        </w:rPr>
        <w:lastRenderedPageBreak/>
        <w:t>Vu le décret n°</w:t>
      </w:r>
      <w:r w:rsidR="00D06DB8">
        <w:rPr>
          <w:rFonts w:ascii="Times New Roman" w:hAnsi="Times New Roman"/>
        </w:rPr>
        <w:t> </w:t>
      </w:r>
      <w:r w:rsidRPr="00D06DB8">
        <w:rPr>
          <w:rFonts w:ascii="Times New Roman" w:hAnsi="Times New Roman"/>
        </w:rPr>
        <w:t>62-1587 du 29 décembre 1962 modifié portant règlement général sur la comptabilité publique, en vigueur au moment des</w:t>
      </w:r>
      <w:r w:rsidR="00321164">
        <w:rPr>
          <w:rFonts w:ascii="Times New Roman" w:hAnsi="Times New Roman"/>
        </w:rPr>
        <w:t xml:space="preserve"> </w:t>
      </w:r>
      <w:r w:rsidRPr="00D06DB8">
        <w:rPr>
          <w:rFonts w:ascii="Times New Roman" w:hAnsi="Times New Roman"/>
        </w:rPr>
        <w:t xml:space="preserve">faits ; </w:t>
      </w:r>
    </w:p>
    <w:p w:rsidR="005C3F45" w:rsidRDefault="005C3F45" w:rsidP="005C3F45">
      <w:pPr>
        <w:pStyle w:val="PS"/>
        <w:tabs>
          <w:tab w:val="left" w:pos="1701"/>
        </w:tabs>
        <w:spacing w:after="240"/>
        <w:rPr>
          <w:rFonts w:ascii="Times New Roman" w:hAnsi="Times New Roman"/>
        </w:rPr>
      </w:pPr>
      <w:r w:rsidRPr="00183EFC">
        <w:rPr>
          <w:rFonts w:ascii="Times New Roman" w:hAnsi="Times New Roman"/>
          <w:szCs w:val="24"/>
        </w:rPr>
        <w:t>Vu le décret n°</w:t>
      </w:r>
      <w:r w:rsidR="005965DA">
        <w:rPr>
          <w:rFonts w:ascii="Times New Roman" w:hAnsi="Times New Roman"/>
          <w:szCs w:val="24"/>
        </w:rPr>
        <w:t> </w:t>
      </w:r>
      <w:r w:rsidRPr="00183EFC">
        <w:rPr>
          <w:rFonts w:ascii="Times New Roman" w:hAnsi="Times New Roman"/>
          <w:szCs w:val="24"/>
        </w:rPr>
        <w:t xml:space="preserve">92-163 du 20 février </w:t>
      </w:r>
      <w:r w:rsidRPr="00D06DB8">
        <w:rPr>
          <w:rFonts w:ascii="Times New Roman" w:hAnsi="Times New Roman"/>
          <w:szCs w:val="24"/>
        </w:rPr>
        <w:t xml:space="preserve">1992 </w:t>
      </w:r>
      <w:r w:rsidRPr="00D06DB8">
        <w:rPr>
          <w:rStyle w:val="Normal1"/>
          <w:rFonts w:ascii="Times New Roman" w:hAnsi="Times New Roman"/>
          <w:szCs w:val="24"/>
        </w:rPr>
        <w:t>relatif à l'application de la loi n° 90-1247 du 29 décembre 1990 portant suppression de la tutelle administrative et financière sur les communes de Nouvelle-Calédonie et dispositions diverses relatives à ce territoire et relatif au régime budgétaire et comptable applicable dans le territoire de la Nouvelle-Calédonie</w:t>
      </w:r>
      <w:r w:rsidR="00321164">
        <w:rPr>
          <w:rStyle w:val="Normal1"/>
          <w:rFonts w:ascii="Times New Roman" w:hAnsi="Times New Roman"/>
          <w:szCs w:val="24"/>
        </w:rPr>
        <w:t> </w:t>
      </w:r>
      <w:r w:rsidRPr="00183EFC">
        <w:rPr>
          <w:rFonts w:ascii="Times New Roman" w:hAnsi="Times New Roman"/>
          <w:szCs w:val="24"/>
        </w:rPr>
        <w:t>;</w:t>
      </w:r>
    </w:p>
    <w:p w:rsidR="005C3F45" w:rsidRPr="00FB7BEE" w:rsidRDefault="005C3F45" w:rsidP="005C3F45">
      <w:pPr>
        <w:pStyle w:val="PS"/>
        <w:tabs>
          <w:tab w:val="left" w:pos="1701"/>
        </w:tabs>
        <w:spacing w:after="240"/>
        <w:rPr>
          <w:rFonts w:ascii="Times New Roman" w:hAnsi="Times New Roman"/>
        </w:rPr>
      </w:pPr>
      <w:r w:rsidRPr="00FB7BEE">
        <w:rPr>
          <w:rFonts w:ascii="Times New Roman" w:hAnsi="Times New Roman"/>
        </w:rPr>
        <w:t>Vu le décret du 2 septembre 1996 portant établissement de la liste des pièces justificatives des paiements des communes, des provinces, du territoire et des établissements publics locaux de Nouvelle-Calédonie ;</w:t>
      </w:r>
    </w:p>
    <w:p w:rsidR="005C3F45" w:rsidRPr="00D06DB8" w:rsidRDefault="005C3F45" w:rsidP="005C3F45">
      <w:pPr>
        <w:pStyle w:val="PS"/>
        <w:spacing w:after="240"/>
        <w:rPr>
          <w:rFonts w:ascii="Times New Roman" w:hAnsi="Times New Roman"/>
        </w:rPr>
      </w:pPr>
      <w:r w:rsidRPr="00FB7BEE">
        <w:rPr>
          <w:rFonts w:ascii="Times New Roman" w:hAnsi="Times New Roman"/>
        </w:rPr>
        <w:t>Vu la délibération du Congrès du territoire</w:t>
      </w:r>
      <w:r w:rsidRPr="00FB7BEE">
        <w:rPr>
          <w:rFonts w:ascii="Times New Roman" w:hAnsi="Times New Roman"/>
          <w:color w:val="000000"/>
        </w:rPr>
        <w:t xml:space="preserve"> </w:t>
      </w:r>
      <w:r w:rsidRPr="00D06DB8">
        <w:rPr>
          <w:rFonts w:ascii="Times New Roman" w:hAnsi="Times New Roman"/>
        </w:rPr>
        <w:t>de Nouvelle-Calédonie n° 136/CP du 1</w:t>
      </w:r>
      <w:r w:rsidRPr="00D06DB8">
        <w:rPr>
          <w:rFonts w:ascii="Times New Roman" w:hAnsi="Times New Roman"/>
          <w:vertAlign w:val="superscript"/>
        </w:rPr>
        <w:t>er</w:t>
      </w:r>
      <w:r w:rsidR="00321164" w:rsidRPr="00321164">
        <w:rPr>
          <w:rFonts w:ascii="Times New Roman" w:hAnsi="Times New Roman"/>
        </w:rPr>
        <w:t xml:space="preserve"> </w:t>
      </w:r>
      <w:r w:rsidRPr="00D06DB8">
        <w:rPr>
          <w:rFonts w:ascii="Times New Roman" w:hAnsi="Times New Roman"/>
        </w:rPr>
        <w:t>mars</w:t>
      </w:r>
      <w:r w:rsidR="00321164">
        <w:rPr>
          <w:rFonts w:ascii="Times New Roman" w:hAnsi="Times New Roman"/>
        </w:rPr>
        <w:t xml:space="preserve"> </w:t>
      </w:r>
      <w:r w:rsidRPr="00D06DB8">
        <w:rPr>
          <w:rFonts w:ascii="Times New Roman" w:hAnsi="Times New Roman"/>
        </w:rPr>
        <w:t>1967 modifiée portant réglementation des marchés publics</w:t>
      </w:r>
      <w:r w:rsidR="00321164">
        <w:rPr>
          <w:rFonts w:ascii="Times New Roman" w:hAnsi="Times New Roman"/>
        </w:rPr>
        <w:t xml:space="preserve"> </w:t>
      </w:r>
      <w:r w:rsidRPr="00D06DB8">
        <w:rPr>
          <w:rFonts w:ascii="Times New Roman" w:hAnsi="Times New Roman"/>
        </w:rPr>
        <w:t>en Nouvelle-Calédonie</w:t>
      </w:r>
      <w:r w:rsidR="00321164">
        <w:rPr>
          <w:rFonts w:ascii="Times New Roman" w:hAnsi="Times New Roman"/>
        </w:rPr>
        <w:t> </w:t>
      </w:r>
      <w:r w:rsidRPr="00D06DB8">
        <w:rPr>
          <w:rFonts w:ascii="Times New Roman" w:hAnsi="Times New Roman"/>
        </w:rPr>
        <w:t>;</w:t>
      </w:r>
    </w:p>
    <w:p w:rsidR="005C3F45" w:rsidRPr="00D06DB8" w:rsidRDefault="005C3F45" w:rsidP="005C3F45">
      <w:pPr>
        <w:pStyle w:val="PS"/>
        <w:spacing w:after="240"/>
      </w:pPr>
      <w:r w:rsidRPr="00D06DB8">
        <w:rPr>
          <w:rFonts w:ascii="Times New Roman" w:hAnsi="Times New Roman"/>
        </w:rPr>
        <w:t>Vu le rapport de M.</w:t>
      </w:r>
      <w:r w:rsidR="00D06DB8" w:rsidRPr="00D06DB8">
        <w:rPr>
          <w:rFonts w:ascii="Times New Roman" w:hAnsi="Times New Roman"/>
        </w:rPr>
        <w:t> </w:t>
      </w:r>
      <w:r w:rsidRPr="00D06DB8">
        <w:rPr>
          <w:rFonts w:ascii="Times New Roman" w:hAnsi="Times New Roman"/>
        </w:rPr>
        <w:t>Jean Leger, conseiller référendaire ;</w:t>
      </w:r>
    </w:p>
    <w:p w:rsidR="005C3F45" w:rsidRPr="00D06DB8" w:rsidRDefault="005C3F45" w:rsidP="005C3F45">
      <w:pPr>
        <w:pStyle w:val="PS"/>
        <w:spacing w:after="240"/>
      </w:pPr>
      <w:r w:rsidRPr="00D06DB8">
        <w:rPr>
          <w:rFonts w:ascii="Times New Roman" w:hAnsi="Times New Roman"/>
        </w:rPr>
        <w:t>Vu les conclusions du Procureur général</w:t>
      </w:r>
      <w:r w:rsidR="0093348E">
        <w:rPr>
          <w:rFonts w:ascii="Times New Roman" w:hAnsi="Times New Roman"/>
        </w:rPr>
        <w:t xml:space="preserve"> </w:t>
      </w:r>
      <w:r w:rsidRPr="00D06DB8">
        <w:rPr>
          <w:rFonts w:ascii="Times New Roman" w:hAnsi="Times New Roman"/>
        </w:rPr>
        <w:t>n°</w:t>
      </w:r>
      <w:r w:rsidR="0093348E">
        <w:rPr>
          <w:rFonts w:ascii="Times New Roman" w:hAnsi="Times New Roman"/>
        </w:rPr>
        <w:t> </w:t>
      </w:r>
      <w:r w:rsidRPr="00D06DB8">
        <w:rPr>
          <w:rFonts w:ascii="Times New Roman" w:hAnsi="Times New Roman"/>
        </w:rPr>
        <w:t>580 du 2 septembre 2013</w:t>
      </w:r>
      <w:r w:rsidR="00321164">
        <w:rPr>
          <w:rFonts w:ascii="Times New Roman" w:hAnsi="Times New Roman"/>
        </w:rPr>
        <w:t> </w:t>
      </w:r>
      <w:r w:rsidRPr="00D06DB8">
        <w:rPr>
          <w:rFonts w:ascii="Times New Roman" w:hAnsi="Times New Roman"/>
        </w:rPr>
        <w:t>;</w:t>
      </w:r>
    </w:p>
    <w:p w:rsidR="005C3F45" w:rsidRPr="00D06DB8" w:rsidRDefault="005C3F45" w:rsidP="005C3F45">
      <w:pPr>
        <w:pStyle w:val="PS"/>
        <w:spacing w:after="240"/>
      </w:pPr>
      <w:r w:rsidRPr="00D06DB8">
        <w:rPr>
          <w:rFonts w:ascii="Times New Roman" w:hAnsi="Times New Roman"/>
        </w:rPr>
        <w:t>Entendu, lors de l’audience publique de ce jour, M.</w:t>
      </w:r>
      <w:r w:rsidR="006D33AF">
        <w:rPr>
          <w:rFonts w:ascii="Times New Roman" w:hAnsi="Times New Roman"/>
        </w:rPr>
        <w:t> </w:t>
      </w:r>
      <w:r w:rsidRPr="00D06DB8">
        <w:rPr>
          <w:rFonts w:ascii="Times New Roman" w:hAnsi="Times New Roman"/>
        </w:rPr>
        <w:t>Leger, en</w:t>
      </w:r>
      <w:r w:rsidR="00321164">
        <w:rPr>
          <w:rFonts w:ascii="Times New Roman" w:hAnsi="Times New Roman"/>
        </w:rPr>
        <w:t xml:space="preserve"> </w:t>
      </w:r>
      <w:r w:rsidRPr="00D06DB8">
        <w:rPr>
          <w:rFonts w:ascii="Times New Roman" w:hAnsi="Times New Roman"/>
        </w:rPr>
        <w:t>son rapport, M. Xavier Lefort, avocat général, en les conclusions du ministère public, l’appelant, informé de l’audience, n’étant ni présent ni</w:t>
      </w:r>
      <w:r w:rsidR="00321164">
        <w:rPr>
          <w:rFonts w:ascii="Times New Roman" w:hAnsi="Times New Roman"/>
        </w:rPr>
        <w:t xml:space="preserve"> </w:t>
      </w:r>
      <w:r w:rsidRPr="00D06DB8">
        <w:rPr>
          <w:rFonts w:ascii="Times New Roman" w:hAnsi="Times New Roman"/>
        </w:rPr>
        <w:t>représenté ;</w:t>
      </w:r>
    </w:p>
    <w:p w:rsidR="005C3F45" w:rsidRPr="00D06DB8" w:rsidRDefault="005C3F45" w:rsidP="005C3F45">
      <w:pPr>
        <w:pStyle w:val="PS"/>
        <w:spacing w:after="240"/>
      </w:pPr>
      <w:r w:rsidRPr="00D06DB8">
        <w:rPr>
          <w:rFonts w:ascii="Times New Roman" w:hAnsi="Times New Roman"/>
        </w:rPr>
        <w:t>Entendu, en délibéré, M.</w:t>
      </w:r>
      <w:r w:rsidR="00D06DB8">
        <w:rPr>
          <w:rFonts w:ascii="Times New Roman" w:hAnsi="Times New Roman"/>
        </w:rPr>
        <w:t> </w:t>
      </w:r>
      <w:r w:rsidRPr="00D06DB8">
        <w:rPr>
          <w:rFonts w:ascii="Times New Roman" w:hAnsi="Times New Roman"/>
        </w:rPr>
        <w:t>Roch-Olivier Maistre, conseiller maître, en ses observations ;</w:t>
      </w:r>
    </w:p>
    <w:p w:rsidR="005C3F45" w:rsidRPr="00FB7BEE" w:rsidRDefault="005C3F45" w:rsidP="005C3F45">
      <w:pPr>
        <w:pStyle w:val="PS"/>
        <w:spacing w:after="240"/>
        <w:rPr>
          <w:rFonts w:ascii="Times New Roman" w:hAnsi="Times New Roman"/>
        </w:rPr>
      </w:pPr>
      <w:r w:rsidRPr="00D06DB8">
        <w:rPr>
          <w:rFonts w:ascii="Times New Roman" w:hAnsi="Times New Roman"/>
          <w:szCs w:val="24"/>
        </w:rPr>
        <w:t>Attendu que, par le jugement entrepris, la CTC de Nouvelle-Calédonie a considéré que M.</w:t>
      </w:r>
      <w:r w:rsidR="005965DA">
        <w:rPr>
          <w:rFonts w:ascii="Times New Roman" w:hAnsi="Times New Roman"/>
          <w:szCs w:val="24"/>
        </w:rPr>
        <w:t> </w:t>
      </w:r>
      <w:r w:rsidR="0089218F">
        <w:rPr>
          <w:rFonts w:ascii="Times New Roman" w:hAnsi="Times New Roman"/>
          <w:szCs w:val="24"/>
        </w:rPr>
        <w:t>X</w:t>
      </w:r>
      <w:r w:rsidRPr="00D06DB8">
        <w:rPr>
          <w:rFonts w:ascii="Times New Roman" w:hAnsi="Times New Roman"/>
          <w:szCs w:val="24"/>
        </w:rPr>
        <w:t xml:space="preserve"> avait</w:t>
      </w:r>
      <w:r w:rsidRPr="00FB7BEE">
        <w:rPr>
          <w:rFonts w:ascii="Times New Roman" w:hAnsi="Times New Roman"/>
        </w:rPr>
        <w:t xml:space="preserve"> engagé sa responsabilité personnelle et pé</w:t>
      </w:r>
      <w:r>
        <w:rPr>
          <w:rFonts w:ascii="Times New Roman" w:hAnsi="Times New Roman"/>
        </w:rPr>
        <w:t>cuniaire à</w:t>
      </w:r>
      <w:r w:rsidRPr="00FB7BEE">
        <w:rPr>
          <w:rFonts w:ascii="Times New Roman" w:hAnsi="Times New Roman"/>
        </w:rPr>
        <w:t xml:space="preserve"> raison de paiements intervenus en l’absence de production, à l’appui des mandats, des marchés publics requis </w:t>
      </w:r>
      <w:r>
        <w:rPr>
          <w:rFonts w:ascii="Times New Roman" w:hAnsi="Times New Roman"/>
        </w:rPr>
        <w:t xml:space="preserve">par la réglementation applicable </w:t>
      </w:r>
      <w:r w:rsidRPr="00FB7BEE">
        <w:rPr>
          <w:rFonts w:ascii="Times New Roman" w:hAnsi="Times New Roman"/>
        </w:rPr>
        <w:t>compte tenu de</w:t>
      </w:r>
      <w:r>
        <w:rPr>
          <w:rFonts w:ascii="Times New Roman" w:hAnsi="Times New Roman"/>
        </w:rPr>
        <w:t>s montants en cause et donc pour ne pas</w:t>
      </w:r>
      <w:r w:rsidRPr="00FB7BEE">
        <w:rPr>
          <w:rFonts w:ascii="Times New Roman" w:hAnsi="Times New Roman"/>
        </w:rPr>
        <w:t xml:space="preserve"> avoir procédé aux contrôles qu’il était tenu d’exercer </w:t>
      </w:r>
      <w:r w:rsidR="00321164">
        <w:rPr>
          <w:rFonts w:ascii="Times New Roman" w:hAnsi="Times New Roman"/>
        </w:rPr>
        <w:t>sur la validité de la créance ;</w:t>
      </w:r>
    </w:p>
    <w:p w:rsidR="005C3F45" w:rsidRPr="00645A2D" w:rsidRDefault="005C3F45" w:rsidP="005C3F45">
      <w:pPr>
        <w:pStyle w:val="PS"/>
        <w:spacing w:after="240"/>
        <w:rPr>
          <w:b/>
        </w:rPr>
      </w:pPr>
      <w:r w:rsidRPr="00645A2D">
        <w:rPr>
          <w:b/>
        </w:rPr>
        <w:t>S</w:t>
      </w:r>
      <w:r>
        <w:rPr>
          <w:b/>
        </w:rPr>
        <w:t xml:space="preserve">ur l’existence de conventions </w:t>
      </w:r>
      <w:r w:rsidRPr="00645A2D">
        <w:rPr>
          <w:b/>
        </w:rPr>
        <w:t>cadre</w:t>
      </w:r>
      <w:r>
        <w:rPr>
          <w:b/>
        </w:rPr>
        <w:t xml:space="preserve"> de niveau supérieur</w:t>
      </w:r>
    </w:p>
    <w:p w:rsidR="005C3F45" w:rsidRPr="006D33AF" w:rsidRDefault="005C3F45" w:rsidP="005C3F45">
      <w:pPr>
        <w:pStyle w:val="PS"/>
        <w:spacing w:after="240"/>
        <w:rPr>
          <w:rFonts w:ascii="Times New Roman" w:hAnsi="Times New Roman"/>
          <w:szCs w:val="24"/>
        </w:rPr>
      </w:pPr>
      <w:r w:rsidRPr="006D33AF">
        <w:rPr>
          <w:rFonts w:ascii="Times New Roman" w:hAnsi="Times New Roman"/>
          <w:szCs w:val="24"/>
        </w:rPr>
        <w:t>Attendu que l’appelant soutient que</w:t>
      </w:r>
      <w:r w:rsidRPr="005A4BCA">
        <w:rPr>
          <w:rFonts w:ascii="Times New Roman" w:hAnsi="Times New Roman"/>
          <w:color w:val="000000"/>
          <w:szCs w:val="24"/>
        </w:rPr>
        <w:t xml:space="preserve"> </w:t>
      </w:r>
      <w:r w:rsidRPr="005A4BCA">
        <w:rPr>
          <w:rFonts w:ascii="Times New Roman" w:hAnsi="Times New Roman"/>
        </w:rPr>
        <w:t xml:space="preserve">le paiement hors marché des mandats en cause serait justifié </w:t>
      </w:r>
      <w:r w:rsidRPr="006D33AF">
        <w:rPr>
          <w:rFonts w:ascii="Times New Roman" w:hAnsi="Times New Roman"/>
          <w:szCs w:val="24"/>
        </w:rPr>
        <w:t>par l’existence de conventions cadre signées entre le</w:t>
      </w:r>
      <w:r w:rsidRPr="005A4BCA">
        <w:rPr>
          <w:rFonts w:ascii="Times New Roman" w:hAnsi="Times New Roman"/>
          <w:color w:val="000000"/>
          <w:szCs w:val="24"/>
        </w:rPr>
        <w:t xml:space="preserve"> </w:t>
      </w:r>
      <w:r w:rsidRPr="005A4BCA">
        <w:rPr>
          <w:rFonts w:ascii="Times New Roman" w:hAnsi="Times New Roman"/>
        </w:rPr>
        <w:t>gouvernement de la Nouvelle-Calédonie, le ministère en charge de l’Outre-mer et l’Association nationale pour la formation professionnelle des adultes (AFPA)</w:t>
      </w:r>
      <w:r w:rsidR="00321164">
        <w:rPr>
          <w:rFonts w:ascii="Times New Roman" w:hAnsi="Times New Roman"/>
        </w:rPr>
        <w:t xml:space="preserve"> </w:t>
      </w:r>
      <w:r>
        <w:rPr>
          <w:rFonts w:ascii="Times New Roman" w:hAnsi="Times New Roman"/>
        </w:rPr>
        <w:t xml:space="preserve">dont </w:t>
      </w:r>
      <w:r w:rsidRPr="006D33AF">
        <w:rPr>
          <w:rFonts w:ascii="Times New Roman" w:hAnsi="Times New Roman"/>
          <w:szCs w:val="24"/>
        </w:rPr>
        <w:t>l’article 1</w:t>
      </w:r>
      <w:r w:rsidRPr="006D33AF">
        <w:rPr>
          <w:rFonts w:ascii="Times New Roman" w:hAnsi="Times New Roman"/>
          <w:szCs w:val="24"/>
          <w:vertAlign w:val="superscript"/>
        </w:rPr>
        <w:t>er</w:t>
      </w:r>
      <w:r w:rsidRPr="006D33AF">
        <w:rPr>
          <w:rFonts w:ascii="Times New Roman" w:hAnsi="Times New Roman"/>
          <w:szCs w:val="24"/>
        </w:rPr>
        <w:t xml:space="preserve"> dispose d’une part, qu’elle « </w:t>
      </w:r>
      <w:r w:rsidRPr="006D33AF">
        <w:rPr>
          <w:rFonts w:ascii="Times New Roman" w:hAnsi="Times New Roman"/>
          <w:i/>
          <w:szCs w:val="24"/>
        </w:rPr>
        <w:t>a pour objet d’apporter à la Nouvelle-Calédonie l’expertise et les appuis extérieurs en vue de professionnaliser les divers acteurs de la formation professionnelle</w:t>
      </w:r>
      <w:r w:rsidRPr="006D33AF">
        <w:rPr>
          <w:rFonts w:ascii="Times New Roman" w:hAnsi="Times New Roman"/>
          <w:szCs w:val="24"/>
        </w:rPr>
        <w:t> » et d’autre part, que « </w:t>
      </w:r>
      <w:r w:rsidRPr="006D33AF">
        <w:rPr>
          <w:rFonts w:ascii="Times New Roman" w:hAnsi="Times New Roman"/>
          <w:i/>
          <w:szCs w:val="24"/>
        </w:rPr>
        <w:t>ses modalités de mise en œuvre sont fixées dans des conventions annuelles d’application</w:t>
      </w:r>
      <w:r w:rsidRPr="006D33AF">
        <w:rPr>
          <w:rFonts w:ascii="Times New Roman" w:hAnsi="Times New Roman"/>
          <w:szCs w:val="24"/>
        </w:rPr>
        <w:t> »</w:t>
      </w:r>
      <w:r w:rsidRPr="00F65175">
        <w:rPr>
          <w:rFonts w:ascii="Times New Roman" w:hAnsi="Times New Roman"/>
          <w:color w:val="000000"/>
          <w:szCs w:val="24"/>
        </w:rPr>
        <w:t> </w:t>
      </w:r>
      <w:r w:rsidRPr="005A4BCA">
        <w:rPr>
          <w:rFonts w:ascii="Times New Roman" w:hAnsi="Times New Roman"/>
        </w:rPr>
        <w:t>; qu’en raison de ces conventions, l’AFPA serait devenue le seul organisme de référence en Nouvelle-Calédonie au titre de la formation</w:t>
      </w:r>
      <w:r>
        <w:t xml:space="preserve"> </w:t>
      </w:r>
      <w:r w:rsidRPr="005A4BCA">
        <w:rPr>
          <w:rFonts w:ascii="Times New Roman" w:hAnsi="Times New Roman"/>
        </w:rPr>
        <w:t>professionnelle et que l’IDC</w:t>
      </w:r>
      <w:r>
        <w:rPr>
          <w:rFonts w:ascii="Times New Roman" w:hAnsi="Times New Roman"/>
        </w:rPr>
        <w:t>-</w:t>
      </w:r>
      <w:r w:rsidRPr="005A4BCA">
        <w:rPr>
          <w:rFonts w:ascii="Times New Roman" w:hAnsi="Times New Roman"/>
        </w:rPr>
        <w:t>NC n’a</w:t>
      </w:r>
      <w:r>
        <w:rPr>
          <w:rFonts w:ascii="Times New Roman" w:hAnsi="Times New Roman"/>
        </w:rPr>
        <w:t>urait</w:t>
      </w:r>
      <w:r w:rsidRPr="005A4BCA">
        <w:rPr>
          <w:rFonts w:ascii="Times New Roman" w:hAnsi="Times New Roman"/>
        </w:rPr>
        <w:t xml:space="preserve"> pas </w:t>
      </w:r>
      <w:r>
        <w:rPr>
          <w:rFonts w:ascii="Times New Roman" w:hAnsi="Times New Roman"/>
        </w:rPr>
        <w:t xml:space="preserve">eu </w:t>
      </w:r>
      <w:r w:rsidRPr="005A4BCA">
        <w:rPr>
          <w:rFonts w:ascii="Times New Roman" w:hAnsi="Times New Roman"/>
        </w:rPr>
        <w:t>le choix de l’organisme d’appui nécessaire aux missions qui lui étaient dévolues ; que les conventions de prestations de service conclues avec l’AFPA le</w:t>
      </w:r>
      <w:r>
        <w:rPr>
          <w:rFonts w:ascii="Times New Roman" w:hAnsi="Times New Roman"/>
        </w:rPr>
        <w:t>s 13 mars 2006 et</w:t>
      </w:r>
      <w:r w:rsidRPr="005A4BCA">
        <w:rPr>
          <w:rFonts w:ascii="Times New Roman" w:hAnsi="Times New Roman"/>
        </w:rPr>
        <w:t xml:space="preserve"> 10 avril 2008 par l’</w:t>
      </w:r>
      <w:r w:rsidR="006D33AF">
        <w:rPr>
          <w:rFonts w:ascii="Times New Roman" w:hAnsi="Times New Roman"/>
        </w:rPr>
        <w:t>Agence pour l’emploi de Nouvelle-Calédonie (</w:t>
      </w:r>
      <w:r w:rsidRPr="005A4BCA">
        <w:rPr>
          <w:rFonts w:ascii="Times New Roman" w:hAnsi="Times New Roman"/>
        </w:rPr>
        <w:t>APENC</w:t>
      </w:r>
      <w:r w:rsidR="006D33AF">
        <w:rPr>
          <w:rFonts w:ascii="Times New Roman" w:hAnsi="Times New Roman"/>
        </w:rPr>
        <w:t>)</w:t>
      </w:r>
      <w:r w:rsidRPr="005A4BCA">
        <w:rPr>
          <w:rFonts w:ascii="Times New Roman" w:hAnsi="Times New Roman"/>
        </w:rPr>
        <w:t xml:space="preserve"> puis l’IDC</w:t>
      </w:r>
      <w:r>
        <w:rPr>
          <w:rFonts w:ascii="Times New Roman" w:hAnsi="Times New Roman"/>
        </w:rPr>
        <w:t>-</w:t>
      </w:r>
      <w:r w:rsidRPr="005A4BCA">
        <w:rPr>
          <w:rFonts w:ascii="Times New Roman" w:hAnsi="Times New Roman"/>
        </w:rPr>
        <w:t>NC, qui lui a succédé, ne seraien</w:t>
      </w:r>
      <w:r>
        <w:rPr>
          <w:rFonts w:ascii="Times New Roman" w:hAnsi="Times New Roman"/>
        </w:rPr>
        <w:t xml:space="preserve">t </w:t>
      </w:r>
      <w:r w:rsidRPr="005A4BCA">
        <w:rPr>
          <w:rFonts w:ascii="Times New Roman" w:hAnsi="Times New Roman"/>
        </w:rPr>
        <w:t>que la simple déclinaison des conventions cadre tripartites susmentionnées ;</w:t>
      </w:r>
      <w:r w:rsidRPr="005A4BCA">
        <w:rPr>
          <w:rFonts w:ascii="Times New Roman" w:hAnsi="Times New Roman"/>
          <w:color w:val="000000"/>
          <w:szCs w:val="24"/>
        </w:rPr>
        <w:t xml:space="preserve"> </w:t>
      </w:r>
      <w:r w:rsidRPr="006D33AF">
        <w:rPr>
          <w:rFonts w:ascii="Times New Roman" w:hAnsi="Times New Roman"/>
          <w:szCs w:val="24"/>
        </w:rPr>
        <w:t>qu’en conséquence l’appelant demande que le jugement de la chambre territoriale des comptes de Nouvelle-Calédonie soit infirmé ;</w:t>
      </w:r>
    </w:p>
    <w:p w:rsidR="005C3F45" w:rsidRPr="006D33AF" w:rsidRDefault="005C3F45" w:rsidP="005C3F45">
      <w:pPr>
        <w:pStyle w:val="PS"/>
        <w:spacing w:after="240"/>
        <w:rPr>
          <w:rFonts w:ascii="Times New Roman" w:hAnsi="Times New Roman"/>
          <w:szCs w:val="24"/>
        </w:rPr>
      </w:pPr>
      <w:r w:rsidRPr="006D33AF">
        <w:rPr>
          <w:rFonts w:ascii="Times New Roman" w:hAnsi="Times New Roman"/>
        </w:rPr>
        <w:t xml:space="preserve">Considérant, en premier lieu, que la première convention </w:t>
      </w:r>
      <w:r w:rsidRPr="006D33AF">
        <w:rPr>
          <w:rFonts w:ascii="Times New Roman" w:hAnsi="Times New Roman"/>
          <w:szCs w:val="24"/>
        </w:rPr>
        <w:t>de</w:t>
      </w:r>
      <w:r w:rsidR="00321164">
        <w:rPr>
          <w:rFonts w:ascii="Times New Roman" w:hAnsi="Times New Roman"/>
          <w:szCs w:val="24"/>
        </w:rPr>
        <w:t xml:space="preserve"> </w:t>
      </w:r>
      <w:r w:rsidRPr="006D33AF">
        <w:rPr>
          <w:rFonts w:ascii="Times New Roman" w:hAnsi="Times New Roman"/>
          <w:szCs w:val="24"/>
        </w:rPr>
        <w:t xml:space="preserve">prestation de service </w:t>
      </w:r>
      <w:r w:rsidRPr="006D33AF">
        <w:rPr>
          <w:rFonts w:ascii="Times New Roman" w:hAnsi="Times New Roman"/>
        </w:rPr>
        <w:t>n°</w:t>
      </w:r>
      <w:r w:rsidR="006D33AF">
        <w:rPr>
          <w:rFonts w:ascii="Times New Roman" w:hAnsi="Times New Roman"/>
        </w:rPr>
        <w:t> </w:t>
      </w:r>
      <w:r w:rsidRPr="006D33AF">
        <w:rPr>
          <w:rFonts w:ascii="Times New Roman" w:hAnsi="Times New Roman"/>
        </w:rPr>
        <w:t xml:space="preserve">69 916 a été conclue par l’APENC, devenue IDC-NC, avec l’AFPA le 13 mars 2006 ; qu’elle </w:t>
      </w:r>
      <w:r w:rsidRPr="006D33AF">
        <w:rPr>
          <w:rFonts w:ascii="Times New Roman" w:hAnsi="Times New Roman"/>
          <w:szCs w:val="24"/>
        </w:rPr>
        <w:t>est ainsi largement antérieure à la convention cadre tripartite susmentionnée qui est datée du 19</w:t>
      </w:r>
      <w:r w:rsidR="00321164">
        <w:rPr>
          <w:rFonts w:ascii="Times New Roman" w:hAnsi="Times New Roman"/>
          <w:szCs w:val="24"/>
        </w:rPr>
        <w:t xml:space="preserve"> </w:t>
      </w:r>
      <w:r w:rsidRPr="006D33AF">
        <w:rPr>
          <w:rFonts w:ascii="Times New Roman" w:hAnsi="Times New Roman"/>
          <w:szCs w:val="24"/>
        </w:rPr>
        <w:t>juillet</w:t>
      </w:r>
      <w:r w:rsidR="00321164">
        <w:rPr>
          <w:rFonts w:ascii="Times New Roman" w:hAnsi="Times New Roman"/>
          <w:szCs w:val="24"/>
        </w:rPr>
        <w:t xml:space="preserve"> </w:t>
      </w:r>
      <w:r w:rsidRPr="006D33AF">
        <w:rPr>
          <w:rFonts w:ascii="Times New Roman" w:hAnsi="Times New Roman"/>
          <w:szCs w:val="24"/>
        </w:rPr>
        <w:t>2007 ; qu’en conséquence, contrairement aux affirmations du requérant, elle ne saurait en aucune façon constituer la déclinaison de ladite convention cadre ;</w:t>
      </w:r>
    </w:p>
    <w:p w:rsidR="005C3F45" w:rsidRPr="006D33AF" w:rsidRDefault="005C3F45" w:rsidP="005C3F45">
      <w:pPr>
        <w:pStyle w:val="PS"/>
        <w:spacing w:after="240"/>
        <w:rPr>
          <w:rFonts w:ascii="Times New Roman" w:hAnsi="Times New Roman"/>
          <w:szCs w:val="24"/>
        </w:rPr>
      </w:pPr>
      <w:r w:rsidRPr="006D33AF">
        <w:rPr>
          <w:rFonts w:ascii="Times New Roman" w:hAnsi="Times New Roman"/>
          <w:szCs w:val="24"/>
        </w:rPr>
        <w:t>Considérant, en second lieu, que les conventions passées par l’IDC-NC (ou l’APENC) avec l’AFPA ne font référence ni aux conventions tripartites susmentionnées ni aux prestations qu’elles confient à l’AFPA ; que, de la même façon, les conventions tripartites ne mentionnent pas davantage une mission spécifique qui serait confiée à l’AFPA et dont le pilotage et le financement incomberaient à l’IDC-NC dans le cadre de conventions particulières passées ou à passer entre les deux organismes ; que l’examen d’un côté, des conventions tripartites et de l’autre, des conventions conclues par l’IDC-NC avec l’AFPA met clairement en évidence qu’elle porte sur des prestations au contenu et au périmètre différent</w:t>
      </w:r>
      <w:r w:rsidR="00321164">
        <w:rPr>
          <w:rFonts w:ascii="Times New Roman" w:hAnsi="Times New Roman"/>
          <w:szCs w:val="24"/>
        </w:rPr>
        <w:t>s ;</w:t>
      </w:r>
    </w:p>
    <w:p w:rsidR="005C3F45" w:rsidRPr="006D33AF" w:rsidRDefault="005C3F45" w:rsidP="005C3F45">
      <w:pPr>
        <w:pStyle w:val="PS"/>
        <w:spacing w:after="240"/>
        <w:rPr>
          <w:rFonts w:ascii="Times New Roman" w:hAnsi="Times New Roman"/>
          <w:szCs w:val="24"/>
        </w:rPr>
      </w:pPr>
      <w:r w:rsidRPr="006D33AF">
        <w:rPr>
          <w:rFonts w:ascii="Times New Roman" w:hAnsi="Times New Roman"/>
          <w:szCs w:val="24"/>
        </w:rPr>
        <w:t>Considérant qu’il résulte de l’ensemble des éléments rappelés ci-dessus que les prestations qui sont l’objet des conventions entre l’IDC-NC et l’AFPA sont détachables des missions que le territoire de Nouvelle-Calédonie a confiées à l’AFPA à travers les conventions cadre précitées</w:t>
      </w:r>
      <w:r w:rsidR="00321164">
        <w:rPr>
          <w:rFonts w:ascii="Times New Roman" w:hAnsi="Times New Roman"/>
          <w:szCs w:val="24"/>
        </w:rPr>
        <w:t> </w:t>
      </w:r>
      <w:r w:rsidRPr="006D33AF">
        <w:rPr>
          <w:rFonts w:ascii="Times New Roman" w:hAnsi="Times New Roman"/>
          <w:szCs w:val="24"/>
        </w:rPr>
        <w:t>; qu’ainsi, contrairement aux allégations du requérant, il était loisible à</w:t>
      </w:r>
      <w:r w:rsidR="00321164">
        <w:rPr>
          <w:rFonts w:ascii="Times New Roman" w:hAnsi="Times New Roman"/>
          <w:szCs w:val="24"/>
        </w:rPr>
        <w:t xml:space="preserve"> </w:t>
      </w:r>
      <w:r w:rsidRPr="006D33AF">
        <w:rPr>
          <w:rFonts w:ascii="Times New Roman" w:hAnsi="Times New Roman"/>
          <w:szCs w:val="24"/>
        </w:rPr>
        <w:t>l’ordonnateur, après mise en concurrence, de s’adresser à un autre prestataire ; qu’en conséquence</w:t>
      </w:r>
      <w:r w:rsidR="00321164">
        <w:rPr>
          <w:rFonts w:ascii="Times New Roman" w:hAnsi="Times New Roman"/>
          <w:szCs w:val="24"/>
        </w:rPr>
        <w:t xml:space="preserve"> </w:t>
      </w:r>
      <w:r w:rsidRPr="006D33AF">
        <w:rPr>
          <w:rFonts w:ascii="Times New Roman" w:hAnsi="Times New Roman"/>
          <w:szCs w:val="24"/>
        </w:rPr>
        <w:t>le moyen manque en droit et doit être écarté</w:t>
      </w:r>
      <w:r w:rsidR="006D33AF">
        <w:rPr>
          <w:rFonts w:ascii="Times New Roman" w:hAnsi="Times New Roman"/>
          <w:szCs w:val="24"/>
        </w:rPr>
        <w:t> </w:t>
      </w:r>
      <w:r w:rsidRPr="006D33AF">
        <w:rPr>
          <w:rFonts w:ascii="Times New Roman" w:hAnsi="Times New Roman"/>
          <w:szCs w:val="24"/>
        </w:rPr>
        <w:t>;</w:t>
      </w:r>
    </w:p>
    <w:p w:rsidR="005C3F45" w:rsidRDefault="005C3F45" w:rsidP="005C3F45">
      <w:pPr>
        <w:pStyle w:val="PS"/>
        <w:spacing w:after="240"/>
        <w:rPr>
          <w:b/>
        </w:rPr>
      </w:pPr>
      <w:r w:rsidRPr="0097095E">
        <w:rPr>
          <w:b/>
        </w:rPr>
        <w:t xml:space="preserve">Sur la notion de </w:t>
      </w:r>
      <w:r>
        <w:rPr>
          <w:b/>
        </w:rPr>
        <w:t>« </w:t>
      </w:r>
      <w:r w:rsidRPr="0097095E">
        <w:rPr>
          <w:b/>
        </w:rPr>
        <w:t>tiers public</w:t>
      </w:r>
      <w:r>
        <w:rPr>
          <w:b/>
        </w:rPr>
        <w:t> »</w:t>
      </w:r>
    </w:p>
    <w:p w:rsidR="005C3F45" w:rsidRPr="006D33AF" w:rsidRDefault="005C3F45" w:rsidP="005C3F45">
      <w:pPr>
        <w:spacing w:before="120" w:after="120"/>
        <w:ind w:left="1701" w:firstLine="1134"/>
        <w:jc w:val="both"/>
        <w:rPr>
          <w:sz w:val="24"/>
          <w:szCs w:val="24"/>
        </w:rPr>
      </w:pPr>
      <w:r w:rsidRPr="006D33AF">
        <w:rPr>
          <w:sz w:val="24"/>
          <w:szCs w:val="24"/>
        </w:rPr>
        <w:t>Attendu que le requérant fait aussi valoir que l’AFPA doit être considérée, du fait de son statut et de son contrôle par la Cour des comptes, comme un « tiers public » ; qu’en conséquence, en vertu de l’article</w:t>
      </w:r>
      <w:r w:rsidR="00321164">
        <w:rPr>
          <w:sz w:val="24"/>
          <w:szCs w:val="24"/>
        </w:rPr>
        <w:t xml:space="preserve"> </w:t>
      </w:r>
      <w:r w:rsidRPr="006D33AF">
        <w:rPr>
          <w:sz w:val="24"/>
          <w:szCs w:val="24"/>
        </w:rPr>
        <w:t>41 du décret du 2</w:t>
      </w:r>
      <w:r w:rsidR="00321164">
        <w:rPr>
          <w:sz w:val="24"/>
          <w:szCs w:val="24"/>
        </w:rPr>
        <w:t xml:space="preserve"> s</w:t>
      </w:r>
      <w:r w:rsidRPr="006D33AF">
        <w:rPr>
          <w:sz w:val="24"/>
          <w:szCs w:val="24"/>
        </w:rPr>
        <w:t>eptembre</w:t>
      </w:r>
      <w:r w:rsidR="00321164">
        <w:rPr>
          <w:sz w:val="24"/>
          <w:szCs w:val="24"/>
        </w:rPr>
        <w:t xml:space="preserve"> </w:t>
      </w:r>
      <w:r w:rsidRPr="006D33AF">
        <w:rPr>
          <w:sz w:val="24"/>
          <w:szCs w:val="24"/>
        </w:rPr>
        <w:t>1996 susvisé, les pièces produites à l’appui des mandats seraient conformes à celles requises par la nomenclature en vigueur pour les « </w:t>
      </w:r>
      <w:r w:rsidR="00321164">
        <w:rPr>
          <w:sz w:val="24"/>
          <w:szCs w:val="24"/>
        </w:rPr>
        <w:t>p</w:t>
      </w:r>
      <w:r w:rsidRPr="006D33AF">
        <w:rPr>
          <w:sz w:val="24"/>
          <w:szCs w:val="24"/>
        </w:rPr>
        <w:t>restations effectuées par des tiers publics »</w:t>
      </w:r>
      <w:r w:rsidR="00321164">
        <w:rPr>
          <w:sz w:val="24"/>
          <w:szCs w:val="24"/>
        </w:rPr>
        <w:t xml:space="preserve"> </w:t>
      </w:r>
      <w:r w:rsidRPr="006D33AF">
        <w:rPr>
          <w:sz w:val="24"/>
          <w:szCs w:val="24"/>
        </w:rPr>
        <w:t>et que le jugement de la CTC de Nouvelle-Calédonie devrait en conséquence être infirmé ;</w:t>
      </w:r>
    </w:p>
    <w:p w:rsidR="005C3F45" w:rsidRPr="006D33AF" w:rsidRDefault="005C3F45" w:rsidP="005C3F45">
      <w:pPr>
        <w:spacing w:before="120" w:after="120"/>
        <w:ind w:left="1701" w:firstLine="1134"/>
        <w:jc w:val="both"/>
        <w:rPr>
          <w:sz w:val="24"/>
          <w:szCs w:val="24"/>
        </w:rPr>
      </w:pPr>
      <w:r w:rsidRPr="006D33AF">
        <w:rPr>
          <w:sz w:val="24"/>
          <w:szCs w:val="24"/>
        </w:rPr>
        <w:t>Considérant, en premier lieu, que l’AFPA étant constituée en association de droit privé, sous le régime de la loi du 1</w:t>
      </w:r>
      <w:r w:rsidRPr="006D33AF">
        <w:rPr>
          <w:sz w:val="24"/>
          <w:szCs w:val="24"/>
          <w:vertAlign w:val="superscript"/>
        </w:rPr>
        <w:t>er</w:t>
      </w:r>
      <w:r w:rsidR="00321164">
        <w:rPr>
          <w:sz w:val="24"/>
          <w:szCs w:val="24"/>
        </w:rPr>
        <w:t xml:space="preserve"> </w:t>
      </w:r>
      <w:r w:rsidRPr="006D33AF">
        <w:rPr>
          <w:sz w:val="24"/>
          <w:szCs w:val="24"/>
        </w:rPr>
        <w:t>juillet</w:t>
      </w:r>
      <w:r w:rsidR="00321164">
        <w:rPr>
          <w:sz w:val="24"/>
          <w:szCs w:val="24"/>
        </w:rPr>
        <w:t xml:space="preserve"> </w:t>
      </w:r>
      <w:r w:rsidRPr="006D33AF">
        <w:rPr>
          <w:sz w:val="24"/>
          <w:szCs w:val="24"/>
        </w:rPr>
        <w:t>1901, il ne saurait être valablement soutenu qu’elle s’apparente à un « tiers public »</w:t>
      </w:r>
      <w:r w:rsidR="00321164">
        <w:rPr>
          <w:sz w:val="24"/>
          <w:szCs w:val="24"/>
        </w:rPr>
        <w:t> ;</w:t>
      </w:r>
    </w:p>
    <w:p w:rsidR="005C3F45" w:rsidRPr="006D33AF" w:rsidRDefault="005C3F45" w:rsidP="005C3F45">
      <w:pPr>
        <w:spacing w:after="240"/>
        <w:ind w:left="1701" w:firstLine="1134"/>
        <w:jc w:val="both"/>
        <w:rPr>
          <w:sz w:val="24"/>
          <w:szCs w:val="24"/>
        </w:rPr>
      </w:pPr>
      <w:r w:rsidRPr="006D33AF">
        <w:rPr>
          <w:sz w:val="24"/>
          <w:szCs w:val="24"/>
        </w:rPr>
        <w:t>Considérant, en second lieu, que la notion de « tiers public », mentionnée dans le décret du 2 septembre 1996 susvisé, ne s’applique que dans le cadre de prestations de travaux, de fournitures et de services exécutées au profit des collectivités publiques de Nouvelle-Calédonie ; que</w:t>
      </w:r>
      <w:r w:rsidR="00321164">
        <w:rPr>
          <w:sz w:val="24"/>
          <w:szCs w:val="24"/>
        </w:rPr>
        <w:t xml:space="preserve"> </w:t>
      </w:r>
      <w:r w:rsidRPr="006D33AF">
        <w:rPr>
          <w:sz w:val="24"/>
          <w:szCs w:val="24"/>
        </w:rPr>
        <w:t>cette notion est strictement encadrée par les dispositions de l’article</w:t>
      </w:r>
      <w:r w:rsidR="00321164">
        <w:rPr>
          <w:sz w:val="24"/>
          <w:szCs w:val="24"/>
        </w:rPr>
        <w:t xml:space="preserve"> </w:t>
      </w:r>
      <w:r w:rsidRPr="006D33AF">
        <w:rPr>
          <w:sz w:val="24"/>
          <w:szCs w:val="24"/>
        </w:rPr>
        <w:t>2-1 de la délibération n°</w:t>
      </w:r>
      <w:r w:rsidR="006D33AF" w:rsidRPr="006D33AF">
        <w:rPr>
          <w:sz w:val="24"/>
          <w:szCs w:val="24"/>
        </w:rPr>
        <w:t> </w:t>
      </w:r>
      <w:r w:rsidRPr="006D33AF">
        <w:rPr>
          <w:sz w:val="24"/>
          <w:szCs w:val="24"/>
        </w:rPr>
        <w:t>136/CP susvisée ; qu’il résulte des textes en vigueur que les « tiers publics » sont, soit les collectivités publiques de Nouvelle-Calédonie, soit des personnes morales sur lesquelles ces collectivités ont un pouvoir de direction ; qu’il est constant que l’AFPA ne rentre dans aucun des cas de figure précités ;</w:t>
      </w:r>
    </w:p>
    <w:p w:rsidR="005C3F45" w:rsidRPr="006D33AF" w:rsidRDefault="005C3F45" w:rsidP="005C3F45">
      <w:pPr>
        <w:pStyle w:val="PS"/>
        <w:spacing w:after="240"/>
      </w:pPr>
      <w:r w:rsidRPr="006D33AF">
        <w:rPr>
          <w:rFonts w:ascii="Times New Roman" w:hAnsi="Times New Roman"/>
          <w:szCs w:val="24"/>
        </w:rPr>
        <w:t>Considérant qu’il résulte de l’ensemble des éléments ainsi rappelés que le moyen du requérant manque en droit et doit en conséquence être écarté ;</w:t>
      </w:r>
    </w:p>
    <w:p w:rsidR="005C3F45" w:rsidRPr="006D33AF" w:rsidRDefault="005C3F45" w:rsidP="005C3F45">
      <w:pPr>
        <w:pStyle w:val="PS"/>
        <w:spacing w:before="120" w:after="120"/>
        <w:rPr>
          <w:rFonts w:ascii="Times New Roman" w:hAnsi="Times New Roman"/>
          <w:b/>
          <w:szCs w:val="24"/>
        </w:rPr>
      </w:pPr>
      <w:r w:rsidRPr="006D33AF">
        <w:rPr>
          <w:rFonts w:ascii="Times New Roman" w:hAnsi="Times New Roman"/>
          <w:b/>
          <w:szCs w:val="24"/>
        </w:rPr>
        <w:t>Sur l’immixtion dans le contrôle des décisions de l’ordonnateur</w:t>
      </w:r>
    </w:p>
    <w:p w:rsidR="005C3F45" w:rsidRPr="006D33AF" w:rsidRDefault="005C3F45" w:rsidP="005C3F45">
      <w:pPr>
        <w:pStyle w:val="PS"/>
        <w:spacing w:before="120" w:after="120"/>
        <w:rPr>
          <w:rFonts w:ascii="Times New Roman" w:hAnsi="Times New Roman"/>
          <w:szCs w:val="24"/>
        </w:rPr>
      </w:pPr>
      <w:r w:rsidRPr="006D33AF">
        <w:rPr>
          <w:rFonts w:ascii="Times New Roman" w:hAnsi="Times New Roman"/>
          <w:szCs w:val="24"/>
        </w:rPr>
        <w:t>Attendu que</w:t>
      </w:r>
      <w:r w:rsidRPr="002A3A97">
        <w:rPr>
          <w:rFonts w:ascii="Times New Roman" w:hAnsi="Times New Roman"/>
          <w:color w:val="000000"/>
          <w:szCs w:val="24"/>
        </w:rPr>
        <w:t xml:space="preserve"> </w:t>
      </w:r>
      <w:r w:rsidRPr="002A3A97">
        <w:rPr>
          <w:rFonts w:ascii="Times New Roman" w:hAnsi="Times New Roman"/>
        </w:rPr>
        <w:t>le comptable soutient enfin qu’il ne pouvait, sans se faire juge de la légalité des décisions admi</w:t>
      </w:r>
      <w:r>
        <w:rPr>
          <w:rFonts w:ascii="Times New Roman" w:hAnsi="Times New Roman"/>
        </w:rPr>
        <w:t xml:space="preserve">nistratives, sanctionner l’absence de </w:t>
      </w:r>
      <w:r w:rsidRPr="002A3A97">
        <w:rPr>
          <w:rFonts w:ascii="Times New Roman" w:hAnsi="Times New Roman"/>
        </w:rPr>
        <w:t>respect par l’ordonnateur des règles de la commande publique ; qu’</w:t>
      </w:r>
      <w:r>
        <w:rPr>
          <w:rFonts w:ascii="Times New Roman" w:hAnsi="Times New Roman"/>
        </w:rPr>
        <w:t xml:space="preserve">il souligne </w:t>
      </w:r>
      <w:r w:rsidRPr="002A3A97">
        <w:rPr>
          <w:rFonts w:ascii="Times New Roman" w:hAnsi="Times New Roman"/>
        </w:rPr>
        <w:t>que ni le gouvernement de Nouvelle-Calédonie ni l’IDC-NC n’ont « </w:t>
      </w:r>
      <w:r w:rsidRPr="002A3A97">
        <w:rPr>
          <w:rFonts w:ascii="Times New Roman" w:hAnsi="Times New Roman"/>
          <w:i/>
        </w:rPr>
        <w:t>entendu, comme cela a été maintes fois expliqué en conseil d’administration, présenter la dépense en cause sous la forme d’un marché public</w:t>
      </w:r>
      <w:r w:rsidRPr="002A3A97">
        <w:rPr>
          <w:rFonts w:ascii="Times New Roman" w:hAnsi="Times New Roman"/>
        </w:rPr>
        <w:t> » </w:t>
      </w:r>
      <w:r w:rsidRPr="006D33AF">
        <w:rPr>
          <w:rFonts w:ascii="Times New Roman" w:hAnsi="Times New Roman"/>
        </w:rPr>
        <w:t>;</w:t>
      </w:r>
      <w:r w:rsidRPr="006D33AF">
        <w:rPr>
          <w:rFonts w:ascii="Times New Roman" w:hAnsi="Times New Roman"/>
          <w:szCs w:val="24"/>
        </w:rPr>
        <w:t xml:space="preserve"> qu’en conséquence l’appelant demande que le jugement de la chambre territoriale des comptes de Nouvelle-Calédonie soit infirmé ;</w:t>
      </w:r>
    </w:p>
    <w:p w:rsidR="005C3F45" w:rsidRPr="002A3A97" w:rsidRDefault="005C3F45" w:rsidP="005C3F45">
      <w:pPr>
        <w:pStyle w:val="PS"/>
        <w:spacing w:before="120" w:after="120"/>
        <w:rPr>
          <w:rFonts w:ascii="Times New Roman" w:hAnsi="Times New Roman" w:cs="Arial"/>
        </w:rPr>
      </w:pPr>
      <w:r w:rsidRPr="006D33AF">
        <w:rPr>
          <w:rFonts w:ascii="Times New Roman" w:hAnsi="Times New Roman"/>
          <w:szCs w:val="24"/>
        </w:rPr>
        <w:t>Considérant, en premier lieu, que</w:t>
      </w:r>
      <w:r w:rsidRPr="006D33AF">
        <w:rPr>
          <w:rFonts w:ascii="Times New Roman" w:hAnsi="Times New Roman"/>
        </w:rPr>
        <w:t>,</w:t>
      </w:r>
      <w:r w:rsidRPr="002A3A97">
        <w:rPr>
          <w:rFonts w:ascii="Times New Roman" w:hAnsi="Times New Roman"/>
        </w:rPr>
        <w:t xml:space="preserve"> conformément aux dispositions du décret du 29 décembre 1962 susvisé, </w:t>
      </w:r>
      <w:r>
        <w:rPr>
          <w:rFonts w:ascii="Times New Roman" w:hAnsi="Times New Roman"/>
        </w:rPr>
        <w:t xml:space="preserve">en vigueur au moment des faits, </w:t>
      </w:r>
      <w:r w:rsidRPr="002A3A97">
        <w:rPr>
          <w:rFonts w:ascii="Times New Roman" w:hAnsi="Times New Roman"/>
        </w:rPr>
        <w:t>il appartient au</w:t>
      </w:r>
      <w:r>
        <w:rPr>
          <w:rFonts w:ascii="Times New Roman" w:hAnsi="Times New Roman"/>
        </w:rPr>
        <w:t>x</w:t>
      </w:r>
      <w:r w:rsidRPr="002A3A97">
        <w:rPr>
          <w:rFonts w:ascii="Times New Roman" w:hAnsi="Times New Roman"/>
        </w:rPr>
        <w:t xml:space="preserve"> comptable</w:t>
      </w:r>
      <w:r>
        <w:rPr>
          <w:rFonts w:ascii="Times New Roman" w:hAnsi="Times New Roman"/>
        </w:rPr>
        <w:t>s</w:t>
      </w:r>
      <w:r w:rsidRPr="002A3A97">
        <w:rPr>
          <w:rFonts w:ascii="Times New Roman" w:hAnsi="Times New Roman"/>
        </w:rPr>
        <w:t xml:space="preserve"> </w:t>
      </w:r>
      <w:r>
        <w:rPr>
          <w:rFonts w:ascii="Times New Roman" w:hAnsi="Times New Roman"/>
        </w:rPr>
        <w:t xml:space="preserve">publics </w:t>
      </w:r>
      <w:r w:rsidRPr="002A3A97">
        <w:rPr>
          <w:rFonts w:ascii="Times New Roman" w:hAnsi="Times New Roman"/>
        </w:rPr>
        <w:t>d</w:t>
      </w:r>
      <w:r>
        <w:rPr>
          <w:rFonts w:ascii="Times New Roman" w:hAnsi="Times New Roman"/>
        </w:rPr>
        <w:t>’exercer le contrôle de</w:t>
      </w:r>
      <w:r w:rsidRPr="002A3A97">
        <w:rPr>
          <w:rFonts w:ascii="Times New Roman" w:hAnsi="Times New Roman"/>
        </w:rPr>
        <w:t xml:space="preserve"> la validité de la créance ; qu’à ce titre il</w:t>
      </w:r>
      <w:r>
        <w:rPr>
          <w:rFonts w:ascii="Times New Roman" w:hAnsi="Times New Roman"/>
        </w:rPr>
        <w:t>s</w:t>
      </w:r>
      <w:r w:rsidRPr="002A3A97">
        <w:rPr>
          <w:rFonts w:ascii="Times New Roman" w:hAnsi="Times New Roman"/>
          <w:i/>
        </w:rPr>
        <w:t xml:space="preserve"> </w:t>
      </w:r>
      <w:r w:rsidRPr="002A3A97">
        <w:rPr>
          <w:rFonts w:ascii="Times New Roman" w:hAnsi="Times New Roman"/>
        </w:rPr>
        <w:t>doi</w:t>
      </w:r>
      <w:r>
        <w:rPr>
          <w:rFonts w:ascii="Times New Roman" w:hAnsi="Times New Roman"/>
        </w:rPr>
        <w:t>vent notamment exercer leur</w:t>
      </w:r>
      <w:r w:rsidRPr="002A3A97">
        <w:rPr>
          <w:rFonts w:ascii="Times New Roman" w:hAnsi="Times New Roman"/>
        </w:rPr>
        <w:t xml:space="preserve"> contrôle sur la production des justifications ; qu’il leur revient d’apprécier si les pièces fournies présentent un caractère suffisant pour justifier la dépense engagée ; que pour établir ce caractè</w:t>
      </w:r>
      <w:r>
        <w:rPr>
          <w:rFonts w:ascii="Times New Roman" w:hAnsi="Times New Roman"/>
        </w:rPr>
        <w:t>re suffisant, il leur</w:t>
      </w:r>
      <w:r w:rsidRPr="002A3A97">
        <w:rPr>
          <w:rFonts w:ascii="Times New Roman" w:hAnsi="Times New Roman"/>
        </w:rPr>
        <w:t xml:space="preserve"> appartient de vé</w:t>
      </w:r>
      <w:r>
        <w:rPr>
          <w:rFonts w:ascii="Times New Roman" w:hAnsi="Times New Roman"/>
        </w:rPr>
        <w:t>rifier</w:t>
      </w:r>
      <w:r w:rsidRPr="002A3A97">
        <w:rPr>
          <w:rFonts w:ascii="Times New Roman" w:hAnsi="Times New Roman"/>
        </w:rPr>
        <w:t xml:space="preserve"> si l’ensemble des pièces requises au titre de la nomen</w:t>
      </w:r>
      <w:r>
        <w:rPr>
          <w:rFonts w:ascii="Times New Roman" w:hAnsi="Times New Roman"/>
        </w:rPr>
        <w:t>clature comptable applicable leur</w:t>
      </w:r>
      <w:r w:rsidRPr="002A3A97">
        <w:rPr>
          <w:rFonts w:ascii="Times New Roman" w:hAnsi="Times New Roman"/>
        </w:rPr>
        <w:t xml:space="preserve"> ont été</w:t>
      </w:r>
      <w:r>
        <w:rPr>
          <w:rFonts w:ascii="Times New Roman" w:hAnsi="Times New Roman"/>
        </w:rPr>
        <w:t xml:space="preserve"> fournies et</w:t>
      </w:r>
      <w:r w:rsidRPr="002A3A97">
        <w:rPr>
          <w:rFonts w:ascii="Times New Roman" w:hAnsi="Times New Roman"/>
        </w:rPr>
        <w:t xml:space="preserve"> si ces pièces sont, d’une part, complètes et précises, d’autre part, cohérentes au regard de la catégorie de la dépense définie dans la nomenclature applicable et de la nature et de l’objet de la dépense telle qu’elle a été ordonnancée ; que, sans se faire juge de la légalité, ce contrôle peut conduire le</w:t>
      </w:r>
      <w:r>
        <w:rPr>
          <w:rFonts w:ascii="Times New Roman" w:hAnsi="Times New Roman"/>
        </w:rPr>
        <w:t>s</w:t>
      </w:r>
      <w:r w:rsidRPr="002A3A97">
        <w:rPr>
          <w:rFonts w:ascii="Times New Roman" w:hAnsi="Times New Roman"/>
        </w:rPr>
        <w:t xml:space="preserve"> comptable</w:t>
      </w:r>
      <w:r>
        <w:rPr>
          <w:rFonts w:ascii="Times New Roman" w:hAnsi="Times New Roman"/>
        </w:rPr>
        <w:t>s</w:t>
      </w:r>
      <w:r w:rsidRPr="002A3A97">
        <w:rPr>
          <w:rFonts w:ascii="Times New Roman" w:hAnsi="Times New Roman"/>
        </w:rPr>
        <w:t xml:space="preserve"> à porter une appréciation juridique sur les actes administratifs à l’origine de la créance et qu’</w:t>
      </w:r>
      <w:r>
        <w:rPr>
          <w:rFonts w:ascii="Times New Roman" w:hAnsi="Times New Roman"/>
        </w:rPr>
        <w:t>il leur</w:t>
      </w:r>
      <w:r w:rsidRPr="002A3A97">
        <w:rPr>
          <w:rFonts w:ascii="Times New Roman" w:hAnsi="Times New Roman"/>
        </w:rPr>
        <w:t xml:space="preserve"> appartient alors d’en donner une interprétation conforme à la réglementation en vigueur ; qu’enfin</w:t>
      </w:r>
      <w:r>
        <w:rPr>
          <w:rFonts w:ascii="Times New Roman" w:hAnsi="Times New Roman"/>
        </w:rPr>
        <w:t>,</w:t>
      </w:r>
      <w:r w:rsidRPr="002A3A97">
        <w:rPr>
          <w:rFonts w:ascii="Times New Roman" w:hAnsi="Times New Roman"/>
        </w:rPr>
        <w:t xml:space="preserve"> lorsque les pièces justificatives fournies sont insuffisantes pour établir la validité de la créance, il appartient au</w:t>
      </w:r>
      <w:r>
        <w:rPr>
          <w:rFonts w:ascii="Times New Roman" w:hAnsi="Times New Roman"/>
        </w:rPr>
        <w:t>x</w:t>
      </w:r>
      <w:r w:rsidRPr="002A3A97">
        <w:rPr>
          <w:rFonts w:ascii="Times New Roman" w:hAnsi="Times New Roman"/>
        </w:rPr>
        <w:t xml:space="preserve"> comptable</w:t>
      </w:r>
      <w:r>
        <w:rPr>
          <w:rFonts w:ascii="Times New Roman" w:hAnsi="Times New Roman"/>
        </w:rPr>
        <w:t>s</w:t>
      </w:r>
      <w:r w:rsidRPr="002A3A97">
        <w:rPr>
          <w:rFonts w:ascii="Times New Roman" w:hAnsi="Times New Roman"/>
        </w:rPr>
        <w:t xml:space="preserve"> de suspendre le paiement jusqu’à ce que l’ordonnateur leur ait produit les justifications nécessaires</w:t>
      </w:r>
      <w:r w:rsidRPr="002A3A97">
        <w:rPr>
          <w:rFonts w:ascii="Times New Roman" w:hAnsi="Times New Roman" w:cs="Arial"/>
        </w:rPr>
        <w:t> ; </w:t>
      </w:r>
    </w:p>
    <w:p w:rsidR="005C3F45" w:rsidRPr="001021F6" w:rsidRDefault="005C3F45" w:rsidP="005C3F45">
      <w:pPr>
        <w:pStyle w:val="PS"/>
        <w:spacing w:before="120" w:after="120"/>
        <w:rPr>
          <w:rFonts w:ascii="Times New Roman" w:hAnsi="Times New Roman"/>
        </w:rPr>
      </w:pPr>
      <w:r w:rsidRPr="001021F6">
        <w:rPr>
          <w:rFonts w:ascii="Times New Roman" w:hAnsi="Times New Roman"/>
        </w:rPr>
        <w:t>Considérant, en second lieu, qu’au regard des dispositions de la délibé</w:t>
      </w:r>
      <w:r>
        <w:rPr>
          <w:rFonts w:ascii="Times New Roman" w:hAnsi="Times New Roman"/>
        </w:rPr>
        <w:t>ration n°</w:t>
      </w:r>
      <w:r w:rsidR="0093348E">
        <w:rPr>
          <w:rFonts w:ascii="Times New Roman" w:hAnsi="Times New Roman"/>
        </w:rPr>
        <w:t> </w:t>
      </w:r>
      <w:r w:rsidRPr="001021F6">
        <w:rPr>
          <w:rFonts w:ascii="Times New Roman" w:hAnsi="Times New Roman"/>
        </w:rPr>
        <w:t>136/CP susvisée, le comptable ne pouvait ignorer que « </w:t>
      </w:r>
      <w:r w:rsidRPr="001021F6">
        <w:rPr>
          <w:rFonts w:ascii="Times New Roman" w:hAnsi="Times New Roman"/>
          <w:i/>
        </w:rPr>
        <w:t>toute dépense publique se rapportant à un objet unique (…) doit donner lieu à un marché soumis aux règles fixées ci-après (…) dès lors que son montant excède 8 000</w:t>
      </w:r>
      <w:r w:rsidR="0093348E">
        <w:rPr>
          <w:rFonts w:ascii="Times New Roman" w:hAnsi="Times New Roman"/>
          <w:i/>
        </w:rPr>
        <w:t> </w:t>
      </w:r>
      <w:r w:rsidRPr="001021F6">
        <w:rPr>
          <w:rFonts w:ascii="Times New Roman" w:hAnsi="Times New Roman"/>
          <w:i/>
        </w:rPr>
        <w:t>000</w:t>
      </w:r>
      <w:r w:rsidR="0093348E">
        <w:rPr>
          <w:rFonts w:ascii="Times New Roman" w:hAnsi="Times New Roman"/>
          <w:i/>
        </w:rPr>
        <w:t> </w:t>
      </w:r>
      <w:r w:rsidRPr="001021F6">
        <w:rPr>
          <w:rFonts w:ascii="Times New Roman" w:hAnsi="Times New Roman"/>
          <w:i/>
        </w:rPr>
        <w:t>F</w:t>
      </w:r>
      <w:r w:rsidR="0093348E">
        <w:rPr>
          <w:rFonts w:ascii="Times New Roman" w:hAnsi="Times New Roman"/>
          <w:i/>
        </w:rPr>
        <w:t> </w:t>
      </w:r>
      <w:r w:rsidRPr="001021F6">
        <w:rPr>
          <w:rFonts w:ascii="Times New Roman" w:hAnsi="Times New Roman"/>
          <w:i/>
        </w:rPr>
        <w:t>CFP </w:t>
      </w:r>
      <w:r w:rsidRPr="001021F6">
        <w:rPr>
          <w:rFonts w:ascii="Times New Roman" w:hAnsi="Times New Roman"/>
        </w:rPr>
        <w:t>» ; qu’en l’espèce la nature de la dépense, qui consiste en l’exécution d’une prestation de service au profit de l’IDC</w:t>
      </w:r>
      <w:r>
        <w:rPr>
          <w:rFonts w:ascii="Times New Roman" w:hAnsi="Times New Roman"/>
        </w:rPr>
        <w:t>-</w:t>
      </w:r>
      <w:r w:rsidRPr="001021F6">
        <w:rPr>
          <w:rFonts w:ascii="Times New Roman" w:hAnsi="Times New Roman"/>
        </w:rPr>
        <w:t>NC, dès lors qu’elle n’est pas effectuée par une collectivité publique de Nouvelle-Calédonie ou par un organisme soumis à son contrôle et que son montant dépasse le seuil de 8 000 000 F</w:t>
      </w:r>
      <w:r w:rsidR="00321164">
        <w:rPr>
          <w:rFonts w:ascii="Times New Roman" w:hAnsi="Times New Roman"/>
        </w:rPr>
        <w:t> </w:t>
      </w:r>
      <w:r w:rsidRPr="001021F6">
        <w:rPr>
          <w:rFonts w:ascii="Times New Roman" w:hAnsi="Times New Roman"/>
        </w:rPr>
        <w:t>CFP, constitue un marché public ; qu’au surplus il ressort de l’instruction que la nature de la dépense ne faisa</w:t>
      </w:r>
      <w:r>
        <w:rPr>
          <w:rFonts w:ascii="Times New Roman" w:hAnsi="Times New Roman"/>
        </w:rPr>
        <w:t>it aucun doute pour le requérant</w:t>
      </w:r>
      <w:r w:rsidRPr="001021F6">
        <w:rPr>
          <w:rFonts w:ascii="Times New Roman" w:hAnsi="Times New Roman"/>
        </w:rPr>
        <w:t xml:space="preserve"> qui </w:t>
      </w:r>
      <w:r>
        <w:rPr>
          <w:rFonts w:ascii="Times New Roman" w:hAnsi="Times New Roman"/>
        </w:rPr>
        <w:t xml:space="preserve">a </w:t>
      </w:r>
      <w:r w:rsidRPr="001021F6">
        <w:rPr>
          <w:rFonts w:ascii="Times New Roman" w:hAnsi="Times New Roman"/>
        </w:rPr>
        <w:t>é</w:t>
      </w:r>
      <w:r>
        <w:rPr>
          <w:rFonts w:ascii="Times New Roman" w:hAnsi="Times New Roman"/>
        </w:rPr>
        <w:t>voqué</w:t>
      </w:r>
      <w:r w:rsidRPr="001021F6">
        <w:rPr>
          <w:rFonts w:ascii="Times New Roman" w:hAnsi="Times New Roman"/>
        </w:rPr>
        <w:t xml:space="preserve"> à plusieurs reprises</w:t>
      </w:r>
      <w:r>
        <w:rPr>
          <w:rFonts w:ascii="Times New Roman" w:hAnsi="Times New Roman"/>
        </w:rPr>
        <w:t>,</w:t>
      </w:r>
      <w:r w:rsidRPr="001021F6">
        <w:rPr>
          <w:rFonts w:ascii="Times New Roman" w:hAnsi="Times New Roman"/>
        </w:rPr>
        <w:t xml:space="preserve"> </w:t>
      </w:r>
      <w:r>
        <w:rPr>
          <w:rFonts w:ascii="Times New Roman" w:hAnsi="Times New Roman"/>
        </w:rPr>
        <w:t>devant la</w:t>
      </w:r>
      <w:r w:rsidR="00321164">
        <w:rPr>
          <w:rFonts w:ascii="Times New Roman" w:hAnsi="Times New Roman"/>
        </w:rPr>
        <w:t xml:space="preserve"> </w:t>
      </w:r>
      <w:r>
        <w:rPr>
          <w:rFonts w:ascii="Times New Roman" w:hAnsi="Times New Roman"/>
        </w:rPr>
        <w:t xml:space="preserve">CTC de Nouvelle-Calédonie, </w:t>
      </w:r>
      <w:r w:rsidRPr="001021F6">
        <w:rPr>
          <w:rFonts w:ascii="Times New Roman" w:hAnsi="Times New Roman"/>
        </w:rPr>
        <w:t>ses demandes de régularisation auprès de l’ordonnateur afin qu’il ait recours</w:t>
      </w:r>
      <w:r>
        <w:rPr>
          <w:rFonts w:ascii="Times New Roman" w:hAnsi="Times New Roman"/>
        </w:rPr>
        <w:t>, conformément à la réglementation,</w:t>
      </w:r>
      <w:r w:rsidRPr="001021F6">
        <w:rPr>
          <w:rFonts w:ascii="Times New Roman" w:hAnsi="Times New Roman"/>
        </w:rPr>
        <w:t xml:space="preserve"> à la procédure des marchés publics ;</w:t>
      </w:r>
    </w:p>
    <w:p w:rsidR="005C3F45" w:rsidRPr="001021F6" w:rsidRDefault="005C3F45" w:rsidP="005C3F45">
      <w:pPr>
        <w:pStyle w:val="PS"/>
        <w:spacing w:before="120" w:after="120"/>
        <w:rPr>
          <w:rFonts w:ascii="Times New Roman" w:hAnsi="Times New Roman"/>
          <w:color w:val="000000"/>
          <w:szCs w:val="24"/>
        </w:rPr>
      </w:pPr>
      <w:r w:rsidRPr="001021F6">
        <w:rPr>
          <w:rFonts w:ascii="Times New Roman" w:hAnsi="Times New Roman"/>
        </w:rPr>
        <w:t xml:space="preserve">Considérant qu’il résulte de l’ensemble des éléments ainsi rappelés que le moyen du requérant manque en fait et en droit et qu’il doit être écarté ; qu’en conséquence c’est à bon droit que la chambre territoriale des comptes de Nouvelle-Calédonie a constitué M. </w:t>
      </w:r>
      <w:r w:rsidR="0089218F">
        <w:rPr>
          <w:rFonts w:ascii="Times New Roman" w:hAnsi="Times New Roman"/>
        </w:rPr>
        <w:t>X</w:t>
      </w:r>
      <w:r w:rsidRPr="001021F6">
        <w:rPr>
          <w:rFonts w:ascii="Times New Roman" w:hAnsi="Times New Roman"/>
        </w:rPr>
        <w:t xml:space="preserve"> débiteur</w:t>
      </w:r>
      <w:r w:rsidR="00321164">
        <w:rPr>
          <w:rFonts w:ascii="Times New Roman" w:hAnsi="Times New Roman"/>
        </w:rPr>
        <w:t xml:space="preserve"> </w:t>
      </w:r>
      <w:r w:rsidR="00693320" w:rsidRPr="006D33AF">
        <w:rPr>
          <w:rFonts w:ascii="Times New Roman" w:hAnsi="Times New Roman"/>
        </w:rPr>
        <w:t>de l’Institut pour le développement des compétences en Nouvelle-Calédonie</w:t>
      </w:r>
      <w:r w:rsidR="00321164">
        <w:rPr>
          <w:rFonts w:ascii="Times New Roman" w:hAnsi="Times New Roman"/>
        </w:rPr>
        <w:t> ;</w:t>
      </w:r>
    </w:p>
    <w:p w:rsidR="005C3F45" w:rsidRPr="001021F6" w:rsidRDefault="005C3F45" w:rsidP="00DF56C8">
      <w:pPr>
        <w:autoSpaceDE w:val="0"/>
        <w:autoSpaceDN w:val="0"/>
        <w:adjustRightInd w:val="0"/>
        <w:spacing w:before="120"/>
        <w:ind w:firstLine="2835"/>
        <w:jc w:val="both"/>
        <w:rPr>
          <w:sz w:val="24"/>
          <w:szCs w:val="24"/>
        </w:rPr>
      </w:pPr>
      <w:r w:rsidRPr="001021F6">
        <w:rPr>
          <w:sz w:val="24"/>
          <w:szCs w:val="24"/>
        </w:rPr>
        <w:t xml:space="preserve">Par ces motifs, </w:t>
      </w:r>
    </w:p>
    <w:p w:rsidR="005C3F45" w:rsidRPr="001021F6" w:rsidRDefault="005C3F45" w:rsidP="00DF56C8">
      <w:pPr>
        <w:pStyle w:val="PS"/>
        <w:spacing w:before="240" w:after="360"/>
        <w:ind w:left="0" w:firstLine="1701"/>
        <w:jc w:val="center"/>
        <w:rPr>
          <w:rFonts w:ascii="Times New Roman" w:hAnsi="Times New Roman"/>
          <w:b/>
        </w:rPr>
      </w:pPr>
      <w:r w:rsidRPr="001021F6">
        <w:rPr>
          <w:rFonts w:ascii="Times New Roman" w:hAnsi="Times New Roman"/>
          <w:b/>
        </w:rPr>
        <w:t>D</w:t>
      </w:r>
      <w:r w:rsidR="00321164" w:rsidRPr="00321164">
        <w:rPr>
          <w:rFonts w:ascii="Times New Roman Gras" w:hAnsi="Times New Roman Gras"/>
          <w:b/>
          <w:caps/>
        </w:rPr>
        <w:t>é</w:t>
      </w:r>
      <w:r w:rsidRPr="001021F6">
        <w:rPr>
          <w:rFonts w:ascii="Times New Roman" w:hAnsi="Times New Roman"/>
          <w:b/>
        </w:rPr>
        <w:t>CIDE :</w:t>
      </w:r>
    </w:p>
    <w:p w:rsidR="005C3F45" w:rsidRPr="001021F6" w:rsidRDefault="005C3F45" w:rsidP="006066DA">
      <w:pPr>
        <w:pStyle w:val="PS"/>
        <w:spacing w:after="360"/>
        <w:ind w:left="0" w:firstLine="2835"/>
        <w:rPr>
          <w:rFonts w:ascii="Times New Roman" w:hAnsi="Times New Roman"/>
        </w:rPr>
      </w:pPr>
      <w:r w:rsidRPr="001021F6">
        <w:rPr>
          <w:rFonts w:ascii="Times New Roman" w:hAnsi="Times New Roman"/>
        </w:rPr>
        <w:t>Article unique - La requête de M.</w:t>
      </w:r>
      <w:r w:rsidR="00F75731">
        <w:rPr>
          <w:rFonts w:ascii="Times New Roman" w:hAnsi="Times New Roman"/>
        </w:rPr>
        <w:t> </w:t>
      </w:r>
      <w:r w:rsidR="0089218F">
        <w:rPr>
          <w:rFonts w:ascii="Times New Roman" w:hAnsi="Times New Roman"/>
        </w:rPr>
        <w:t>X</w:t>
      </w:r>
      <w:r w:rsidRPr="001021F6">
        <w:rPr>
          <w:rFonts w:ascii="Times New Roman" w:hAnsi="Times New Roman"/>
        </w:rPr>
        <w:t xml:space="preserve"> est rejetée.</w:t>
      </w:r>
    </w:p>
    <w:p w:rsidR="005C3F45" w:rsidRPr="001021F6" w:rsidRDefault="005C3F45" w:rsidP="00DF56C8">
      <w:pPr>
        <w:pStyle w:val="PS"/>
        <w:spacing w:after="240"/>
        <w:ind w:firstLine="0"/>
        <w:jc w:val="center"/>
        <w:rPr>
          <w:rFonts w:ascii="Times New Roman" w:hAnsi="Times New Roman"/>
          <w:szCs w:val="24"/>
        </w:rPr>
      </w:pPr>
      <w:r w:rsidRPr="001021F6">
        <w:rPr>
          <w:rFonts w:ascii="Times New Roman" w:hAnsi="Times New Roman"/>
          <w:szCs w:val="24"/>
        </w:rPr>
        <w:t>------------</w:t>
      </w:r>
    </w:p>
    <w:p w:rsidR="005C3F45" w:rsidRDefault="005C3F45" w:rsidP="00DF56C8">
      <w:pPr>
        <w:pStyle w:val="PS"/>
        <w:spacing w:after="320"/>
        <w:rPr>
          <w:rFonts w:ascii="Times New Roman" w:hAnsi="Times New Roman"/>
        </w:rPr>
      </w:pPr>
      <w:r w:rsidRPr="001021F6">
        <w:rPr>
          <w:rFonts w:ascii="Times New Roman" w:hAnsi="Times New Roman"/>
        </w:rPr>
        <w:t>Fait et jugé en la Cour des comptes, quatrième chambre, première section. Présents</w:t>
      </w:r>
      <w:r w:rsidR="00386E63">
        <w:rPr>
          <w:rFonts w:ascii="Times New Roman" w:hAnsi="Times New Roman"/>
        </w:rPr>
        <w:t> :</w:t>
      </w:r>
      <w:r w:rsidRPr="001021F6">
        <w:rPr>
          <w:rFonts w:ascii="Times New Roman" w:hAnsi="Times New Roman"/>
        </w:rPr>
        <w:t xml:space="preserve"> </w:t>
      </w:r>
      <w:r w:rsidR="006D33AF">
        <w:rPr>
          <w:rFonts w:ascii="Times New Roman" w:hAnsi="Times New Roman"/>
        </w:rPr>
        <w:t>MM.</w:t>
      </w:r>
      <w:r w:rsidR="00F75731">
        <w:rPr>
          <w:rFonts w:ascii="Times New Roman" w:hAnsi="Times New Roman"/>
        </w:rPr>
        <w:t> </w:t>
      </w:r>
      <w:r w:rsidR="006D33AF">
        <w:rPr>
          <w:rFonts w:ascii="Times New Roman" w:hAnsi="Times New Roman"/>
        </w:rPr>
        <w:t xml:space="preserve">Bayle, président, Maistre, président de section, </w:t>
      </w:r>
      <w:proofErr w:type="spellStart"/>
      <w:r w:rsidR="006D33AF">
        <w:rPr>
          <w:rFonts w:ascii="Times New Roman" w:hAnsi="Times New Roman"/>
        </w:rPr>
        <w:t>Lafaure</w:t>
      </w:r>
      <w:proofErr w:type="spellEnd"/>
      <w:r w:rsidR="006D33AF">
        <w:rPr>
          <w:rFonts w:ascii="Times New Roman" w:hAnsi="Times New Roman"/>
        </w:rPr>
        <w:t>, Vermeulen, Vachia, M</w:t>
      </w:r>
      <w:r w:rsidR="006D33AF" w:rsidRPr="00321164">
        <w:rPr>
          <w:rFonts w:ascii="Times New Roman" w:hAnsi="Times New Roman"/>
          <w:vertAlign w:val="superscript"/>
        </w:rPr>
        <w:t>me</w:t>
      </w:r>
      <w:r w:rsidR="006D33AF">
        <w:rPr>
          <w:rFonts w:ascii="Times New Roman" w:hAnsi="Times New Roman"/>
        </w:rPr>
        <w:t xml:space="preserve"> </w:t>
      </w:r>
      <w:proofErr w:type="spellStart"/>
      <w:r w:rsidR="006D33AF">
        <w:rPr>
          <w:rFonts w:ascii="Times New Roman" w:hAnsi="Times New Roman"/>
        </w:rPr>
        <w:t>Gadriot</w:t>
      </w:r>
      <w:proofErr w:type="spellEnd"/>
      <w:r w:rsidR="006D33AF">
        <w:rPr>
          <w:rFonts w:ascii="Times New Roman" w:hAnsi="Times New Roman"/>
        </w:rPr>
        <w:t>-Renard, MM. Rousselot et Geoffroy, con</w:t>
      </w:r>
      <w:r w:rsidRPr="001021F6">
        <w:rPr>
          <w:rFonts w:ascii="Times New Roman" w:hAnsi="Times New Roman"/>
        </w:rPr>
        <w:t>seillers maîtres.</w:t>
      </w:r>
    </w:p>
    <w:p w:rsidR="001424CD" w:rsidRPr="00636BC8" w:rsidRDefault="0039601F" w:rsidP="00DF56C8">
      <w:pPr>
        <w:pStyle w:val="ps0"/>
        <w:spacing w:before="0" w:beforeAutospacing="0" w:after="320" w:afterAutospacing="0"/>
        <w:ind w:left="1701" w:firstLine="1134"/>
      </w:pPr>
      <w:r>
        <w:t xml:space="preserve">Signé : Bayle, président, </w:t>
      </w:r>
      <w:r w:rsidR="001424CD" w:rsidRPr="00636BC8">
        <w:t xml:space="preserve">et </w:t>
      </w:r>
      <w:r w:rsidR="00386E63">
        <w:t>Le Baron</w:t>
      </w:r>
      <w:r w:rsidR="001424CD" w:rsidRPr="00636BC8">
        <w:t>, greffier.</w:t>
      </w:r>
    </w:p>
    <w:p w:rsidR="001424CD" w:rsidRPr="00636BC8" w:rsidRDefault="001424CD" w:rsidP="00DF56C8">
      <w:pPr>
        <w:pStyle w:val="PS"/>
        <w:spacing w:after="120"/>
      </w:pPr>
      <w:r w:rsidRPr="00636BC8">
        <w:t>Collationné, certifié conforme à la minute étant au greffe de la Cour des comptes et délivré par moi, secrétaire général.</w:t>
      </w:r>
    </w:p>
    <w:p w:rsidR="001424CD" w:rsidRPr="00636BC8" w:rsidRDefault="001424CD" w:rsidP="00DF56C8">
      <w:pPr>
        <w:pStyle w:val="P0"/>
        <w:spacing w:before="240"/>
        <w:ind w:firstLine="3686"/>
        <w:jc w:val="center"/>
        <w:rPr>
          <w:b/>
        </w:rPr>
      </w:pPr>
      <w:r w:rsidRPr="00636BC8">
        <w:rPr>
          <w:b/>
        </w:rPr>
        <w:t>Pour le Secrétaire général</w:t>
      </w:r>
    </w:p>
    <w:p w:rsidR="001424CD" w:rsidRPr="00636BC8" w:rsidRDefault="001424CD" w:rsidP="00DF56C8">
      <w:pPr>
        <w:pStyle w:val="P0"/>
        <w:ind w:firstLine="3686"/>
        <w:jc w:val="center"/>
        <w:rPr>
          <w:b/>
        </w:rPr>
      </w:pPr>
      <w:proofErr w:type="gramStart"/>
      <w:r w:rsidRPr="00636BC8">
        <w:rPr>
          <w:b/>
        </w:rPr>
        <w:t>et</w:t>
      </w:r>
      <w:proofErr w:type="gramEnd"/>
      <w:r w:rsidRPr="00636BC8">
        <w:rPr>
          <w:b/>
        </w:rPr>
        <w:t xml:space="preserve"> par délégation,</w:t>
      </w:r>
    </w:p>
    <w:p w:rsidR="001424CD" w:rsidRPr="00636BC8" w:rsidRDefault="001424CD" w:rsidP="00DF56C8">
      <w:pPr>
        <w:pStyle w:val="P0"/>
        <w:spacing w:after="240"/>
        <w:ind w:firstLine="3686"/>
        <w:jc w:val="center"/>
        <w:rPr>
          <w:b/>
        </w:rPr>
      </w:pPr>
      <w:proofErr w:type="gramStart"/>
      <w:r w:rsidRPr="00636BC8">
        <w:rPr>
          <w:b/>
        </w:rPr>
        <w:t>le</w:t>
      </w:r>
      <w:proofErr w:type="gramEnd"/>
      <w:r w:rsidRPr="00636BC8">
        <w:rPr>
          <w:b/>
        </w:rPr>
        <w:t xml:space="preserve"> </w:t>
      </w:r>
      <w:r w:rsidR="007A50D7">
        <w:rPr>
          <w:b/>
        </w:rPr>
        <w:t>C</w:t>
      </w:r>
      <w:r w:rsidRPr="00636BC8">
        <w:rPr>
          <w:b/>
        </w:rPr>
        <w:t>hef du greffe contentieux</w:t>
      </w:r>
    </w:p>
    <w:p w:rsidR="00DF56C8" w:rsidRDefault="00DF56C8" w:rsidP="00DF56C8">
      <w:pPr>
        <w:pStyle w:val="P0"/>
        <w:ind w:firstLine="3686"/>
        <w:jc w:val="center"/>
        <w:rPr>
          <w:b/>
        </w:rPr>
      </w:pPr>
    </w:p>
    <w:p w:rsidR="0039601F" w:rsidRDefault="0039601F" w:rsidP="00DF56C8">
      <w:pPr>
        <w:pStyle w:val="P0"/>
        <w:ind w:firstLine="3686"/>
        <w:jc w:val="center"/>
        <w:rPr>
          <w:b/>
        </w:rPr>
      </w:pPr>
    </w:p>
    <w:p w:rsidR="00DF56C8" w:rsidRDefault="00DF56C8" w:rsidP="00DF56C8">
      <w:pPr>
        <w:pStyle w:val="P0"/>
        <w:ind w:firstLine="3686"/>
        <w:jc w:val="center"/>
        <w:rPr>
          <w:b/>
        </w:rPr>
      </w:pPr>
    </w:p>
    <w:p w:rsidR="00DF56C8" w:rsidRPr="00636BC8" w:rsidRDefault="00DF56C8" w:rsidP="00DF56C8">
      <w:pPr>
        <w:pStyle w:val="P0"/>
        <w:ind w:firstLine="3686"/>
        <w:jc w:val="center"/>
        <w:rPr>
          <w:b/>
        </w:rPr>
      </w:pPr>
    </w:p>
    <w:p w:rsidR="00DF56C8" w:rsidRPr="00636BC8" w:rsidRDefault="00DF56C8" w:rsidP="00DF56C8">
      <w:pPr>
        <w:pStyle w:val="P0"/>
        <w:ind w:firstLine="3686"/>
        <w:jc w:val="center"/>
        <w:rPr>
          <w:b/>
        </w:rPr>
      </w:pPr>
    </w:p>
    <w:p w:rsidR="001424CD" w:rsidRPr="00636BC8" w:rsidRDefault="001424CD" w:rsidP="0066189D">
      <w:pPr>
        <w:pStyle w:val="P0"/>
        <w:ind w:firstLine="4111"/>
        <w:jc w:val="center"/>
        <w:rPr>
          <w:b/>
        </w:rPr>
      </w:pPr>
      <w:r w:rsidRPr="00636BC8">
        <w:rPr>
          <w:b/>
        </w:rPr>
        <w:t>Daniel FEREZ</w:t>
      </w:r>
    </w:p>
    <w:p w:rsidR="00F75731" w:rsidRDefault="00F75731" w:rsidP="00DF56C8">
      <w:pPr>
        <w:pStyle w:val="PS"/>
        <w:ind w:firstLine="3402"/>
        <w:rPr>
          <w:rFonts w:ascii="Times New Roman" w:hAnsi="Times New Roman"/>
        </w:rPr>
      </w:pPr>
    </w:p>
    <w:sectPr w:rsidR="00F75731" w:rsidSect="005C3F45">
      <w:headerReference w:type="default" r:id="rId9"/>
      <w:footerReference w:type="even" r:id="rId10"/>
      <w:footerReference w:type="default" r:id="rId11"/>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436" w:rsidRDefault="00954436">
      <w:r>
        <w:separator/>
      </w:r>
    </w:p>
  </w:endnote>
  <w:endnote w:type="continuationSeparator" w:id="0">
    <w:p w:rsidR="00954436" w:rsidRDefault="0095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Times New Roman"/>
    <w:charset w:val="00"/>
    <w:family w:val="roman"/>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F45" w:rsidRDefault="005C3F45" w:rsidP="005C3F45">
    <w:pPr>
      <w:pStyle w:val="Pieddepage"/>
      <w:framePr w:wrap="around" w:vAnchor="text" w:hAnchor="margin" w:xAlign="right" w:y="1"/>
      <w:rPr>
        <w:rStyle w:val="Numrodepage"/>
      </w:rPr>
    </w:pPr>
    <w:r>
      <w:rPr>
        <w:rStyle w:val="Numrodepage"/>
      </w:rPr>
      <w:fldChar w:fldCharType="begin"/>
    </w:r>
    <w:r w:rsidR="000659FE">
      <w:rPr>
        <w:rStyle w:val="Numrodepage"/>
      </w:rPr>
      <w:instrText>PAGE</w:instrText>
    </w:r>
    <w:r>
      <w:rPr>
        <w:rStyle w:val="Numrodepage"/>
      </w:rPr>
      <w:instrText xml:space="preserve">  </w:instrText>
    </w:r>
    <w:r>
      <w:rPr>
        <w:rStyle w:val="Numrodepage"/>
      </w:rPr>
      <w:fldChar w:fldCharType="end"/>
    </w:r>
  </w:p>
  <w:p w:rsidR="005C3F45" w:rsidRDefault="005C3F45" w:rsidP="005C3F4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84C" w:rsidRDefault="00E7084C">
    <w:pPr>
      <w:pStyle w:val="Pieddepage"/>
    </w:pPr>
  </w:p>
  <w:p w:rsidR="005C3F45" w:rsidRDefault="005C3F45" w:rsidP="005C3F45">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436" w:rsidRDefault="00954436">
      <w:r>
        <w:separator/>
      </w:r>
    </w:p>
  </w:footnote>
  <w:footnote w:type="continuationSeparator" w:id="0">
    <w:p w:rsidR="00954436" w:rsidRDefault="00954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84C" w:rsidRDefault="00E7084C">
    <w:pPr>
      <w:pStyle w:val="En-tte"/>
      <w:jc w:val="right"/>
    </w:pPr>
    <w:r>
      <w:fldChar w:fldCharType="begin"/>
    </w:r>
    <w:r>
      <w:instrText>PAGE   \* MERGEFORMAT</w:instrText>
    </w:r>
    <w:r>
      <w:fldChar w:fldCharType="separate"/>
    </w:r>
    <w:r w:rsidR="00331EF7">
      <w:rPr>
        <w:noProof/>
      </w:rPr>
      <w:t>5</w:t>
    </w:r>
    <w:r>
      <w:fldChar w:fldCharType="end"/>
    </w:r>
  </w:p>
  <w:p w:rsidR="005C3F45" w:rsidRDefault="005C3F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C8AC7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EA34DB"/>
    <w:multiLevelType w:val="multilevel"/>
    <w:tmpl w:val="42841896"/>
    <w:lvl w:ilvl="0">
      <w:start w:val="1"/>
      <w:numFmt w:val="decimal"/>
      <w:lvlText w:val="%1."/>
      <w:lvlJc w:val="left"/>
      <w:pPr>
        <w:tabs>
          <w:tab w:val="num" w:pos="1069"/>
        </w:tabs>
        <w:ind w:left="1069" w:hanging="360"/>
      </w:pPr>
      <w:rPr>
        <w:rFonts w:hint="default"/>
        <w:b/>
      </w:rPr>
    </w:lvl>
    <w:lvl w:ilvl="1">
      <w:start w:val="1"/>
      <w:numFmt w:val="decimal"/>
      <w:isLgl/>
      <w:lvlText w:val="%1.%2"/>
      <w:lvlJc w:val="left"/>
      <w:pPr>
        <w:tabs>
          <w:tab w:val="num" w:pos="1414"/>
        </w:tabs>
        <w:ind w:left="1414" w:hanging="705"/>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
    <w:nsid w:val="27745493"/>
    <w:multiLevelType w:val="hybridMultilevel"/>
    <w:tmpl w:val="C6E0F778"/>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Symbol"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Symbol"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Symbol"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
    <w:nsid w:val="351B1321"/>
    <w:multiLevelType w:val="hybridMultilevel"/>
    <w:tmpl w:val="381AA09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Symbol"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Symbol"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Symbol"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5">
    <w:nsid w:val="39DE2F4F"/>
    <w:multiLevelType w:val="hybridMultilevel"/>
    <w:tmpl w:val="4050B82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Symbol"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Symbol"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Symbol"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6">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4FF3C3F"/>
    <w:multiLevelType w:val="hybridMultilevel"/>
    <w:tmpl w:val="E90E522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E565F5F"/>
    <w:multiLevelType w:val="hybridMultilevel"/>
    <w:tmpl w:val="1AB84E12"/>
    <w:lvl w:ilvl="0" w:tplc="74D8DCC4">
      <w:start w:val="16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nsid w:val="6CD75533"/>
    <w:multiLevelType w:val="hybridMultilevel"/>
    <w:tmpl w:val="BD3899CA"/>
    <w:lvl w:ilvl="0" w:tplc="8F1214CE">
      <w:start w:val="18"/>
      <w:numFmt w:val="bullet"/>
      <w:lvlText w:val="-"/>
      <w:lvlJc w:val="left"/>
      <w:pPr>
        <w:tabs>
          <w:tab w:val="num" w:pos="1428"/>
        </w:tabs>
        <w:ind w:left="1428" w:hanging="360"/>
      </w:pPr>
      <w:rPr>
        <w:rFonts w:ascii="Times New Roman" w:eastAsia="Times New Roman" w:hAnsi="Times New Roman" w:cs="Times New Roman" w:hint="default"/>
      </w:rPr>
    </w:lvl>
    <w:lvl w:ilvl="1" w:tplc="040C0003" w:tentative="1">
      <w:start w:val="1"/>
      <w:numFmt w:val="bullet"/>
      <w:lvlText w:val="o"/>
      <w:lvlJc w:val="left"/>
      <w:pPr>
        <w:tabs>
          <w:tab w:val="num" w:pos="2148"/>
        </w:tabs>
        <w:ind w:left="2148" w:hanging="360"/>
      </w:pPr>
      <w:rPr>
        <w:rFonts w:ascii="Courier New" w:hAnsi="Courier New" w:cs="Symbol"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Symbol"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Symbol"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2">
    <w:nsid w:val="7BA110EC"/>
    <w:multiLevelType w:val="hybridMultilevel"/>
    <w:tmpl w:val="B532B32C"/>
    <w:lvl w:ilvl="0" w:tplc="74D8DCC4">
      <w:start w:val="161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 w:numId="8">
    <w:abstractNumId w:val="11"/>
  </w:num>
  <w:num w:numId="9">
    <w:abstractNumId w:val="5"/>
  </w:num>
  <w:num w:numId="10">
    <w:abstractNumId w:val="7"/>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16375"/>
    <w:rsid w:val="000537B2"/>
    <w:rsid w:val="000659FE"/>
    <w:rsid w:val="00082E07"/>
    <w:rsid w:val="000C0E6F"/>
    <w:rsid w:val="000E1FC0"/>
    <w:rsid w:val="0010766B"/>
    <w:rsid w:val="001157C6"/>
    <w:rsid w:val="001424CD"/>
    <w:rsid w:val="00175126"/>
    <w:rsid w:val="001946A1"/>
    <w:rsid w:val="002A027B"/>
    <w:rsid w:val="002F414E"/>
    <w:rsid w:val="00321164"/>
    <w:rsid w:val="00331EF7"/>
    <w:rsid w:val="00382C84"/>
    <w:rsid w:val="00386E63"/>
    <w:rsid w:val="0039601F"/>
    <w:rsid w:val="004F4C6B"/>
    <w:rsid w:val="005965DA"/>
    <w:rsid w:val="005A4BCD"/>
    <w:rsid w:val="005B25CA"/>
    <w:rsid w:val="005C3F45"/>
    <w:rsid w:val="006066DA"/>
    <w:rsid w:val="006439B5"/>
    <w:rsid w:val="0066189D"/>
    <w:rsid w:val="00693320"/>
    <w:rsid w:val="00695B70"/>
    <w:rsid w:val="006C3E92"/>
    <w:rsid w:val="006D33AF"/>
    <w:rsid w:val="00745C9F"/>
    <w:rsid w:val="00764928"/>
    <w:rsid w:val="007A50D7"/>
    <w:rsid w:val="00843B23"/>
    <w:rsid w:val="0089218F"/>
    <w:rsid w:val="0093348E"/>
    <w:rsid w:val="00953F33"/>
    <w:rsid w:val="00954436"/>
    <w:rsid w:val="00995672"/>
    <w:rsid w:val="00A70690"/>
    <w:rsid w:val="00AA5649"/>
    <w:rsid w:val="00AC4A37"/>
    <w:rsid w:val="00AF76BE"/>
    <w:rsid w:val="00B13E7E"/>
    <w:rsid w:val="00B1607A"/>
    <w:rsid w:val="00B2060B"/>
    <w:rsid w:val="00B471E3"/>
    <w:rsid w:val="00BC50C5"/>
    <w:rsid w:val="00D06DB8"/>
    <w:rsid w:val="00D93CEC"/>
    <w:rsid w:val="00DD15D3"/>
    <w:rsid w:val="00DF56C8"/>
    <w:rsid w:val="00E7084C"/>
    <w:rsid w:val="00EE1976"/>
    <w:rsid w:val="00F029B2"/>
    <w:rsid w:val="00F35650"/>
    <w:rsid w:val="00F75731"/>
    <w:rsid w:val="00FB1909"/>
    <w:rsid w:val="00FB6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link w:val="En-tteCar"/>
    <w:uiPriority w:val="99"/>
    <w:rsid w:val="004A67EE"/>
    <w:pPr>
      <w:tabs>
        <w:tab w:val="center" w:pos="4536"/>
        <w:tab w:val="right" w:pos="9072"/>
      </w:tabs>
    </w:pPr>
  </w:style>
  <w:style w:type="paragraph" w:styleId="Pieddepage">
    <w:name w:val="footer"/>
    <w:basedOn w:val="Normal"/>
    <w:link w:val="PieddepageCar"/>
    <w:uiPriority w:val="99"/>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table" w:styleId="Grilledutableau">
    <w:name w:val="Table Grid"/>
    <w:basedOn w:val="TableauNormal"/>
    <w:rsid w:val="003147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1">
    <w:name w:val="Normal1"/>
    <w:rsid w:val="00510389"/>
  </w:style>
  <w:style w:type="paragraph" w:styleId="Listepuces">
    <w:name w:val="List Bullet"/>
    <w:basedOn w:val="Normal"/>
    <w:uiPriority w:val="99"/>
    <w:unhideWhenUsed/>
    <w:rsid w:val="00FF62BD"/>
    <w:pPr>
      <w:numPr>
        <w:numId w:val="13"/>
      </w:numPr>
      <w:contextualSpacing/>
    </w:pPr>
  </w:style>
  <w:style w:type="paragraph" w:customStyle="1" w:styleId="Char">
    <w:name w:val="Char"/>
    <w:basedOn w:val="Normal"/>
    <w:rsid w:val="0033187C"/>
    <w:pPr>
      <w:spacing w:after="160" w:line="240" w:lineRule="exact"/>
    </w:pPr>
    <w:rPr>
      <w:rFonts w:ascii="Tahoma" w:hAnsi="Tahoma"/>
      <w:lang w:val="en-US" w:eastAsia="en-US"/>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64198"/>
    <w:rPr>
      <w:sz w:val="24"/>
      <w:lang w:val="fr-FR" w:eastAsia="fr-FR" w:bidi="ar-SA"/>
    </w:rPr>
  </w:style>
  <w:style w:type="character" w:styleId="Numrodepage">
    <w:name w:val="page number"/>
    <w:basedOn w:val="Policepardfaut"/>
    <w:uiPriority w:val="99"/>
    <w:semiHidden/>
    <w:unhideWhenUsed/>
    <w:rsid w:val="00974DBD"/>
  </w:style>
  <w:style w:type="paragraph" w:customStyle="1" w:styleId="P0">
    <w:name w:val="P0"/>
    <w:basedOn w:val="Normal"/>
    <w:link w:val="P0Car"/>
    <w:rsid w:val="001424CD"/>
    <w:pPr>
      <w:ind w:left="1701"/>
      <w:jc w:val="both"/>
    </w:pPr>
    <w:rPr>
      <w:sz w:val="24"/>
      <w:szCs w:val="24"/>
    </w:rPr>
  </w:style>
  <w:style w:type="character" w:customStyle="1" w:styleId="P0Car">
    <w:name w:val="P0 Car"/>
    <w:link w:val="P0"/>
    <w:rsid w:val="001424CD"/>
    <w:rPr>
      <w:sz w:val="24"/>
      <w:szCs w:val="24"/>
    </w:rPr>
  </w:style>
  <w:style w:type="character" w:customStyle="1" w:styleId="En-tteCar">
    <w:name w:val="En-tête Car"/>
    <w:link w:val="En-tte"/>
    <w:uiPriority w:val="99"/>
    <w:rsid w:val="00E7084C"/>
  </w:style>
  <w:style w:type="character" w:customStyle="1" w:styleId="PieddepageCar">
    <w:name w:val="Pied de page Car"/>
    <w:link w:val="Pieddepage"/>
    <w:uiPriority w:val="99"/>
    <w:rsid w:val="00E7084C"/>
  </w:style>
  <w:style w:type="paragraph" w:styleId="Commentaire">
    <w:name w:val="annotation text"/>
    <w:basedOn w:val="Normal"/>
    <w:link w:val="CommentaireCar"/>
    <w:uiPriority w:val="99"/>
    <w:semiHidden/>
    <w:unhideWhenUsed/>
    <w:rsid w:val="00DD15D3"/>
  </w:style>
  <w:style w:type="character" w:customStyle="1" w:styleId="CommentaireCar">
    <w:name w:val="Commentaire Car"/>
    <w:basedOn w:val="Policepardfaut"/>
    <w:link w:val="Commentaire"/>
    <w:uiPriority w:val="99"/>
    <w:semiHidden/>
    <w:rsid w:val="00DD15D3"/>
  </w:style>
  <w:style w:type="paragraph" w:styleId="Objetducommentaire">
    <w:name w:val="annotation subject"/>
    <w:basedOn w:val="Commentaire"/>
    <w:next w:val="Commentaire"/>
    <w:link w:val="ObjetducommentaireCar"/>
    <w:uiPriority w:val="99"/>
    <w:semiHidden/>
    <w:unhideWhenUsed/>
    <w:rsid w:val="00DD15D3"/>
    <w:rPr>
      <w:b/>
      <w:bCs/>
    </w:rPr>
  </w:style>
  <w:style w:type="character" w:customStyle="1" w:styleId="ObjetducommentaireCar">
    <w:name w:val="Objet du commentaire Car"/>
    <w:link w:val="Objetducommentaire"/>
    <w:uiPriority w:val="99"/>
    <w:semiHidden/>
    <w:rsid w:val="00DD15D3"/>
    <w:rPr>
      <w:b/>
      <w:bCs/>
    </w:rPr>
  </w:style>
  <w:style w:type="paragraph" w:styleId="Rvision">
    <w:name w:val="Revision"/>
    <w:hidden/>
    <w:uiPriority w:val="99"/>
    <w:semiHidden/>
    <w:rsid w:val="00DD1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45">
      <w:bodyDiv w:val="1"/>
      <w:marLeft w:val="0"/>
      <w:marRight w:val="0"/>
      <w:marTop w:val="0"/>
      <w:marBottom w:val="0"/>
      <w:divBdr>
        <w:top w:val="none" w:sz="0" w:space="0" w:color="auto"/>
        <w:left w:val="none" w:sz="0" w:space="0" w:color="auto"/>
        <w:bottom w:val="none" w:sz="0" w:space="0" w:color="auto"/>
        <w:right w:val="none" w:sz="0" w:space="0" w:color="auto"/>
      </w:divBdr>
      <w:divsChild>
        <w:div w:id="52244036">
          <w:marLeft w:val="90"/>
          <w:marRight w:val="0"/>
          <w:marTop w:val="0"/>
          <w:marBottom w:val="0"/>
          <w:divBdr>
            <w:top w:val="none" w:sz="0" w:space="0" w:color="auto"/>
            <w:left w:val="none" w:sz="0" w:space="0" w:color="auto"/>
            <w:bottom w:val="none" w:sz="0" w:space="0" w:color="auto"/>
            <w:right w:val="none" w:sz="0" w:space="0" w:color="auto"/>
          </w:divBdr>
        </w:div>
      </w:divsChild>
    </w:div>
    <w:div w:id="66152822">
      <w:bodyDiv w:val="1"/>
      <w:marLeft w:val="0"/>
      <w:marRight w:val="0"/>
      <w:marTop w:val="0"/>
      <w:marBottom w:val="0"/>
      <w:divBdr>
        <w:top w:val="none" w:sz="0" w:space="0" w:color="auto"/>
        <w:left w:val="none" w:sz="0" w:space="0" w:color="auto"/>
        <w:bottom w:val="none" w:sz="0" w:space="0" w:color="auto"/>
        <w:right w:val="none" w:sz="0" w:space="0" w:color="auto"/>
      </w:divBdr>
    </w:div>
    <w:div w:id="985627932">
      <w:bodyDiv w:val="1"/>
      <w:marLeft w:val="0"/>
      <w:marRight w:val="0"/>
      <w:marTop w:val="0"/>
      <w:marBottom w:val="0"/>
      <w:divBdr>
        <w:top w:val="none" w:sz="0" w:space="0" w:color="auto"/>
        <w:left w:val="none" w:sz="0" w:space="0" w:color="auto"/>
        <w:bottom w:val="none" w:sz="0" w:space="0" w:color="auto"/>
        <w:right w:val="none" w:sz="0" w:space="0" w:color="auto"/>
      </w:divBdr>
    </w:div>
    <w:div w:id="1213807836">
      <w:bodyDiv w:val="1"/>
      <w:marLeft w:val="0"/>
      <w:marRight w:val="0"/>
      <w:marTop w:val="0"/>
      <w:marBottom w:val="0"/>
      <w:divBdr>
        <w:top w:val="none" w:sz="0" w:space="0" w:color="auto"/>
        <w:left w:val="none" w:sz="0" w:space="0" w:color="auto"/>
        <w:bottom w:val="none" w:sz="0" w:space="0" w:color="auto"/>
        <w:right w:val="none" w:sz="0" w:space="0" w:color="auto"/>
      </w:divBdr>
    </w:div>
    <w:div w:id="1342002459">
      <w:bodyDiv w:val="1"/>
      <w:marLeft w:val="0"/>
      <w:marRight w:val="0"/>
      <w:marTop w:val="0"/>
      <w:marBottom w:val="0"/>
      <w:divBdr>
        <w:top w:val="none" w:sz="0" w:space="0" w:color="auto"/>
        <w:left w:val="none" w:sz="0" w:space="0" w:color="auto"/>
        <w:bottom w:val="none" w:sz="0" w:space="0" w:color="auto"/>
        <w:right w:val="none" w:sz="0" w:space="0" w:color="auto"/>
      </w:divBdr>
    </w:div>
    <w:div w:id="1354652852">
      <w:bodyDiv w:val="1"/>
      <w:marLeft w:val="0"/>
      <w:marRight w:val="0"/>
      <w:marTop w:val="0"/>
      <w:marBottom w:val="0"/>
      <w:divBdr>
        <w:top w:val="none" w:sz="0" w:space="0" w:color="auto"/>
        <w:left w:val="none" w:sz="0" w:space="0" w:color="auto"/>
        <w:bottom w:val="none" w:sz="0" w:space="0" w:color="auto"/>
        <w:right w:val="none" w:sz="0" w:space="0" w:color="auto"/>
      </w:divBdr>
    </w:div>
    <w:div w:id="1460108400">
      <w:bodyDiv w:val="1"/>
      <w:marLeft w:val="0"/>
      <w:marRight w:val="0"/>
      <w:marTop w:val="0"/>
      <w:marBottom w:val="0"/>
      <w:divBdr>
        <w:top w:val="none" w:sz="0" w:space="0" w:color="auto"/>
        <w:left w:val="none" w:sz="0" w:space="0" w:color="auto"/>
        <w:bottom w:val="none" w:sz="0" w:space="0" w:color="auto"/>
        <w:right w:val="none" w:sz="0" w:space="0" w:color="auto"/>
      </w:divBdr>
    </w:div>
    <w:div w:id="17937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6DC93-88CF-4D74-A55D-A64989FA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15</TotalTime>
  <Pages>5</Pages>
  <Words>1816</Words>
  <Characters>9994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Montferrat, arrêt</vt:lpstr>
      <vt:lpstr>Montferrat, arrêt</vt:lpstr>
    </vt:vector>
  </TitlesOfParts>
  <Company>COUR DES COMPTES</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6</cp:revision>
  <cp:lastPrinted>2013-09-30T10:53:00Z</cp:lastPrinted>
  <dcterms:created xsi:type="dcterms:W3CDTF">2013-10-29T17:43:00Z</dcterms:created>
  <dcterms:modified xsi:type="dcterms:W3CDTF">2013-11-15T13:22:00Z</dcterms:modified>
</cp:coreProperties>
</file>