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497" w:type="dxa"/>
        <w:tblLayout w:type="fixed"/>
        <w:tblCellMar>
          <w:left w:w="70" w:type="dxa"/>
          <w:right w:w="70" w:type="dxa"/>
        </w:tblCellMar>
        <w:tblLook w:val="0000" w:firstRow="0" w:lastRow="0" w:firstColumn="0" w:lastColumn="0" w:noHBand="0" w:noVBand="0"/>
      </w:tblPr>
      <w:tblGrid>
        <w:gridCol w:w="2977"/>
        <w:gridCol w:w="2268"/>
        <w:gridCol w:w="709"/>
        <w:gridCol w:w="4252"/>
      </w:tblGrid>
      <w:tr w:rsidR="007E27CD" w:rsidRPr="007E27CD">
        <w:tc>
          <w:tcPr>
            <w:tcW w:w="2977" w:type="dxa"/>
            <w:vAlign w:val="center"/>
          </w:tcPr>
          <w:p w:rsidR="006B4B77" w:rsidRPr="007E27CD" w:rsidRDefault="006B4B77" w:rsidP="00442D13">
            <w:pPr>
              <w:pStyle w:val="1pageCour"/>
            </w:pPr>
            <w:r w:rsidRPr="007E27CD">
              <w:t>Cour des comptes</w:t>
            </w:r>
          </w:p>
        </w:tc>
        <w:tc>
          <w:tcPr>
            <w:tcW w:w="2977" w:type="dxa"/>
            <w:gridSpan w:val="2"/>
            <w:vAlign w:val="center"/>
          </w:tcPr>
          <w:p w:rsidR="006B4B77" w:rsidRPr="007E27CD" w:rsidRDefault="006B4B77" w:rsidP="00442D13">
            <w:pPr>
              <w:pStyle w:val="1pageCour"/>
            </w:pPr>
          </w:p>
        </w:tc>
        <w:tc>
          <w:tcPr>
            <w:tcW w:w="4252" w:type="dxa"/>
            <w:vAlign w:val="center"/>
          </w:tcPr>
          <w:p w:rsidR="006B4B77" w:rsidRPr="007E27CD" w:rsidRDefault="006B4B77" w:rsidP="00442D13">
            <w:pPr>
              <w:pStyle w:val="1pageCour"/>
            </w:pPr>
          </w:p>
        </w:tc>
      </w:tr>
      <w:tr w:rsidR="007E27CD" w:rsidRPr="007E27CD">
        <w:tc>
          <w:tcPr>
            <w:tcW w:w="2977" w:type="dxa"/>
            <w:vAlign w:val="center"/>
          </w:tcPr>
          <w:p w:rsidR="006B4B77" w:rsidRPr="007E27CD" w:rsidRDefault="006B4B77" w:rsidP="00442D13">
            <w:pPr>
              <w:pStyle w:val="1pageCour"/>
              <w:rPr>
                <w:sz w:val="16"/>
                <w:szCs w:val="16"/>
              </w:rPr>
            </w:pPr>
            <w:r w:rsidRPr="007E27CD">
              <w:rPr>
                <w:sz w:val="16"/>
                <w:szCs w:val="16"/>
              </w:rPr>
              <w:t>----------</w:t>
            </w:r>
          </w:p>
        </w:tc>
        <w:tc>
          <w:tcPr>
            <w:tcW w:w="2977" w:type="dxa"/>
            <w:gridSpan w:val="2"/>
            <w:vAlign w:val="center"/>
          </w:tcPr>
          <w:p w:rsidR="006B4B77" w:rsidRPr="007E27CD" w:rsidRDefault="006B4B77" w:rsidP="00442D13">
            <w:pPr>
              <w:pStyle w:val="1pageCour"/>
              <w:rPr>
                <w:sz w:val="16"/>
                <w:szCs w:val="16"/>
              </w:rPr>
            </w:pPr>
          </w:p>
        </w:tc>
        <w:tc>
          <w:tcPr>
            <w:tcW w:w="4252" w:type="dxa"/>
            <w:vAlign w:val="center"/>
          </w:tcPr>
          <w:p w:rsidR="006B4B77" w:rsidRPr="007E27CD" w:rsidRDefault="006B4B77" w:rsidP="00442D13">
            <w:pPr>
              <w:pStyle w:val="1pageCour"/>
              <w:rPr>
                <w:sz w:val="16"/>
                <w:szCs w:val="16"/>
              </w:rPr>
            </w:pPr>
          </w:p>
        </w:tc>
      </w:tr>
      <w:tr w:rsidR="007E27CD" w:rsidRPr="007E27CD">
        <w:tc>
          <w:tcPr>
            <w:tcW w:w="2977" w:type="dxa"/>
            <w:vAlign w:val="center"/>
          </w:tcPr>
          <w:p w:rsidR="006B4B77" w:rsidRPr="007E27CD" w:rsidRDefault="008151AC" w:rsidP="00442D13">
            <w:pPr>
              <w:pStyle w:val="1pageChambre"/>
            </w:pPr>
            <w:r w:rsidRPr="007E27CD">
              <w:t xml:space="preserve">Troisième </w:t>
            </w:r>
            <w:r w:rsidR="00EF23B5" w:rsidRPr="007E27CD">
              <w:t>chambre</w:t>
            </w:r>
          </w:p>
        </w:tc>
        <w:tc>
          <w:tcPr>
            <w:tcW w:w="2977" w:type="dxa"/>
            <w:gridSpan w:val="2"/>
            <w:vAlign w:val="center"/>
          </w:tcPr>
          <w:p w:rsidR="006B4B77" w:rsidRPr="007E27CD" w:rsidRDefault="006B4B77" w:rsidP="00442D13">
            <w:pPr>
              <w:pStyle w:val="1pageChambre"/>
            </w:pPr>
          </w:p>
        </w:tc>
        <w:tc>
          <w:tcPr>
            <w:tcW w:w="4252" w:type="dxa"/>
            <w:vAlign w:val="center"/>
          </w:tcPr>
          <w:p w:rsidR="006B4B77" w:rsidRPr="007E27CD" w:rsidRDefault="006B4B77" w:rsidP="00442D13">
            <w:pPr>
              <w:pStyle w:val="1pageChambre"/>
            </w:pPr>
          </w:p>
        </w:tc>
      </w:tr>
      <w:tr w:rsidR="007E27CD" w:rsidRPr="007E27CD">
        <w:tc>
          <w:tcPr>
            <w:tcW w:w="2977" w:type="dxa"/>
            <w:vAlign w:val="center"/>
          </w:tcPr>
          <w:p w:rsidR="00C176ED" w:rsidRPr="007E27CD" w:rsidRDefault="00C176ED" w:rsidP="00442D13">
            <w:pPr>
              <w:pStyle w:val="1pageCour"/>
              <w:rPr>
                <w:sz w:val="16"/>
                <w:szCs w:val="16"/>
              </w:rPr>
            </w:pPr>
            <w:r w:rsidRPr="007E27CD">
              <w:rPr>
                <w:sz w:val="16"/>
                <w:szCs w:val="16"/>
              </w:rPr>
              <w:t>----------</w:t>
            </w:r>
          </w:p>
        </w:tc>
        <w:tc>
          <w:tcPr>
            <w:tcW w:w="2977" w:type="dxa"/>
            <w:gridSpan w:val="2"/>
            <w:vAlign w:val="center"/>
          </w:tcPr>
          <w:p w:rsidR="00C176ED" w:rsidRPr="007E27CD" w:rsidRDefault="00C176ED" w:rsidP="00442D13">
            <w:pPr>
              <w:pStyle w:val="1pageCour"/>
              <w:rPr>
                <w:sz w:val="16"/>
                <w:szCs w:val="16"/>
              </w:rPr>
            </w:pPr>
          </w:p>
        </w:tc>
        <w:tc>
          <w:tcPr>
            <w:tcW w:w="4252" w:type="dxa"/>
            <w:vAlign w:val="center"/>
          </w:tcPr>
          <w:p w:rsidR="00C176ED" w:rsidRPr="007E27CD" w:rsidRDefault="00C176ED" w:rsidP="00442D13">
            <w:pPr>
              <w:pStyle w:val="1pageCour"/>
              <w:rPr>
                <w:sz w:val="16"/>
                <w:szCs w:val="16"/>
              </w:rPr>
            </w:pPr>
          </w:p>
        </w:tc>
      </w:tr>
      <w:tr w:rsidR="007E27CD" w:rsidRPr="007E27CD">
        <w:tc>
          <w:tcPr>
            <w:tcW w:w="2977" w:type="dxa"/>
            <w:vAlign w:val="center"/>
          </w:tcPr>
          <w:p w:rsidR="00EF23B5" w:rsidRPr="007E27CD" w:rsidRDefault="008B1693" w:rsidP="00442D13">
            <w:pPr>
              <w:pStyle w:val="1pageChambre"/>
            </w:pPr>
            <w:r w:rsidRPr="007E27CD">
              <w:t>Quatrième section</w:t>
            </w:r>
          </w:p>
        </w:tc>
        <w:tc>
          <w:tcPr>
            <w:tcW w:w="2977" w:type="dxa"/>
            <w:gridSpan w:val="2"/>
            <w:vAlign w:val="center"/>
          </w:tcPr>
          <w:p w:rsidR="00EF23B5" w:rsidRPr="007E27CD" w:rsidRDefault="00EF23B5" w:rsidP="00442D13">
            <w:pPr>
              <w:pStyle w:val="1pageChambre"/>
              <w:rPr>
                <w:sz w:val="16"/>
                <w:szCs w:val="16"/>
              </w:rPr>
            </w:pPr>
          </w:p>
        </w:tc>
        <w:tc>
          <w:tcPr>
            <w:tcW w:w="4252" w:type="dxa"/>
            <w:vAlign w:val="center"/>
          </w:tcPr>
          <w:p w:rsidR="00EF23B5" w:rsidRPr="007E27CD" w:rsidRDefault="00EF23B5" w:rsidP="00442D13">
            <w:pPr>
              <w:pStyle w:val="1pageChambre"/>
              <w:rPr>
                <w:sz w:val="16"/>
                <w:szCs w:val="16"/>
              </w:rPr>
            </w:pPr>
          </w:p>
        </w:tc>
      </w:tr>
      <w:tr w:rsidR="007E27CD" w:rsidRPr="007E27CD">
        <w:tc>
          <w:tcPr>
            <w:tcW w:w="2977" w:type="dxa"/>
            <w:vAlign w:val="center"/>
          </w:tcPr>
          <w:p w:rsidR="00C176ED" w:rsidRPr="007E27CD" w:rsidRDefault="00C176ED" w:rsidP="00574E81">
            <w:pPr>
              <w:pStyle w:val="1pageCour"/>
              <w:spacing w:after="120"/>
              <w:rPr>
                <w:sz w:val="16"/>
                <w:szCs w:val="16"/>
              </w:rPr>
            </w:pPr>
            <w:r w:rsidRPr="007E27CD">
              <w:rPr>
                <w:sz w:val="16"/>
                <w:szCs w:val="16"/>
              </w:rPr>
              <w:t>----------</w:t>
            </w:r>
          </w:p>
        </w:tc>
        <w:tc>
          <w:tcPr>
            <w:tcW w:w="2977" w:type="dxa"/>
            <w:gridSpan w:val="2"/>
            <w:vAlign w:val="center"/>
          </w:tcPr>
          <w:p w:rsidR="00C176ED" w:rsidRPr="007E27CD" w:rsidRDefault="00C176ED" w:rsidP="00442D13">
            <w:pPr>
              <w:pStyle w:val="1pageCour"/>
              <w:rPr>
                <w:sz w:val="16"/>
                <w:szCs w:val="16"/>
              </w:rPr>
            </w:pPr>
          </w:p>
        </w:tc>
        <w:tc>
          <w:tcPr>
            <w:tcW w:w="4252" w:type="dxa"/>
            <w:vAlign w:val="center"/>
          </w:tcPr>
          <w:p w:rsidR="00C176ED" w:rsidRPr="007E27CD" w:rsidRDefault="00C176ED" w:rsidP="00442D13">
            <w:pPr>
              <w:pStyle w:val="1pageCour"/>
              <w:rPr>
                <w:sz w:val="16"/>
                <w:szCs w:val="16"/>
              </w:rPr>
            </w:pPr>
          </w:p>
        </w:tc>
      </w:tr>
      <w:tr w:rsidR="007E27CD" w:rsidRPr="007E27CD">
        <w:tc>
          <w:tcPr>
            <w:tcW w:w="2977" w:type="dxa"/>
            <w:vAlign w:val="center"/>
          </w:tcPr>
          <w:p w:rsidR="006B4B77" w:rsidRPr="007E27CD" w:rsidRDefault="008B1693" w:rsidP="005379E6">
            <w:pPr>
              <w:pStyle w:val="Corpstextegauche"/>
              <w:spacing w:before="0" w:after="0"/>
              <w:jc w:val="center"/>
              <w:rPr>
                <w:i/>
                <w:sz w:val="22"/>
                <w:szCs w:val="22"/>
              </w:rPr>
            </w:pPr>
            <w:r w:rsidRPr="007E27CD">
              <w:rPr>
                <w:b/>
                <w:i/>
                <w:sz w:val="22"/>
                <w:szCs w:val="22"/>
              </w:rPr>
              <w:t>Arrêt</w:t>
            </w:r>
            <w:r w:rsidR="00AB488B" w:rsidRPr="007E27CD">
              <w:rPr>
                <w:b/>
                <w:i/>
                <w:sz w:val="22"/>
                <w:szCs w:val="22"/>
              </w:rPr>
              <w:t xml:space="preserve"> n°</w:t>
            </w:r>
            <w:r w:rsidR="00574E81">
              <w:rPr>
                <w:b/>
                <w:i/>
                <w:sz w:val="22"/>
                <w:szCs w:val="22"/>
              </w:rPr>
              <w:t xml:space="preserve"> 68</w:t>
            </w:r>
            <w:r w:rsidR="005379E6">
              <w:rPr>
                <w:b/>
                <w:i/>
                <w:sz w:val="22"/>
                <w:szCs w:val="22"/>
              </w:rPr>
              <w:t>8</w:t>
            </w:r>
            <w:r w:rsidR="00574E81">
              <w:rPr>
                <w:b/>
                <w:i/>
                <w:sz w:val="22"/>
                <w:szCs w:val="22"/>
              </w:rPr>
              <w:t>6</w:t>
            </w:r>
            <w:r w:rsidR="00105E5C">
              <w:rPr>
                <w:b/>
                <w:i/>
                <w:sz w:val="22"/>
                <w:szCs w:val="22"/>
              </w:rPr>
              <w:t>5</w:t>
            </w:r>
          </w:p>
        </w:tc>
        <w:tc>
          <w:tcPr>
            <w:tcW w:w="2977" w:type="dxa"/>
            <w:gridSpan w:val="2"/>
            <w:vAlign w:val="center"/>
          </w:tcPr>
          <w:p w:rsidR="006B4B77" w:rsidRPr="007E27CD" w:rsidRDefault="006B4B77" w:rsidP="00442D13">
            <w:pPr>
              <w:pStyle w:val="Corpsdetexte"/>
              <w:spacing w:before="0" w:after="0"/>
            </w:pPr>
          </w:p>
        </w:tc>
        <w:tc>
          <w:tcPr>
            <w:tcW w:w="4252" w:type="dxa"/>
            <w:vAlign w:val="center"/>
          </w:tcPr>
          <w:p w:rsidR="006B4B77" w:rsidRPr="007E27CD" w:rsidRDefault="006B4B77" w:rsidP="00442D13">
            <w:pPr>
              <w:pStyle w:val="Corpsdetexte"/>
              <w:spacing w:before="0" w:after="0"/>
            </w:pPr>
          </w:p>
        </w:tc>
      </w:tr>
      <w:tr w:rsidR="007E27CD" w:rsidRPr="007E27CD">
        <w:tc>
          <w:tcPr>
            <w:tcW w:w="2977" w:type="dxa"/>
            <w:vAlign w:val="center"/>
          </w:tcPr>
          <w:p w:rsidR="006B4B77" w:rsidRPr="007E27CD" w:rsidRDefault="006B4B77" w:rsidP="00442D13">
            <w:pPr>
              <w:pStyle w:val="Corpsdetexte"/>
              <w:spacing w:before="0" w:after="0"/>
            </w:pPr>
          </w:p>
        </w:tc>
        <w:tc>
          <w:tcPr>
            <w:tcW w:w="2268" w:type="dxa"/>
            <w:vAlign w:val="center"/>
          </w:tcPr>
          <w:p w:rsidR="006B4B77" w:rsidRPr="007E27CD" w:rsidRDefault="006B4B77" w:rsidP="00442D13">
            <w:pPr>
              <w:pStyle w:val="Corpsdetexte"/>
              <w:spacing w:before="0" w:after="0"/>
            </w:pPr>
          </w:p>
        </w:tc>
        <w:tc>
          <w:tcPr>
            <w:tcW w:w="4961" w:type="dxa"/>
            <w:gridSpan w:val="2"/>
            <w:vAlign w:val="center"/>
          </w:tcPr>
          <w:p w:rsidR="00413F70" w:rsidRDefault="00C44D87" w:rsidP="00442D13">
            <w:pPr>
              <w:pStyle w:val="Corpstextegauche"/>
              <w:spacing w:before="0" w:after="0"/>
              <w:jc w:val="left"/>
              <w:rPr>
                <w:caps/>
              </w:rPr>
            </w:pPr>
            <w:r w:rsidRPr="007E27CD">
              <w:rPr>
                <w:caps/>
              </w:rPr>
              <w:t>INSTITUT NATIONAL DE RECHERCHE</w:t>
            </w:r>
          </w:p>
          <w:p w:rsidR="00574E81" w:rsidRDefault="00C44D87" w:rsidP="00442D13">
            <w:pPr>
              <w:pStyle w:val="Corpstextegauche"/>
              <w:spacing w:before="0" w:after="0"/>
              <w:jc w:val="left"/>
              <w:rPr>
                <w:caps/>
              </w:rPr>
            </w:pPr>
            <w:r w:rsidRPr="007E27CD">
              <w:rPr>
                <w:caps/>
              </w:rPr>
              <w:t>EN INFORMATIQUE</w:t>
            </w:r>
          </w:p>
          <w:p w:rsidR="00E71565" w:rsidRPr="007E27CD" w:rsidRDefault="00C44D87" w:rsidP="00574E81">
            <w:pPr>
              <w:pStyle w:val="Corpstextegauche"/>
              <w:spacing w:before="0" w:after="240"/>
              <w:jc w:val="left"/>
              <w:rPr>
                <w:caps/>
              </w:rPr>
            </w:pPr>
            <w:r w:rsidRPr="007E27CD">
              <w:rPr>
                <w:caps/>
              </w:rPr>
              <w:t>ET EN AUTOMATIQUE (INRIA)</w:t>
            </w:r>
          </w:p>
        </w:tc>
      </w:tr>
      <w:tr w:rsidR="007E27CD" w:rsidRPr="007E27CD">
        <w:tc>
          <w:tcPr>
            <w:tcW w:w="2977" w:type="dxa"/>
            <w:vAlign w:val="center"/>
          </w:tcPr>
          <w:p w:rsidR="006B4B77" w:rsidRPr="007E27CD" w:rsidRDefault="006B4B77" w:rsidP="00442D13">
            <w:pPr>
              <w:pStyle w:val="Corpsdetexte"/>
              <w:spacing w:before="0" w:after="0"/>
            </w:pPr>
          </w:p>
        </w:tc>
        <w:tc>
          <w:tcPr>
            <w:tcW w:w="2268" w:type="dxa"/>
            <w:vAlign w:val="center"/>
          </w:tcPr>
          <w:p w:rsidR="006B4B77" w:rsidRPr="007E27CD" w:rsidRDefault="006B4B77" w:rsidP="00442D13">
            <w:pPr>
              <w:pStyle w:val="Corpsdetexte"/>
              <w:spacing w:before="0" w:after="0"/>
            </w:pPr>
          </w:p>
        </w:tc>
        <w:tc>
          <w:tcPr>
            <w:tcW w:w="4961" w:type="dxa"/>
            <w:gridSpan w:val="2"/>
            <w:vAlign w:val="center"/>
          </w:tcPr>
          <w:p w:rsidR="006B4B77" w:rsidRPr="007E27CD" w:rsidRDefault="002A3835" w:rsidP="00845234">
            <w:pPr>
              <w:pStyle w:val="Corpstextegauche"/>
              <w:spacing w:before="120" w:after="0"/>
            </w:pPr>
            <w:r w:rsidRPr="007E27CD">
              <w:t>Exercices</w:t>
            </w:r>
            <w:r w:rsidR="00442D13">
              <w:t xml:space="preserve"> </w:t>
            </w:r>
            <w:r w:rsidR="00845234">
              <w:t xml:space="preserve">2007 à </w:t>
            </w:r>
            <w:r w:rsidR="00C44D87" w:rsidRPr="007E27CD">
              <w:t>2011</w:t>
            </w:r>
          </w:p>
        </w:tc>
      </w:tr>
      <w:tr w:rsidR="007E27CD" w:rsidRPr="007E27CD">
        <w:tc>
          <w:tcPr>
            <w:tcW w:w="2977" w:type="dxa"/>
            <w:vAlign w:val="center"/>
          </w:tcPr>
          <w:p w:rsidR="005E5571" w:rsidRPr="007E27CD" w:rsidRDefault="005E5571" w:rsidP="00442D13">
            <w:pPr>
              <w:pStyle w:val="Corpsdetexte"/>
              <w:spacing w:before="0" w:after="0"/>
            </w:pPr>
          </w:p>
        </w:tc>
        <w:tc>
          <w:tcPr>
            <w:tcW w:w="2268" w:type="dxa"/>
            <w:vAlign w:val="center"/>
          </w:tcPr>
          <w:p w:rsidR="005E5571" w:rsidRPr="007E27CD" w:rsidRDefault="005E5571" w:rsidP="00442D13">
            <w:pPr>
              <w:pStyle w:val="Corpsdetexte"/>
              <w:spacing w:before="0" w:after="0"/>
            </w:pPr>
          </w:p>
        </w:tc>
        <w:tc>
          <w:tcPr>
            <w:tcW w:w="4961" w:type="dxa"/>
            <w:gridSpan w:val="2"/>
            <w:vAlign w:val="center"/>
          </w:tcPr>
          <w:p w:rsidR="005E5571" w:rsidRPr="007E27CD" w:rsidRDefault="002A3835" w:rsidP="00442D13">
            <w:pPr>
              <w:pStyle w:val="Corpstextegauche"/>
              <w:spacing w:before="120" w:after="0"/>
            </w:pPr>
            <w:r w:rsidRPr="007E27CD">
              <w:t>Rapport n°</w:t>
            </w:r>
            <w:r w:rsidR="004F513F">
              <w:t> </w:t>
            </w:r>
            <w:r w:rsidR="008B6591" w:rsidRPr="007E27CD">
              <w:t>2013-697-0</w:t>
            </w:r>
          </w:p>
        </w:tc>
      </w:tr>
      <w:tr w:rsidR="007E27CD" w:rsidRPr="007E27CD">
        <w:tc>
          <w:tcPr>
            <w:tcW w:w="2977" w:type="dxa"/>
            <w:vAlign w:val="center"/>
          </w:tcPr>
          <w:p w:rsidR="006B4B77" w:rsidRPr="007E27CD" w:rsidRDefault="006B4B77" w:rsidP="00442D13">
            <w:pPr>
              <w:pStyle w:val="Corpsdetexte"/>
              <w:spacing w:before="0" w:after="0"/>
            </w:pPr>
          </w:p>
        </w:tc>
        <w:tc>
          <w:tcPr>
            <w:tcW w:w="2268" w:type="dxa"/>
            <w:vAlign w:val="center"/>
          </w:tcPr>
          <w:p w:rsidR="006B4B77" w:rsidRPr="007E27CD" w:rsidRDefault="006B4B77" w:rsidP="00442D13">
            <w:pPr>
              <w:pStyle w:val="Corpsdetexte"/>
              <w:spacing w:before="0" w:after="0"/>
            </w:pPr>
          </w:p>
        </w:tc>
        <w:tc>
          <w:tcPr>
            <w:tcW w:w="4961" w:type="dxa"/>
            <w:gridSpan w:val="2"/>
            <w:vAlign w:val="center"/>
          </w:tcPr>
          <w:p w:rsidR="006B4B77" w:rsidRPr="007E27CD" w:rsidRDefault="00B472EF" w:rsidP="00442D13">
            <w:pPr>
              <w:pStyle w:val="Corpstextegauche"/>
              <w:spacing w:before="120" w:after="0"/>
            </w:pPr>
            <w:r w:rsidRPr="007E27CD">
              <w:t>Audi</w:t>
            </w:r>
            <w:r w:rsidR="002A3835" w:rsidRPr="007E27CD">
              <w:t>ence publique du</w:t>
            </w:r>
            <w:r w:rsidR="007B3593">
              <w:t xml:space="preserve"> 29 </w:t>
            </w:r>
            <w:r w:rsidR="00CD3531" w:rsidRPr="007E27CD">
              <w:t>novembre 2013</w:t>
            </w:r>
          </w:p>
        </w:tc>
      </w:tr>
      <w:tr w:rsidR="007E27CD" w:rsidRPr="007E27CD">
        <w:tc>
          <w:tcPr>
            <w:tcW w:w="2977" w:type="dxa"/>
            <w:vAlign w:val="center"/>
          </w:tcPr>
          <w:p w:rsidR="006B4B77" w:rsidRPr="007E27CD" w:rsidRDefault="006B4B77" w:rsidP="00442D13">
            <w:pPr>
              <w:pStyle w:val="Corpsdetexte"/>
              <w:spacing w:before="0" w:after="0"/>
            </w:pPr>
          </w:p>
        </w:tc>
        <w:tc>
          <w:tcPr>
            <w:tcW w:w="2268" w:type="dxa"/>
            <w:vAlign w:val="center"/>
          </w:tcPr>
          <w:p w:rsidR="006B4B77" w:rsidRPr="007E27CD" w:rsidRDefault="006B4B77" w:rsidP="00442D13">
            <w:pPr>
              <w:pStyle w:val="Corpsdetexte"/>
              <w:spacing w:before="0" w:after="0"/>
            </w:pPr>
          </w:p>
        </w:tc>
        <w:tc>
          <w:tcPr>
            <w:tcW w:w="4961" w:type="dxa"/>
            <w:gridSpan w:val="2"/>
            <w:vAlign w:val="center"/>
          </w:tcPr>
          <w:p w:rsidR="006B4B77" w:rsidRPr="007E27CD" w:rsidRDefault="005E5571" w:rsidP="00574E81">
            <w:pPr>
              <w:pStyle w:val="Corpstextegauche"/>
              <w:spacing w:before="120" w:after="0"/>
            </w:pPr>
            <w:r w:rsidRPr="007E27CD">
              <w:t>Lecture</w:t>
            </w:r>
            <w:r w:rsidR="00574E81">
              <w:t xml:space="preserve"> publique du 14 février 2014</w:t>
            </w:r>
          </w:p>
        </w:tc>
      </w:tr>
    </w:tbl>
    <w:p w:rsidR="004833F6" w:rsidRDefault="004833F6" w:rsidP="004833F6">
      <w:pPr>
        <w:pStyle w:val="P0"/>
        <w:spacing w:before="0" w:after="0" w:line="240" w:lineRule="auto"/>
        <w:ind w:left="540" w:right="-284" w:firstLine="594"/>
        <w:jc w:val="center"/>
      </w:pPr>
    </w:p>
    <w:p w:rsidR="004833F6" w:rsidRDefault="004833F6" w:rsidP="004833F6">
      <w:pPr>
        <w:pStyle w:val="P0"/>
        <w:spacing w:before="0" w:after="0" w:line="240" w:lineRule="auto"/>
        <w:ind w:left="540" w:firstLine="0"/>
        <w:jc w:val="center"/>
      </w:pPr>
      <w:r w:rsidRPr="00690D05">
        <w:t>REPUBLIQUE FRANÇAISE</w:t>
      </w:r>
    </w:p>
    <w:p w:rsidR="004833F6" w:rsidRDefault="004833F6" w:rsidP="004833F6">
      <w:pPr>
        <w:pStyle w:val="P0"/>
        <w:spacing w:before="0" w:after="0" w:line="240" w:lineRule="auto"/>
        <w:ind w:left="540" w:firstLine="0"/>
        <w:jc w:val="center"/>
      </w:pPr>
    </w:p>
    <w:p w:rsidR="004833F6" w:rsidRDefault="004833F6" w:rsidP="004833F6">
      <w:pPr>
        <w:pStyle w:val="P0"/>
        <w:spacing w:before="0" w:after="0" w:line="240" w:lineRule="auto"/>
        <w:ind w:left="540" w:firstLine="0"/>
        <w:jc w:val="center"/>
      </w:pPr>
      <w:r w:rsidRPr="00690D05">
        <w:t>AU NOM DU PEUPLE FRANÇAIS</w:t>
      </w:r>
    </w:p>
    <w:p w:rsidR="004833F6" w:rsidRPr="00690D05" w:rsidRDefault="004833F6" w:rsidP="004833F6">
      <w:pPr>
        <w:pStyle w:val="P0"/>
        <w:spacing w:before="0" w:after="0" w:line="240" w:lineRule="auto"/>
        <w:ind w:left="540" w:firstLine="0"/>
        <w:jc w:val="center"/>
      </w:pPr>
    </w:p>
    <w:p w:rsidR="004833F6" w:rsidRDefault="004833F6" w:rsidP="004833F6">
      <w:pPr>
        <w:pStyle w:val="P0"/>
        <w:spacing w:before="0" w:after="0" w:line="240" w:lineRule="auto"/>
        <w:ind w:left="539" w:firstLine="0"/>
        <w:jc w:val="center"/>
      </w:pPr>
      <w:r w:rsidRPr="00690D05">
        <w:t>LA COUR DES COMPTES a rendu l’arrêt suivant :</w:t>
      </w:r>
    </w:p>
    <w:p w:rsidR="004833F6" w:rsidRPr="00690D05" w:rsidRDefault="004833F6" w:rsidP="004833F6">
      <w:pPr>
        <w:pStyle w:val="P0"/>
        <w:spacing w:before="0" w:after="0" w:line="240" w:lineRule="auto"/>
        <w:ind w:left="539" w:right="-284" w:firstLine="594"/>
        <w:jc w:val="center"/>
      </w:pPr>
    </w:p>
    <w:p w:rsidR="004D4A11" w:rsidRPr="007E27CD" w:rsidRDefault="005E5571" w:rsidP="004833F6">
      <w:pPr>
        <w:pStyle w:val="Corpsdetexte"/>
        <w:spacing w:before="0" w:after="0"/>
      </w:pPr>
      <w:r w:rsidRPr="007E27CD">
        <w:t>LA COUR,</w:t>
      </w:r>
    </w:p>
    <w:p w:rsidR="001C2C8D" w:rsidRDefault="001C2C8D" w:rsidP="001C2C8D">
      <w:pPr>
        <w:pStyle w:val="Corpsdetexte"/>
      </w:pPr>
      <w:r>
        <w:t xml:space="preserve">Vu les comptes de </w:t>
      </w:r>
      <w:r w:rsidR="00845234" w:rsidRPr="00845234">
        <w:t>l</w:t>
      </w:r>
      <w:r w:rsidRPr="00845234">
        <w:t>’</w:t>
      </w:r>
      <w:r w:rsidRPr="003D4FD9">
        <w:rPr>
          <w:caps/>
        </w:rPr>
        <w:t>Institut national de recherche en informatique et en automatique</w:t>
      </w:r>
      <w:r w:rsidRPr="00D236EF">
        <w:t xml:space="preserve"> (</w:t>
      </w:r>
      <w:r w:rsidR="003F4391">
        <w:t>INRIA</w:t>
      </w:r>
      <w:r w:rsidRPr="00D236EF">
        <w:t>)</w:t>
      </w:r>
      <w:r>
        <w:t xml:space="preserve"> produits pour les exercices 2004 à 2011, rendus par MM. </w:t>
      </w:r>
      <w:r w:rsidR="00732062">
        <w:t>X</w:t>
      </w:r>
      <w:r>
        <w:t xml:space="preserve">, jusqu’au 2 mars 2008, </w:t>
      </w:r>
      <w:r w:rsidR="00732062">
        <w:t>Y</w:t>
      </w:r>
      <w:r w:rsidR="003D4FD9">
        <w:t>, du 3</w:t>
      </w:r>
      <w:r w:rsidR="00DE374B">
        <w:t xml:space="preserve"> </w:t>
      </w:r>
      <w:r w:rsidRPr="00D236EF">
        <w:t>mars</w:t>
      </w:r>
      <w:r w:rsidR="00DE374B">
        <w:t xml:space="preserve"> </w:t>
      </w:r>
      <w:r w:rsidRPr="00D236EF">
        <w:t>2008 au 30</w:t>
      </w:r>
      <w:r w:rsidR="00DE374B">
        <w:t xml:space="preserve"> </w:t>
      </w:r>
      <w:r w:rsidRPr="00D236EF">
        <w:t>juin</w:t>
      </w:r>
      <w:r w:rsidR="00DE374B">
        <w:t xml:space="preserve"> </w:t>
      </w:r>
      <w:r w:rsidRPr="00D236EF">
        <w:t xml:space="preserve">2011, </w:t>
      </w:r>
      <w:r w:rsidR="00732062">
        <w:t>M</w:t>
      </w:r>
      <w:r w:rsidR="00732062" w:rsidRPr="00DE374B">
        <w:rPr>
          <w:vertAlign w:val="superscript"/>
        </w:rPr>
        <w:t>me</w:t>
      </w:r>
      <w:r w:rsidR="00732062">
        <w:t xml:space="preserve"> Z</w:t>
      </w:r>
      <w:r>
        <w:t>, comptable intérimaire du 1</w:t>
      </w:r>
      <w:r w:rsidRPr="00837502">
        <w:rPr>
          <w:vertAlign w:val="superscript"/>
        </w:rPr>
        <w:t>er</w:t>
      </w:r>
      <w:r w:rsidR="00DE374B">
        <w:t xml:space="preserve"> </w:t>
      </w:r>
      <w:r w:rsidRPr="00D236EF">
        <w:t>juillet au 30</w:t>
      </w:r>
      <w:r w:rsidR="00DE374B">
        <w:t xml:space="preserve"> </w:t>
      </w:r>
      <w:r w:rsidRPr="00D236EF">
        <w:t>novembre</w:t>
      </w:r>
      <w:r w:rsidR="00DE374B">
        <w:t xml:space="preserve"> </w:t>
      </w:r>
      <w:r w:rsidRPr="00D236EF">
        <w:t>2011</w:t>
      </w:r>
      <w:r>
        <w:t xml:space="preserve"> et </w:t>
      </w:r>
      <w:r w:rsidRPr="00D236EF">
        <w:t>M.</w:t>
      </w:r>
      <w:r w:rsidR="004F513F">
        <w:t> </w:t>
      </w:r>
      <w:r w:rsidR="00732062">
        <w:t>A</w:t>
      </w:r>
      <w:r>
        <w:t>, du 1</w:t>
      </w:r>
      <w:r w:rsidRPr="00837502">
        <w:rPr>
          <w:vertAlign w:val="superscript"/>
        </w:rPr>
        <w:t>er</w:t>
      </w:r>
      <w:r w:rsidR="00DE374B">
        <w:t xml:space="preserve"> </w:t>
      </w:r>
      <w:r>
        <w:t>décembre</w:t>
      </w:r>
      <w:r w:rsidR="00DE374B">
        <w:t xml:space="preserve"> </w:t>
      </w:r>
      <w:r>
        <w:t>2011</w:t>
      </w:r>
      <w:r w:rsidR="004F513F">
        <w:t xml:space="preserve"> au 13</w:t>
      </w:r>
      <w:r w:rsidR="00DE374B">
        <w:t xml:space="preserve"> </w:t>
      </w:r>
      <w:r w:rsidR="004F513F">
        <w:t>mars</w:t>
      </w:r>
      <w:r w:rsidR="00DE374B">
        <w:t xml:space="preserve"> </w:t>
      </w:r>
      <w:r w:rsidR="004F513F">
        <w:t>2012</w:t>
      </w:r>
      <w:r>
        <w:t>, agents comptable</w:t>
      </w:r>
      <w:r w:rsidR="00DE374B">
        <w:t>s</w:t>
      </w:r>
      <w:r>
        <w:t xml:space="preserve"> dudit établissement ;</w:t>
      </w:r>
    </w:p>
    <w:p w:rsidR="001C2C8D" w:rsidRPr="007E27CD" w:rsidRDefault="001C2C8D" w:rsidP="001C2C8D">
      <w:pPr>
        <w:pStyle w:val="Corpsdetexte"/>
      </w:pPr>
      <w:r w:rsidRPr="007E27CD">
        <w:t xml:space="preserve">Vu le réquisitoire </w:t>
      </w:r>
      <w:r>
        <w:t>n°</w:t>
      </w:r>
      <w:r w:rsidR="004F513F">
        <w:t> </w:t>
      </w:r>
      <w:r>
        <w:t>2013</w:t>
      </w:r>
      <w:r w:rsidR="004F513F">
        <w:t>-</w:t>
      </w:r>
      <w:r>
        <w:t>14</w:t>
      </w:r>
      <w:r w:rsidR="004F513F">
        <w:t>-</w:t>
      </w:r>
      <w:r w:rsidRPr="007E27CD">
        <w:t>DB en date du 8 avril 201</w:t>
      </w:r>
      <w:r w:rsidR="00907AC6">
        <w:t>3</w:t>
      </w:r>
      <w:r w:rsidRPr="007E27CD">
        <w:t xml:space="preserve"> par lequel le</w:t>
      </w:r>
      <w:r w:rsidR="00DE374B">
        <w:t xml:space="preserve"> </w:t>
      </w:r>
      <w:r w:rsidRPr="007E27CD">
        <w:t xml:space="preserve">Procureur général a saisi </w:t>
      </w:r>
      <w:r>
        <w:t xml:space="preserve">la </w:t>
      </w:r>
      <w:r w:rsidRPr="007E27CD">
        <w:t>Cour des comptes de présomption</w:t>
      </w:r>
      <w:r>
        <w:t>s</w:t>
      </w:r>
      <w:r w:rsidRPr="007E27CD">
        <w:t xml:space="preserve"> de charges susceptibles de conduire à la mise en jeu de la responsabilité personnelle et pécuniaire de </w:t>
      </w:r>
      <w:r>
        <w:t>MM. </w:t>
      </w:r>
      <w:r w:rsidR="00732062">
        <w:t>X</w:t>
      </w:r>
      <w:r w:rsidRPr="00D236EF">
        <w:t xml:space="preserve">, </w:t>
      </w:r>
      <w:r w:rsidR="00732062">
        <w:t>Y</w:t>
      </w:r>
      <w:r w:rsidRPr="00D236EF">
        <w:t xml:space="preserve">, </w:t>
      </w:r>
      <w:r w:rsidR="00732062">
        <w:t>M</w:t>
      </w:r>
      <w:r w:rsidR="00732062" w:rsidRPr="00DE374B">
        <w:rPr>
          <w:vertAlign w:val="superscript"/>
        </w:rPr>
        <w:t>me</w:t>
      </w:r>
      <w:r w:rsidR="00732062">
        <w:t xml:space="preserve"> Z</w:t>
      </w:r>
      <w:r>
        <w:t xml:space="preserve"> et M.</w:t>
      </w:r>
      <w:r w:rsidR="00DE374B">
        <w:t xml:space="preserve"> </w:t>
      </w:r>
      <w:r w:rsidR="00732062">
        <w:t>A</w:t>
      </w:r>
      <w:r w:rsidR="00DE374B">
        <w:t> </w:t>
      </w:r>
      <w:r>
        <w:t>;</w:t>
      </w:r>
    </w:p>
    <w:p w:rsidR="001C2C8D" w:rsidRPr="007E27CD" w:rsidRDefault="001C2C8D" w:rsidP="001C2C8D">
      <w:pPr>
        <w:pStyle w:val="Corpsdetexte"/>
      </w:pPr>
      <w:r w:rsidRPr="007E27CD">
        <w:t>Vu le code des juridictions financières ;</w:t>
      </w:r>
    </w:p>
    <w:p w:rsidR="001C2C8D" w:rsidRPr="00B052C8" w:rsidRDefault="001C2C8D" w:rsidP="001C2C8D">
      <w:pPr>
        <w:pStyle w:val="Corpsdetexte"/>
      </w:pPr>
      <w:r w:rsidRPr="00B052C8">
        <w:t xml:space="preserve">Vu l'article 60 </w:t>
      </w:r>
      <w:r>
        <w:t xml:space="preserve">modifié </w:t>
      </w:r>
      <w:r w:rsidRPr="00B052C8">
        <w:t>de la loi de finances n°</w:t>
      </w:r>
      <w:r w:rsidR="005A6968">
        <w:t> </w:t>
      </w:r>
      <w:r w:rsidRPr="00B052C8">
        <w:t>63-156 du 23 février 1963, dans sa rédaction issue de l’article 90 de la loi n° 2011-1978 du 28 décembre 2011 de finances rectificative pour 2011</w:t>
      </w:r>
      <w:r w:rsidRPr="00DE374B">
        <w:t xml:space="preserve"> </w:t>
      </w:r>
      <w:r w:rsidRPr="00B052C8">
        <w:t>;</w:t>
      </w:r>
    </w:p>
    <w:p w:rsidR="001C2C8D" w:rsidRPr="007E27CD" w:rsidRDefault="001C2C8D" w:rsidP="001C2C8D">
      <w:pPr>
        <w:pStyle w:val="Corpsdetexte"/>
      </w:pPr>
      <w:r w:rsidRPr="007E27CD">
        <w:t>Vu le code de commerce ;</w:t>
      </w:r>
    </w:p>
    <w:p w:rsidR="001C2C8D" w:rsidRPr="007E27CD" w:rsidRDefault="001C2C8D" w:rsidP="001C2C8D">
      <w:pPr>
        <w:pStyle w:val="Corpsdetexte"/>
      </w:pPr>
      <w:r w:rsidRPr="007E27CD">
        <w:t>Vu le code de l'entrée et du séjour des étrangers et du droit d'asile ;</w:t>
      </w:r>
    </w:p>
    <w:p w:rsidR="001C2C8D" w:rsidRPr="007E27CD" w:rsidRDefault="001C2C8D" w:rsidP="001C2C8D">
      <w:pPr>
        <w:pStyle w:val="Corpsdetexte"/>
      </w:pPr>
      <w:r w:rsidRPr="007E27CD">
        <w:t>Vu le code des marchés publics ;</w:t>
      </w:r>
    </w:p>
    <w:p w:rsidR="001C2C8D" w:rsidRDefault="001C2C8D" w:rsidP="001C2C8D">
      <w:pPr>
        <w:pStyle w:val="Corpsdetexte"/>
      </w:pPr>
      <w:r w:rsidRPr="007E27CD">
        <w:t>Vu le décret n°</w:t>
      </w:r>
      <w:r w:rsidR="004F513F">
        <w:t> </w:t>
      </w:r>
      <w:r w:rsidRPr="007E27CD">
        <w:t>62-1587 du 29 décembre 1962 modifié portant règlement général sur la comptabilité publique ;</w:t>
      </w:r>
    </w:p>
    <w:p w:rsidR="001C2C8D" w:rsidRDefault="001C2C8D" w:rsidP="001C2C8D">
      <w:pPr>
        <w:pStyle w:val="Corpsdetexte"/>
      </w:pPr>
      <w:r>
        <w:t>Vu le d</w:t>
      </w:r>
      <w:r w:rsidRPr="00B052C8">
        <w:t>écret n°</w:t>
      </w:r>
      <w:r w:rsidR="004F513F">
        <w:t> </w:t>
      </w:r>
      <w:r w:rsidRPr="00B052C8">
        <w:t>2012-1386 du 10 décembre 2012 portant application du deuxième alinéa du VI de l'article 60 de la l</w:t>
      </w:r>
      <w:r>
        <w:t>oi de finances de 1963 modifié ;</w:t>
      </w:r>
    </w:p>
    <w:p w:rsidR="001C2C8D" w:rsidRPr="007E27CD" w:rsidRDefault="001C2C8D" w:rsidP="001C2C8D">
      <w:pPr>
        <w:pStyle w:val="Corpsdetexte"/>
      </w:pPr>
      <w:r w:rsidRPr="007E27CD">
        <w:lastRenderedPageBreak/>
        <w:t>Vu le décret n° 85-831 du 2 août 1985 modifié portant organisation et</w:t>
      </w:r>
      <w:r w:rsidR="004F513F">
        <w:t> </w:t>
      </w:r>
      <w:r w:rsidRPr="007E27CD">
        <w:t>fonctionnement de l’Institut national de la recherche en informatique et en automatique</w:t>
      </w:r>
      <w:r w:rsidR="00DE374B">
        <w:t xml:space="preserve"> </w:t>
      </w:r>
      <w:r w:rsidRPr="007E27CD">
        <w:t>(</w:t>
      </w:r>
      <w:r w:rsidR="003F4391">
        <w:t>INRIA</w:t>
      </w:r>
      <w:r w:rsidRPr="007E27CD">
        <w:t>) ;</w:t>
      </w:r>
    </w:p>
    <w:p w:rsidR="001C2C8D" w:rsidRPr="007E27CD" w:rsidRDefault="001C2C8D" w:rsidP="001C2C8D">
      <w:pPr>
        <w:pStyle w:val="Corpsdetexte"/>
      </w:pPr>
      <w:r w:rsidRPr="007E27CD">
        <w:t>Vu les lois, décrets et règlements applicables aux établissements publics nationaux à caractère scientifique et technologique</w:t>
      </w:r>
      <w:r w:rsidR="00DE374B">
        <w:t> </w:t>
      </w:r>
      <w:r w:rsidRPr="007E27CD">
        <w:t>;</w:t>
      </w:r>
    </w:p>
    <w:p w:rsidR="001C2C8D" w:rsidRDefault="001C2C8D" w:rsidP="001C2C8D">
      <w:pPr>
        <w:pStyle w:val="Corpsdetexte"/>
      </w:pPr>
      <w:r w:rsidRPr="00D236EF">
        <w:t>Vu l'arrêté du Premier président de la C</w:t>
      </w:r>
      <w:r>
        <w:t>our des comptes n°</w:t>
      </w:r>
      <w:r w:rsidR="004F513F">
        <w:t> </w:t>
      </w:r>
      <w:r>
        <w:t>11-829 du 27</w:t>
      </w:r>
      <w:r w:rsidR="00DE374B">
        <w:t xml:space="preserve"> </w:t>
      </w:r>
      <w:r w:rsidRPr="00D236EF">
        <w:t>décembre</w:t>
      </w:r>
      <w:r w:rsidR="00DE374B">
        <w:t xml:space="preserve"> </w:t>
      </w:r>
      <w:r w:rsidRPr="00D236EF">
        <w:t>2011 portant répartition des attributions entre les chambres de la Cour des comptes, modifié par l'arrêté du Premier président de la Cour des comptes n°</w:t>
      </w:r>
      <w:r w:rsidR="00945C60">
        <w:t> </w:t>
      </w:r>
      <w:r w:rsidRPr="00D236EF">
        <w:t>12-470 du</w:t>
      </w:r>
      <w:r w:rsidR="00DE374B">
        <w:t xml:space="preserve"> </w:t>
      </w:r>
      <w:r w:rsidRPr="00D236EF">
        <w:t>31</w:t>
      </w:r>
      <w:r w:rsidR="00DE374B">
        <w:t xml:space="preserve"> </w:t>
      </w:r>
      <w:r w:rsidRPr="00D236EF">
        <w:t>juillet</w:t>
      </w:r>
      <w:r w:rsidR="00DE374B">
        <w:t xml:space="preserve"> </w:t>
      </w:r>
      <w:r w:rsidRPr="00D236EF">
        <w:t>2012 ;</w:t>
      </w:r>
    </w:p>
    <w:p w:rsidR="004F513F" w:rsidRDefault="004F513F" w:rsidP="001C2C8D">
      <w:pPr>
        <w:pStyle w:val="Corpsdetexte"/>
      </w:pPr>
      <w:r>
        <w:t>Vu les pièces de mutation des comptables ;</w:t>
      </w:r>
    </w:p>
    <w:p w:rsidR="001C2C8D" w:rsidRPr="003F4391" w:rsidRDefault="001C2C8D" w:rsidP="001C2C8D">
      <w:pPr>
        <w:pStyle w:val="Corpsdetexte"/>
      </w:pPr>
      <w:r w:rsidRPr="003F4391">
        <w:t>Vu les cautionnements du poste comptable de l’</w:t>
      </w:r>
      <w:r w:rsidR="003F4391" w:rsidRPr="003F4391">
        <w:t>INRIA</w:t>
      </w:r>
      <w:r w:rsidRPr="003F4391">
        <w:t xml:space="preserve"> et le</w:t>
      </w:r>
      <w:r w:rsidR="003F4391">
        <w:t>ur</w:t>
      </w:r>
      <w:r w:rsidRPr="003F4391">
        <w:t>s extraits d’inscription : pour M.</w:t>
      </w:r>
      <w:r w:rsidR="005379E6">
        <w:t> </w:t>
      </w:r>
      <w:r w:rsidR="00732062">
        <w:t>X</w:t>
      </w:r>
      <w:r w:rsidRPr="003F4391">
        <w:t xml:space="preserve"> : 184 615,76</w:t>
      </w:r>
      <w:r w:rsidR="004F513F">
        <w:t> </w:t>
      </w:r>
      <w:r w:rsidRPr="003F4391">
        <w:t>€ (extrait d’inscription en date du 22</w:t>
      </w:r>
      <w:r w:rsidR="00DE374B">
        <w:t xml:space="preserve"> </w:t>
      </w:r>
      <w:r w:rsidRPr="003F4391">
        <w:t>mars</w:t>
      </w:r>
      <w:r w:rsidR="00DE374B">
        <w:t xml:space="preserve"> </w:t>
      </w:r>
      <w:r w:rsidRPr="003F4391">
        <w:t>2002)</w:t>
      </w:r>
      <w:r w:rsidR="00DE374B">
        <w:t> </w:t>
      </w:r>
      <w:r w:rsidRPr="003F4391">
        <w:t xml:space="preserve">; pour </w:t>
      </w:r>
      <w:r w:rsidR="00732062">
        <w:t>M. Y</w:t>
      </w:r>
      <w:r w:rsidRPr="003F4391">
        <w:t xml:space="preserve"> : 196 400</w:t>
      </w:r>
      <w:r w:rsidR="00945C60">
        <w:t> </w:t>
      </w:r>
      <w:r w:rsidRPr="003F4391">
        <w:t>€ jusqu’au 31</w:t>
      </w:r>
      <w:r w:rsidR="00DE374B">
        <w:t xml:space="preserve"> </w:t>
      </w:r>
      <w:r w:rsidRPr="003F4391">
        <w:t>décembre</w:t>
      </w:r>
      <w:r w:rsidR="00DE374B">
        <w:t xml:space="preserve"> </w:t>
      </w:r>
      <w:r w:rsidRPr="003F4391">
        <w:t>2010 (extrait d’inscription en date du 16 avril 2008) et ensuite 199</w:t>
      </w:r>
      <w:r w:rsidR="004F513F">
        <w:t> </w:t>
      </w:r>
      <w:r w:rsidRPr="003F4391">
        <w:t>600</w:t>
      </w:r>
      <w:r w:rsidR="004F513F">
        <w:t> </w:t>
      </w:r>
      <w:r w:rsidRPr="003F4391">
        <w:t>€ (extrait d’inscription en date 5 janvier 2011)</w:t>
      </w:r>
      <w:r w:rsidR="00DE374B">
        <w:t> </w:t>
      </w:r>
      <w:r w:rsidRPr="003F4391">
        <w:t xml:space="preserve">; pour </w:t>
      </w:r>
      <w:r w:rsidR="00732062">
        <w:t>M. A</w:t>
      </w:r>
      <w:r w:rsidRPr="003F4391">
        <w:t xml:space="preserve"> : 199</w:t>
      </w:r>
      <w:r w:rsidR="004F513F">
        <w:t> </w:t>
      </w:r>
      <w:r w:rsidRPr="003F4391">
        <w:t>600</w:t>
      </w:r>
      <w:r w:rsidR="004F513F">
        <w:t> </w:t>
      </w:r>
      <w:r w:rsidRPr="003F4391">
        <w:t>€ (extrait d’inscript</w:t>
      </w:r>
      <w:r w:rsidR="003F4391" w:rsidRPr="003F4391">
        <w:t>ion en date 22 novembre 2011) ;</w:t>
      </w:r>
    </w:p>
    <w:p w:rsidR="001C2C8D" w:rsidRDefault="001C2C8D" w:rsidP="001C2C8D">
      <w:pPr>
        <w:pStyle w:val="Corpsdetexte"/>
      </w:pPr>
      <w:r w:rsidRPr="00442D13">
        <w:t>Vu les courriers adressés aux comptables et à l’ordonnateur, les réponses et les pièces produites à l’appui des comptes ou recueillies pendant l’instruction ;</w:t>
      </w:r>
    </w:p>
    <w:p w:rsidR="001C2C8D" w:rsidRPr="007E27CD" w:rsidRDefault="001C2C8D" w:rsidP="001C2C8D">
      <w:pPr>
        <w:pStyle w:val="Corpsdetexte"/>
      </w:pPr>
      <w:r>
        <w:t>Vu les pièces complémentaires, transmises par l’ordonnateur et les comptables, reçues à la Cour le 2 décembre 2013 ;</w:t>
      </w:r>
    </w:p>
    <w:p w:rsidR="00845234" w:rsidRDefault="00845234" w:rsidP="001C2C8D">
      <w:pPr>
        <w:pStyle w:val="Corpsdetexte"/>
      </w:pPr>
      <w:r>
        <w:t>Vu la réponse du comptable en poste précisant les modalités du contrôle sélectif de la dépense ;</w:t>
      </w:r>
    </w:p>
    <w:p w:rsidR="001C2C8D" w:rsidRPr="007E27CD" w:rsidRDefault="001C2C8D" w:rsidP="001C2C8D">
      <w:pPr>
        <w:pStyle w:val="Corpsdetexte"/>
      </w:pPr>
      <w:r w:rsidRPr="007E27CD">
        <w:t>Vu le rapport à fin d’arrêt n° 2013-697-0 de M.</w:t>
      </w:r>
      <w:r w:rsidR="004F513F">
        <w:t xml:space="preserve"> Omar </w:t>
      </w:r>
      <w:proofErr w:type="spellStart"/>
      <w:r w:rsidRPr="007E27CD">
        <w:t>Senhaji</w:t>
      </w:r>
      <w:proofErr w:type="spellEnd"/>
      <w:r w:rsidRPr="007E27CD">
        <w:t>, conseiller maître ;</w:t>
      </w:r>
    </w:p>
    <w:p w:rsidR="001C2C8D" w:rsidRPr="007E27CD" w:rsidRDefault="001C2C8D" w:rsidP="001C2C8D">
      <w:pPr>
        <w:pStyle w:val="Corpsdetexte"/>
      </w:pPr>
      <w:r w:rsidRPr="007E27CD">
        <w:t>Vu les conclusions n°</w:t>
      </w:r>
      <w:r w:rsidR="004F513F">
        <w:t> </w:t>
      </w:r>
      <w:r w:rsidRPr="007E27CD">
        <w:t>822 du Procureur général près la Cour des comptes en date du 26 novembre 2013 ;</w:t>
      </w:r>
    </w:p>
    <w:p w:rsidR="001C2C8D" w:rsidRDefault="00B81833" w:rsidP="001C2C8D">
      <w:pPr>
        <w:pStyle w:val="Corpsdetexte"/>
      </w:pPr>
      <w:r>
        <w:t xml:space="preserve">Vu la désignation, </w:t>
      </w:r>
      <w:r w:rsidR="001C2C8D" w:rsidRPr="00442D13">
        <w:t>par le président de la troisième chambre, de M. </w:t>
      </w:r>
      <w:r w:rsidR="00907AC6">
        <w:t xml:space="preserve">Francis </w:t>
      </w:r>
      <w:proofErr w:type="spellStart"/>
      <w:r w:rsidR="001C2C8D" w:rsidRPr="00442D13">
        <w:t>Saudubray</w:t>
      </w:r>
      <w:proofErr w:type="spellEnd"/>
      <w:r w:rsidR="001C2C8D" w:rsidRPr="00442D13">
        <w:t>, conseiller maître, comme réviseur</w:t>
      </w:r>
      <w:r w:rsidR="00DE374B">
        <w:t> </w:t>
      </w:r>
      <w:r w:rsidR="001C2C8D" w:rsidRPr="00442D13">
        <w:t>;</w:t>
      </w:r>
    </w:p>
    <w:p w:rsidR="001C2C8D" w:rsidRPr="007E27CD" w:rsidRDefault="001C2C8D" w:rsidP="001C2C8D">
      <w:pPr>
        <w:pStyle w:val="Corpsdetexte"/>
      </w:pPr>
      <w:r w:rsidRPr="007E27CD">
        <w:t>Entendus en audience publique, M.</w:t>
      </w:r>
      <w:r w:rsidR="004F513F">
        <w:t xml:space="preserve"> Omar </w:t>
      </w:r>
      <w:proofErr w:type="spellStart"/>
      <w:r w:rsidRPr="007E27CD">
        <w:t>Senhaji</w:t>
      </w:r>
      <w:proofErr w:type="spellEnd"/>
      <w:r w:rsidRPr="007E27CD">
        <w:t>, conseiller maître, en son rapport oral, M.</w:t>
      </w:r>
      <w:r w:rsidR="004F513F">
        <w:t xml:space="preserve"> Gilles </w:t>
      </w:r>
      <w:r w:rsidRPr="007E27CD">
        <w:t>Miller, avocat général en les conclusions du Parquet, l’ordonnateur et les agents comptables de l’</w:t>
      </w:r>
      <w:r w:rsidR="003F4391">
        <w:t>INRIA</w:t>
      </w:r>
      <w:r w:rsidRPr="007E27CD">
        <w:t xml:space="preserve"> informés de la tenue de l’audience, n’étant ni présents ni représentés ;</w:t>
      </w:r>
    </w:p>
    <w:p w:rsidR="001C2C8D" w:rsidRPr="007E27CD" w:rsidRDefault="001C2C8D" w:rsidP="001C2C8D">
      <w:pPr>
        <w:pStyle w:val="Corpsdetexte"/>
      </w:pPr>
      <w:r w:rsidRPr="007E27CD">
        <w:t>Après en avoir délibéré à huis clos, hors la présence du rapporteur et du</w:t>
      </w:r>
      <w:r w:rsidR="00DE374B">
        <w:t xml:space="preserve"> </w:t>
      </w:r>
      <w:r w:rsidRPr="007E27CD">
        <w:t>ministère public et entendu M. </w:t>
      </w:r>
      <w:r w:rsidR="004F513F">
        <w:t xml:space="preserve">Francis </w:t>
      </w:r>
      <w:proofErr w:type="spellStart"/>
      <w:r w:rsidRPr="007E27CD">
        <w:t>Saudubray</w:t>
      </w:r>
      <w:proofErr w:type="spellEnd"/>
      <w:r w:rsidRPr="007E27CD">
        <w:t>, conseiller maître, en ses</w:t>
      </w:r>
      <w:r w:rsidR="00DE374B">
        <w:t xml:space="preserve"> </w:t>
      </w:r>
      <w:r w:rsidRPr="007E27CD">
        <w:t>observations</w:t>
      </w:r>
      <w:r w:rsidR="004F513F">
        <w:t> </w:t>
      </w:r>
      <w:r w:rsidRPr="007E27CD">
        <w:t>;</w:t>
      </w:r>
    </w:p>
    <w:p w:rsidR="004F513F" w:rsidRDefault="004F513F">
      <w:pPr>
        <w:spacing w:before="0" w:after="0"/>
        <w:ind w:left="0" w:firstLine="0"/>
        <w:jc w:val="left"/>
      </w:pPr>
      <w:r>
        <w:br w:type="page"/>
      </w:r>
    </w:p>
    <w:p w:rsidR="007F6A68" w:rsidRPr="007E27CD" w:rsidRDefault="005E5571" w:rsidP="00837502">
      <w:pPr>
        <w:pStyle w:val="Corpsdetexte"/>
        <w:keepNext/>
        <w:ind w:firstLine="0"/>
        <w:jc w:val="center"/>
      </w:pPr>
      <w:r w:rsidRPr="007E27CD">
        <w:t>ORDONNE :</w:t>
      </w:r>
    </w:p>
    <w:p w:rsidR="001C2C8D" w:rsidRPr="00E75BED" w:rsidRDefault="00845234" w:rsidP="001C2C8D">
      <w:pPr>
        <w:pStyle w:val="Corpsdetexte"/>
        <w:keepNext/>
        <w:rPr>
          <w:b/>
          <w:i/>
          <w:u w:val="single"/>
        </w:rPr>
      </w:pPr>
      <w:bookmarkStart w:id="0" w:name="_Toc362618078"/>
      <w:r w:rsidRPr="00E75BED">
        <w:rPr>
          <w:b/>
          <w:i/>
          <w:u w:val="single"/>
        </w:rPr>
        <w:t>C</w:t>
      </w:r>
      <w:r w:rsidR="001C2C8D" w:rsidRPr="00E75BED">
        <w:rPr>
          <w:b/>
          <w:i/>
          <w:u w:val="single"/>
        </w:rPr>
        <w:t>harge n°</w:t>
      </w:r>
      <w:r w:rsidR="004F513F">
        <w:rPr>
          <w:b/>
          <w:i/>
          <w:u w:val="single"/>
        </w:rPr>
        <w:t> </w:t>
      </w:r>
      <w:r w:rsidR="001C2C8D" w:rsidRPr="00E75BED">
        <w:rPr>
          <w:b/>
          <w:i/>
          <w:u w:val="single"/>
        </w:rPr>
        <w:t>1</w:t>
      </w:r>
    </w:p>
    <w:bookmarkEnd w:id="0"/>
    <w:p w:rsidR="001C2C8D" w:rsidRPr="004D0385" w:rsidRDefault="001C2C8D" w:rsidP="001C2C8D">
      <w:pPr>
        <w:pStyle w:val="Corpsdetexte"/>
      </w:pPr>
      <w:r w:rsidRPr="004D0385">
        <w:t>Attendu que deux créances, émises au nom de la société VIDEOMETRIX, relatives aux titres de recette n°</w:t>
      </w:r>
      <w:r w:rsidR="004F513F">
        <w:t> </w:t>
      </w:r>
      <w:r w:rsidRPr="004D0385">
        <w:t>832 du 30 août 2007 et n°</w:t>
      </w:r>
      <w:r w:rsidR="004F513F">
        <w:t> </w:t>
      </w:r>
      <w:r w:rsidRPr="004D0385">
        <w:t>709 du 11 juillet 2008, d’un montant de 5 000 € chacun, ont été admises en non-valeur par le conseil d’administration de l’</w:t>
      </w:r>
      <w:r w:rsidR="003F4391">
        <w:t>INRIA</w:t>
      </w:r>
      <w:r w:rsidRPr="004D0385">
        <w:t xml:space="preserve"> </w:t>
      </w:r>
      <w:r w:rsidR="003F4391">
        <w:t>pendant</w:t>
      </w:r>
      <w:r w:rsidRPr="004D0385">
        <w:t xml:space="preserve"> l’exercice 2010 ; que la société VIDEOMETRIX a</w:t>
      </w:r>
      <w:r w:rsidR="00DE374B">
        <w:t xml:space="preserve"> </w:t>
      </w:r>
      <w:r w:rsidRPr="004D0385">
        <w:t xml:space="preserve">été </w:t>
      </w:r>
      <w:r w:rsidR="003F4391">
        <w:t>mise</w:t>
      </w:r>
      <w:r w:rsidRPr="004D0385">
        <w:t xml:space="preserve"> en liquidation judiciaire par jugement du 28</w:t>
      </w:r>
      <w:r w:rsidR="00DE374B">
        <w:t xml:space="preserve"> </w:t>
      </w:r>
      <w:r w:rsidRPr="004D0385">
        <w:t>novembre</w:t>
      </w:r>
      <w:r w:rsidR="00DE374B">
        <w:t xml:space="preserve"> </w:t>
      </w:r>
      <w:r w:rsidRPr="004D0385">
        <w:t>2007, publié au</w:t>
      </w:r>
      <w:r w:rsidR="00DE374B">
        <w:t xml:space="preserve"> </w:t>
      </w:r>
      <w:r w:rsidRPr="004D0385">
        <w:t>BODAC</w:t>
      </w:r>
      <w:r w:rsidR="00DE374B">
        <w:t>C</w:t>
      </w:r>
      <w:r w:rsidRPr="004D0385">
        <w:t xml:space="preserve"> le 12 décembre 2007 ; que la procédure a été clôturée pour insuffisance d’actif le 19</w:t>
      </w:r>
      <w:r w:rsidR="00DE374B">
        <w:t xml:space="preserve"> </w:t>
      </w:r>
      <w:r w:rsidRPr="004D0385">
        <w:t>octobre</w:t>
      </w:r>
      <w:r w:rsidR="00DE374B">
        <w:t xml:space="preserve"> </w:t>
      </w:r>
      <w:r w:rsidRPr="004D0385">
        <w:t>2009 par jugement du tribunal de commerce de Rennes ;</w:t>
      </w:r>
    </w:p>
    <w:p w:rsidR="001C2C8D" w:rsidRPr="00732F65" w:rsidRDefault="001C2C8D" w:rsidP="001C2C8D">
      <w:pPr>
        <w:pStyle w:val="Corpsdetexte"/>
        <w:rPr>
          <w:rFonts w:eastAsia="Calibri"/>
          <w:lang w:eastAsia="en-US"/>
        </w:rPr>
      </w:pPr>
      <w:r w:rsidRPr="00732F65">
        <w:rPr>
          <w:rFonts w:eastAsia="Calibri"/>
        </w:rPr>
        <w:t>Attendu que le réquisitoire du Procureur général</w:t>
      </w:r>
      <w:r w:rsidR="00A1038B" w:rsidRPr="00732F65">
        <w:rPr>
          <w:rFonts w:eastAsia="Calibri"/>
        </w:rPr>
        <w:t xml:space="preserve"> retient comme élément à</w:t>
      </w:r>
      <w:r w:rsidR="00DE374B">
        <w:rPr>
          <w:rFonts w:eastAsia="Calibri"/>
        </w:rPr>
        <w:t xml:space="preserve"> </w:t>
      </w:r>
      <w:r w:rsidR="00A1038B" w:rsidRPr="00732F65">
        <w:rPr>
          <w:rFonts w:eastAsia="Calibri"/>
        </w:rPr>
        <w:t>charge</w:t>
      </w:r>
      <w:r w:rsidRPr="00732F65">
        <w:rPr>
          <w:rFonts w:eastAsia="Calibri"/>
        </w:rPr>
        <w:t xml:space="preserve"> le défaut de diligences de M. </w:t>
      </w:r>
      <w:r w:rsidR="00732062">
        <w:rPr>
          <w:rFonts w:eastAsia="Calibri"/>
        </w:rPr>
        <w:t>X</w:t>
      </w:r>
      <w:r w:rsidRPr="00732F65">
        <w:rPr>
          <w:rFonts w:eastAsia="Calibri"/>
        </w:rPr>
        <w:t>, agent comptable de l’</w:t>
      </w:r>
      <w:r w:rsidR="003F4391" w:rsidRPr="00732F65">
        <w:rPr>
          <w:rFonts w:eastAsia="Calibri"/>
        </w:rPr>
        <w:t>INRIA</w:t>
      </w:r>
      <w:r w:rsidRPr="00732F65">
        <w:rPr>
          <w:rFonts w:eastAsia="Calibri"/>
        </w:rPr>
        <w:t>, lequel n’a pas déclaré dans le d</w:t>
      </w:r>
      <w:r w:rsidR="003F4391" w:rsidRPr="00732F65">
        <w:rPr>
          <w:rFonts w:eastAsia="Calibri"/>
        </w:rPr>
        <w:t>élai imparti, à titre définitif</w:t>
      </w:r>
      <w:r w:rsidRPr="00732F65">
        <w:rPr>
          <w:rFonts w:eastAsia="Calibri"/>
        </w:rPr>
        <w:t xml:space="preserve"> la créance de 5 000 € (titre n°</w:t>
      </w:r>
      <w:r w:rsidR="004F513F" w:rsidRPr="00732F65">
        <w:rPr>
          <w:rFonts w:eastAsia="Calibri"/>
        </w:rPr>
        <w:t> </w:t>
      </w:r>
      <w:r w:rsidRPr="00732F65">
        <w:rPr>
          <w:rFonts w:eastAsia="Calibri"/>
        </w:rPr>
        <w:t>832/2007) et à titre provisionnel la créance de 5 000 € (titre n° 709/2008) ; que</w:t>
      </w:r>
      <w:r w:rsidR="00DE374B">
        <w:rPr>
          <w:rFonts w:eastAsia="Calibri"/>
        </w:rPr>
        <w:t xml:space="preserve"> </w:t>
      </w:r>
      <w:r w:rsidRPr="00732F65">
        <w:rPr>
          <w:rFonts w:eastAsia="Calibri"/>
        </w:rPr>
        <w:t>l</w:t>
      </w:r>
      <w:r w:rsidRPr="00732F65">
        <w:rPr>
          <w:rFonts w:eastAsia="Calibri"/>
          <w:lang w:eastAsia="en-US"/>
        </w:rPr>
        <w:t>e comptable se trouvait ainsi forclos ;</w:t>
      </w:r>
    </w:p>
    <w:p w:rsidR="001C2C8D" w:rsidRPr="00732F65" w:rsidRDefault="001C2C8D" w:rsidP="001C2C8D">
      <w:pPr>
        <w:pStyle w:val="Corpsdetexte"/>
        <w:rPr>
          <w:rFonts w:eastAsia="Calibri"/>
        </w:rPr>
      </w:pPr>
      <w:r w:rsidRPr="00732F65">
        <w:rPr>
          <w:rFonts w:eastAsia="Calibri"/>
        </w:rPr>
        <w:t>Attendu que le comptable invoque son ignorance de la procédure de liquidation judiciaire de la société V</w:t>
      </w:r>
      <w:r w:rsidR="003F4391" w:rsidRPr="00732F65">
        <w:rPr>
          <w:rFonts w:eastAsia="Calibri"/>
        </w:rPr>
        <w:t>IDEOMETRIX</w:t>
      </w:r>
      <w:r w:rsidRPr="00732F65">
        <w:rPr>
          <w:rFonts w:eastAsia="Calibri"/>
        </w:rPr>
        <w:t> ; qu’il n’aurait été averti de l’ouverture de la</w:t>
      </w:r>
      <w:r w:rsidR="003F4391" w:rsidRPr="00732F65">
        <w:rPr>
          <w:rFonts w:eastAsia="Calibri"/>
        </w:rPr>
        <w:t>dite</w:t>
      </w:r>
      <w:r w:rsidRPr="00732F65">
        <w:rPr>
          <w:rFonts w:eastAsia="Calibri"/>
        </w:rPr>
        <w:t xml:space="preserve"> procédure que par une note du 14 septembre 2009 du service des affaires administratives et juridiques de l’</w:t>
      </w:r>
      <w:r w:rsidR="003F4391" w:rsidRPr="00732F65">
        <w:rPr>
          <w:rFonts w:eastAsia="Calibri"/>
        </w:rPr>
        <w:t>INRIA</w:t>
      </w:r>
      <w:r w:rsidRPr="00732F65">
        <w:rPr>
          <w:rFonts w:eastAsia="Calibri"/>
        </w:rPr>
        <w:t xml:space="preserve"> ; que, </w:t>
      </w:r>
      <w:r w:rsidR="003F4391" w:rsidRPr="00732F65">
        <w:rPr>
          <w:rFonts w:eastAsia="Calibri"/>
        </w:rPr>
        <w:t>consécutivement</w:t>
      </w:r>
      <w:r w:rsidRPr="00732F65">
        <w:rPr>
          <w:rFonts w:eastAsia="Calibri"/>
        </w:rPr>
        <w:t xml:space="preserve"> à diverses correspondances en 2009 entre </w:t>
      </w:r>
      <w:r w:rsidR="003F4391" w:rsidRPr="00732F65">
        <w:rPr>
          <w:rFonts w:eastAsia="Calibri"/>
        </w:rPr>
        <w:t>ce service</w:t>
      </w:r>
      <w:r w:rsidRPr="00732F65">
        <w:rPr>
          <w:rFonts w:eastAsia="Calibri"/>
        </w:rPr>
        <w:t xml:space="preserve"> et le mandataire judiciaire, le titre de recette n°</w:t>
      </w:r>
      <w:r w:rsidR="004F513F" w:rsidRPr="00732F65">
        <w:rPr>
          <w:rFonts w:eastAsia="Calibri"/>
        </w:rPr>
        <w:t> </w:t>
      </w:r>
      <w:r w:rsidRPr="00732F65">
        <w:rPr>
          <w:rFonts w:eastAsia="Calibri"/>
        </w:rPr>
        <w:t>832 du 30 août 2007 avait été pris en compte dans la liquidation judiciaire comme créance chirographaire ; q</w:t>
      </w:r>
      <w:r w:rsidRPr="00732F65">
        <w:rPr>
          <w:rFonts w:eastAsia="Calibri"/>
          <w:lang w:eastAsia="en-US"/>
        </w:rPr>
        <w:t xml:space="preserve">u’il soutient que l’exigibilité de la seconde créance était incertaine et n’atteignait pas la somme indiquée ; </w:t>
      </w:r>
      <w:r w:rsidR="00B81833" w:rsidRPr="00732F65">
        <w:rPr>
          <w:rFonts w:eastAsia="Calibri"/>
          <w:lang w:eastAsia="en-US"/>
        </w:rPr>
        <w:t>q</w:t>
      </w:r>
      <w:r w:rsidRPr="00732F65">
        <w:rPr>
          <w:rFonts w:eastAsia="Calibri"/>
        </w:rPr>
        <w:t xml:space="preserve">ue </w:t>
      </w:r>
      <w:r w:rsidR="003F4391" w:rsidRPr="00732F65">
        <w:rPr>
          <w:rFonts w:eastAsia="Calibri"/>
        </w:rPr>
        <w:t>même si</w:t>
      </w:r>
      <w:r w:rsidRPr="00732F65">
        <w:rPr>
          <w:rFonts w:eastAsia="Calibri"/>
        </w:rPr>
        <w:t xml:space="preserve"> les créances </w:t>
      </w:r>
      <w:r w:rsidR="003F4391" w:rsidRPr="00732F65">
        <w:rPr>
          <w:rFonts w:eastAsia="Calibri"/>
        </w:rPr>
        <w:t>avaient été</w:t>
      </w:r>
      <w:r w:rsidRPr="00732F65">
        <w:rPr>
          <w:rFonts w:eastAsia="Calibri"/>
        </w:rPr>
        <w:t xml:space="preserve"> déclarées dans les délais ou admises au vu d’un relevé de forclusion, l’</w:t>
      </w:r>
      <w:r w:rsidR="003F4391" w:rsidRPr="00732F65">
        <w:rPr>
          <w:rFonts w:eastAsia="Calibri"/>
        </w:rPr>
        <w:t>INRIA</w:t>
      </w:r>
      <w:r w:rsidRPr="00732F65">
        <w:rPr>
          <w:rFonts w:eastAsia="Calibri"/>
        </w:rPr>
        <w:t xml:space="preserve"> n’aurait pu être désintéressé faute d’actif suffisant pour les créanciers chirographaires ; que la mise en cause de la responsabilité personnelle et pécuniaire du comptable procurerait à</w:t>
      </w:r>
      <w:r w:rsidR="00DE374B">
        <w:rPr>
          <w:rFonts w:eastAsia="Calibri"/>
        </w:rPr>
        <w:t xml:space="preserve"> </w:t>
      </w:r>
      <w:r w:rsidRPr="00732F65">
        <w:rPr>
          <w:rFonts w:eastAsia="Calibri"/>
        </w:rPr>
        <w:t>l’</w:t>
      </w:r>
      <w:r w:rsidR="003F4391" w:rsidRPr="00732F65">
        <w:rPr>
          <w:rFonts w:eastAsia="Calibri"/>
        </w:rPr>
        <w:t>INRIA</w:t>
      </w:r>
      <w:r w:rsidRPr="00732F65">
        <w:rPr>
          <w:rFonts w:eastAsia="Calibri"/>
        </w:rPr>
        <w:t xml:space="preserve"> un enrichissement sans cause ;</w:t>
      </w:r>
    </w:p>
    <w:p w:rsidR="001C2C8D" w:rsidRPr="00732F65" w:rsidRDefault="001C2C8D" w:rsidP="001C2C8D">
      <w:pPr>
        <w:pStyle w:val="Corpsdetexte"/>
        <w:rPr>
          <w:rFonts w:eastAsia="Calibri"/>
        </w:rPr>
      </w:pPr>
      <w:r w:rsidRPr="00732F65">
        <w:rPr>
          <w:rFonts w:eastAsia="Calibri"/>
        </w:rPr>
        <w:t xml:space="preserve">Attendu que les pièces du dossier </w:t>
      </w:r>
      <w:r w:rsidR="003F4391" w:rsidRPr="00732F65">
        <w:rPr>
          <w:rFonts w:eastAsia="Calibri"/>
        </w:rPr>
        <w:t>montrent</w:t>
      </w:r>
      <w:r w:rsidRPr="00732F65">
        <w:rPr>
          <w:rFonts w:eastAsia="Calibri"/>
        </w:rPr>
        <w:t xml:space="preserve"> que les créances n’ont pas été déclarées au passif de la procédure ; que le mandataire judiciaire a transmis à l’</w:t>
      </w:r>
      <w:r w:rsidR="003F4391" w:rsidRPr="00732F65">
        <w:rPr>
          <w:rFonts w:eastAsia="Calibri"/>
        </w:rPr>
        <w:t>INRIA</w:t>
      </w:r>
      <w:r w:rsidRPr="00732F65">
        <w:rPr>
          <w:rFonts w:eastAsia="Calibri"/>
        </w:rPr>
        <w:t xml:space="preserve"> un état des créances qui lui a été remis par le gérant de la société et non par </w:t>
      </w:r>
      <w:r w:rsidR="003F4391" w:rsidRPr="00732F65">
        <w:rPr>
          <w:rFonts w:eastAsia="Calibri"/>
        </w:rPr>
        <w:t>l’établissement</w:t>
      </w:r>
      <w:r w:rsidRPr="00732F65">
        <w:rPr>
          <w:rFonts w:eastAsia="Calibri"/>
        </w:rPr>
        <w:t> ; que cet état des créances, établi par le débiteur, est exigé dans la procédure de dépôt de bilan et ne peut être assimilé à une déclaration de la part du créancier ;</w:t>
      </w:r>
    </w:p>
    <w:p w:rsidR="001C2C8D" w:rsidRPr="00732F65" w:rsidRDefault="001C2C8D" w:rsidP="001C2C8D">
      <w:pPr>
        <w:pStyle w:val="Corpsdetexte"/>
        <w:rPr>
          <w:rFonts w:eastAsia="Calibri"/>
        </w:rPr>
      </w:pPr>
      <w:r w:rsidRPr="00732F65">
        <w:rPr>
          <w:rFonts w:eastAsia="Calibri"/>
        </w:rPr>
        <w:t xml:space="preserve">Attendu que la deuxième créance devait </w:t>
      </w:r>
      <w:r w:rsidR="003F4391" w:rsidRPr="00732F65">
        <w:rPr>
          <w:rFonts w:eastAsia="Calibri"/>
        </w:rPr>
        <w:t xml:space="preserve">elle </w:t>
      </w:r>
      <w:r w:rsidRPr="00732F65">
        <w:rPr>
          <w:rFonts w:eastAsia="Calibri"/>
        </w:rPr>
        <w:t>aussi être produite ; que</w:t>
      </w:r>
      <w:r w:rsidR="00DE374B">
        <w:rPr>
          <w:rFonts w:eastAsia="Calibri"/>
        </w:rPr>
        <w:t xml:space="preserve"> </w:t>
      </w:r>
      <w:r w:rsidRPr="00732F65">
        <w:rPr>
          <w:rFonts w:eastAsia="Calibri"/>
        </w:rPr>
        <w:t xml:space="preserve">l’obligation de déclarer une créance est générale, </w:t>
      </w:r>
      <w:r w:rsidR="00B81833" w:rsidRPr="00732F65">
        <w:rPr>
          <w:rFonts w:eastAsia="Calibri"/>
        </w:rPr>
        <w:t>qu</w:t>
      </w:r>
      <w:r w:rsidR="003F4391" w:rsidRPr="00732F65">
        <w:rPr>
          <w:rFonts w:eastAsia="Calibri"/>
        </w:rPr>
        <w:t>’ell</w:t>
      </w:r>
      <w:r w:rsidR="00B81833" w:rsidRPr="00732F65">
        <w:rPr>
          <w:rFonts w:eastAsia="Calibri"/>
        </w:rPr>
        <w:t xml:space="preserve">e </w:t>
      </w:r>
      <w:r w:rsidR="00845234" w:rsidRPr="00732F65">
        <w:rPr>
          <w:rFonts w:eastAsia="Calibri"/>
        </w:rPr>
        <w:t xml:space="preserve">soit certaine ou contestée, </w:t>
      </w:r>
      <w:r w:rsidRPr="00732F65">
        <w:rPr>
          <w:rFonts w:eastAsia="Calibri"/>
        </w:rPr>
        <w:t>conditionnelle, éventuelle, liquide ou non, exigible ou à terme ;</w:t>
      </w:r>
    </w:p>
    <w:p w:rsidR="001C2C8D" w:rsidRPr="00732F65" w:rsidRDefault="001C2C8D" w:rsidP="001C2C8D">
      <w:pPr>
        <w:pStyle w:val="Corpsdetexte"/>
        <w:rPr>
          <w:rFonts w:eastAsia="Calibri"/>
        </w:rPr>
      </w:pPr>
      <w:r w:rsidRPr="00732F65">
        <w:rPr>
          <w:rFonts w:eastAsia="Calibri"/>
        </w:rPr>
        <w:t xml:space="preserve">Attendu </w:t>
      </w:r>
      <w:r w:rsidR="00845234" w:rsidRPr="00732F65">
        <w:rPr>
          <w:rFonts w:eastAsia="Calibri"/>
        </w:rPr>
        <w:t>que, conformément aux articles 11 et 15 du décret du 29 décembre 1962 portant règlement général sur la comptabilité publique, le comptable est seul chargé du recouvrement des créances et assume la direction du poste comptable ; qu’à</w:t>
      </w:r>
      <w:r w:rsidR="00DE374B">
        <w:rPr>
          <w:rFonts w:eastAsia="Calibri"/>
        </w:rPr>
        <w:t xml:space="preserve"> </w:t>
      </w:r>
      <w:r w:rsidR="00845234" w:rsidRPr="00732F65">
        <w:rPr>
          <w:rFonts w:eastAsia="Calibri"/>
        </w:rPr>
        <w:t>ce titre</w:t>
      </w:r>
      <w:r w:rsidR="003F4391" w:rsidRPr="00732F65">
        <w:rPr>
          <w:rFonts w:eastAsia="Calibri"/>
        </w:rPr>
        <w:t>,</w:t>
      </w:r>
      <w:r w:rsidR="00845234" w:rsidRPr="00732F65">
        <w:rPr>
          <w:rFonts w:eastAsia="Calibri"/>
        </w:rPr>
        <w:t xml:space="preserve"> il lui </w:t>
      </w:r>
      <w:r w:rsidRPr="00732F65">
        <w:rPr>
          <w:rFonts w:eastAsia="Calibri"/>
        </w:rPr>
        <w:t xml:space="preserve">appartient </w:t>
      </w:r>
      <w:r w:rsidR="00845234" w:rsidRPr="00732F65">
        <w:rPr>
          <w:rFonts w:eastAsia="Calibri"/>
        </w:rPr>
        <w:t>d’organiser le poste</w:t>
      </w:r>
      <w:r w:rsidRPr="00732F65">
        <w:rPr>
          <w:rFonts w:eastAsia="Calibri"/>
        </w:rPr>
        <w:t xml:space="preserve"> dont il a la responsabilité, en relation avec l’ordonnateur</w:t>
      </w:r>
      <w:r w:rsidR="003F4391" w:rsidRPr="00732F65">
        <w:rPr>
          <w:rFonts w:eastAsia="Calibri"/>
        </w:rPr>
        <w:t>,</w:t>
      </w:r>
      <w:r w:rsidRPr="00732F65">
        <w:rPr>
          <w:rFonts w:eastAsia="Calibri"/>
        </w:rPr>
        <w:t xml:space="preserve"> afin qu’il soit informé sans délai de tous les événements susceptibles d’affecter les créances qu’il a pris</w:t>
      </w:r>
      <w:r w:rsidR="00DE374B">
        <w:rPr>
          <w:rFonts w:eastAsia="Calibri"/>
        </w:rPr>
        <w:t>es</w:t>
      </w:r>
      <w:r w:rsidRPr="00732F65">
        <w:rPr>
          <w:rFonts w:eastAsia="Calibri"/>
        </w:rPr>
        <w:t xml:space="preserve"> en charge et la solvabilité des débiteurs de l’établissement public ;</w:t>
      </w:r>
    </w:p>
    <w:p w:rsidR="004F513F" w:rsidRPr="00732F65" w:rsidRDefault="004F513F">
      <w:pPr>
        <w:spacing w:before="0" w:after="0"/>
        <w:ind w:left="0" w:firstLine="0"/>
        <w:jc w:val="left"/>
        <w:rPr>
          <w:rFonts w:eastAsia="Calibri"/>
        </w:rPr>
      </w:pPr>
      <w:r w:rsidRPr="00732F65">
        <w:rPr>
          <w:rFonts w:eastAsia="Calibri"/>
        </w:rPr>
        <w:br w:type="page"/>
      </w:r>
    </w:p>
    <w:p w:rsidR="00845234" w:rsidRPr="00732F65" w:rsidRDefault="00845234" w:rsidP="00845234">
      <w:pPr>
        <w:pStyle w:val="Corpsdetexte"/>
        <w:rPr>
          <w:rFonts w:eastAsia="Calibri"/>
        </w:rPr>
      </w:pPr>
      <w:r w:rsidRPr="00732F65">
        <w:rPr>
          <w:rFonts w:eastAsia="Calibri"/>
        </w:rPr>
        <w:t xml:space="preserve">Attendu que le moyen selon lequel l’établissement n’aurait pu être désintéressé du fait </w:t>
      </w:r>
      <w:r w:rsidR="00C51D37" w:rsidRPr="00732F65">
        <w:rPr>
          <w:rFonts w:eastAsia="Calibri"/>
        </w:rPr>
        <w:t xml:space="preserve">que </w:t>
      </w:r>
      <w:r w:rsidRPr="00732F65">
        <w:rPr>
          <w:rFonts w:eastAsia="Calibri"/>
        </w:rPr>
        <w:t xml:space="preserve">la procédure </w:t>
      </w:r>
      <w:r w:rsidR="00C51D37" w:rsidRPr="00732F65">
        <w:rPr>
          <w:rFonts w:eastAsia="Calibri"/>
        </w:rPr>
        <w:t>a</w:t>
      </w:r>
      <w:r w:rsidRPr="00732F65">
        <w:rPr>
          <w:rFonts w:eastAsia="Calibri"/>
        </w:rPr>
        <w:t xml:space="preserve"> </w:t>
      </w:r>
      <w:r w:rsidR="003F4391" w:rsidRPr="00732F65">
        <w:rPr>
          <w:rFonts w:eastAsia="Calibri"/>
        </w:rPr>
        <w:t xml:space="preserve">finalement été </w:t>
      </w:r>
      <w:r w:rsidRPr="00732F65">
        <w:rPr>
          <w:rFonts w:eastAsia="Calibri"/>
        </w:rPr>
        <w:t>clôtur</w:t>
      </w:r>
      <w:r w:rsidR="003F4391" w:rsidRPr="00732F65">
        <w:rPr>
          <w:rFonts w:eastAsia="Calibri"/>
        </w:rPr>
        <w:t>é</w:t>
      </w:r>
      <w:r w:rsidRPr="00732F65">
        <w:rPr>
          <w:rFonts w:eastAsia="Calibri"/>
        </w:rPr>
        <w:t xml:space="preserve">e pour insuffisance d’actif ne </w:t>
      </w:r>
      <w:r w:rsidR="003F4391" w:rsidRPr="00732F65">
        <w:rPr>
          <w:rFonts w:eastAsia="Calibri"/>
        </w:rPr>
        <w:t>saurait</w:t>
      </w:r>
      <w:r w:rsidRPr="00732F65">
        <w:rPr>
          <w:rFonts w:eastAsia="Calibri"/>
        </w:rPr>
        <w:t xml:space="preserve"> être retenu dans la mesure où </w:t>
      </w:r>
      <w:r w:rsidR="003F4391" w:rsidRPr="00732F65">
        <w:rPr>
          <w:rFonts w:eastAsia="Calibri"/>
        </w:rPr>
        <w:t xml:space="preserve">cette information n’était évidemment pas connue au moment où le comptable </w:t>
      </w:r>
      <w:r w:rsidR="003A4E1A" w:rsidRPr="00732F65">
        <w:rPr>
          <w:rFonts w:eastAsia="Calibri"/>
        </w:rPr>
        <w:t>se devait de déclarer les deux créances en cause ;</w:t>
      </w:r>
      <w:r w:rsidR="003F4391" w:rsidRPr="00732F65">
        <w:rPr>
          <w:rFonts w:eastAsia="Calibri"/>
        </w:rPr>
        <w:t xml:space="preserve"> </w:t>
      </w:r>
      <w:r w:rsidRPr="00732F65">
        <w:rPr>
          <w:rFonts w:eastAsia="Calibri"/>
        </w:rPr>
        <w:t>que le manquement du comptable s’apprécie au moment des faits</w:t>
      </w:r>
      <w:r w:rsidR="00DE374B">
        <w:rPr>
          <w:rFonts w:eastAsia="Calibri"/>
        </w:rPr>
        <w:t> </w:t>
      </w:r>
      <w:r w:rsidRPr="00732F65">
        <w:rPr>
          <w:rFonts w:eastAsia="Calibri"/>
        </w:rPr>
        <w:t xml:space="preserve">; qu’il est constitué par l’absence </w:t>
      </w:r>
      <w:r w:rsidR="003A4E1A" w:rsidRPr="00732F65">
        <w:rPr>
          <w:rFonts w:eastAsia="Calibri"/>
        </w:rPr>
        <w:t xml:space="preserve">même </w:t>
      </w:r>
      <w:r w:rsidRPr="00732F65">
        <w:rPr>
          <w:rFonts w:eastAsia="Calibri"/>
        </w:rPr>
        <w:t>de déclaration des créances ;</w:t>
      </w:r>
    </w:p>
    <w:p w:rsidR="00845234" w:rsidRPr="00732F65" w:rsidRDefault="00845234" w:rsidP="00845234">
      <w:pPr>
        <w:pStyle w:val="Corpsdetexte"/>
        <w:rPr>
          <w:rFonts w:eastAsia="Calibri"/>
        </w:rPr>
      </w:pPr>
      <w:r w:rsidRPr="00732F65">
        <w:rPr>
          <w:rFonts w:eastAsia="Calibri"/>
        </w:rPr>
        <w:t xml:space="preserve">Attendu que le moyen selon lequel la mise en cause de la responsabilité personnelle et pécuniaire du comptable procurerait à l’établissement un enrichissement sans cause n’est pas </w:t>
      </w:r>
      <w:r w:rsidR="00B66D08" w:rsidRPr="00732F65">
        <w:rPr>
          <w:rFonts w:eastAsia="Calibri"/>
        </w:rPr>
        <w:t>démontré</w:t>
      </w:r>
      <w:r w:rsidR="00DE374B">
        <w:rPr>
          <w:rFonts w:eastAsia="Calibri"/>
        </w:rPr>
        <w:t> </w:t>
      </w:r>
      <w:r w:rsidR="003A4E1A" w:rsidRPr="00732F65">
        <w:rPr>
          <w:rFonts w:eastAsia="Calibri"/>
        </w:rPr>
        <w:t>;</w:t>
      </w:r>
    </w:p>
    <w:p w:rsidR="001C2C8D" w:rsidRPr="00732F65" w:rsidRDefault="001C2C8D" w:rsidP="001C2C8D">
      <w:pPr>
        <w:pStyle w:val="Corpsdetexte"/>
        <w:rPr>
          <w:rFonts w:eastAsia="Calibri"/>
        </w:rPr>
      </w:pPr>
      <w:r w:rsidRPr="00732F65">
        <w:rPr>
          <w:rFonts w:eastAsia="Calibri"/>
        </w:rPr>
        <w:t>Considérant que les comptables publics sont personnellement et pécuniairement responsables du recouvrement des recettes</w:t>
      </w:r>
      <w:r w:rsidR="00DE374B">
        <w:rPr>
          <w:rFonts w:eastAsia="Calibri"/>
        </w:rPr>
        <w:t> </w:t>
      </w:r>
      <w:r w:rsidRPr="00732F65">
        <w:rPr>
          <w:rFonts w:eastAsia="Calibri"/>
        </w:rPr>
        <w:t xml:space="preserve">; que l’article 11 du décret du 29 décembre 1962 portant règlement général sur la comptabilité publique précise que les comptables publics sont seuls chargés de la prise en charge et du recouvrement des ordres de recettes qui leur sont </w:t>
      </w:r>
      <w:r w:rsidR="003A4E1A" w:rsidRPr="00732F65">
        <w:rPr>
          <w:rFonts w:eastAsia="Calibri"/>
        </w:rPr>
        <w:t>confiés</w:t>
      </w:r>
      <w:r w:rsidRPr="00732F65">
        <w:rPr>
          <w:rFonts w:eastAsia="Calibri"/>
        </w:rPr>
        <w:t xml:space="preserve"> par les ordonnateurs, des créances constatées par un contrat, un titre de propriété, ou autre titre dont ils assurent la conservation</w:t>
      </w:r>
      <w:r w:rsidR="00DE374B">
        <w:rPr>
          <w:rFonts w:eastAsia="Calibri"/>
        </w:rPr>
        <w:t> </w:t>
      </w:r>
      <w:r w:rsidRPr="00732F65">
        <w:rPr>
          <w:rFonts w:eastAsia="Calibri"/>
        </w:rPr>
        <w:t>;</w:t>
      </w:r>
    </w:p>
    <w:p w:rsidR="001C2C8D" w:rsidRPr="00732F65" w:rsidRDefault="001C2C8D" w:rsidP="001C2C8D">
      <w:pPr>
        <w:pStyle w:val="Corpsdetexte"/>
        <w:rPr>
          <w:rFonts w:eastAsia="Calibri"/>
        </w:rPr>
      </w:pPr>
      <w:r w:rsidRPr="00732F65">
        <w:rPr>
          <w:rFonts w:eastAsia="Calibri"/>
        </w:rPr>
        <w:t xml:space="preserve">Considérant que les créances résultant d’opérations effectuées antérieurement au jugement d’ouverture de la procédure relèvent des articles L. 622-26 et R. 622-24 du code de commerce ; qu’il appartenait au comptable de déclarer </w:t>
      </w:r>
      <w:r w:rsidR="00C51D37" w:rsidRPr="00732F65">
        <w:rPr>
          <w:rFonts w:eastAsia="Calibri"/>
        </w:rPr>
        <w:t xml:space="preserve">les deux </w:t>
      </w:r>
      <w:r w:rsidRPr="00732F65">
        <w:rPr>
          <w:rFonts w:eastAsia="Calibri"/>
        </w:rPr>
        <w:t>créance</w:t>
      </w:r>
      <w:r w:rsidR="00C51D37" w:rsidRPr="00732F65">
        <w:rPr>
          <w:rFonts w:eastAsia="Calibri"/>
        </w:rPr>
        <w:t xml:space="preserve">s, </w:t>
      </w:r>
      <w:r w:rsidRPr="00732F65">
        <w:rPr>
          <w:rFonts w:eastAsia="Calibri"/>
        </w:rPr>
        <w:t>au passif, avant le terme de deux mois à compter de la publication du jugement d’ouverture de la procédure, le 28 novembre 2007, ce délai expirant le</w:t>
      </w:r>
      <w:r w:rsidR="00DE374B">
        <w:rPr>
          <w:rFonts w:eastAsia="Calibri"/>
        </w:rPr>
        <w:t xml:space="preserve"> </w:t>
      </w:r>
      <w:r w:rsidRPr="00732F65">
        <w:rPr>
          <w:rFonts w:eastAsia="Calibri"/>
        </w:rPr>
        <w:t>28</w:t>
      </w:r>
      <w:r w:rsidR="00DE374B">
        <w:rPr>
          <w:rFonts w:eastAsia="Calibri"/>
        </w:rPr>
        <w:t xml:space="preserve"> </w:t>
      </w:r>
      <w:r w:rsidRPr="00732F65">
        <w:rPr>
          <w:rFonts w:eastAsia="Calibri"/>
        </w:rPr>
        <w:t>janvier</w:t>
      </w:r>
      <w:r w:rsidR="00DE374B">
        <w:rPr>
          <w:rFonts w:eastAsia="Calibri"/>
        </w:rPr>
        <w:t xml:space="preserve"> </w:t>
      </w:r>
      <w:r w:rsidRPr="00732F65">
        <w:rPr>
          <w:rFonts w:eastAsia="Calibri"/>
        </w:rPr>
        <w:t>2008 ;</w:t>
      </w:r>
    </w:p>
    <w:p w:rsidR="001C2C8D" w:rsidRPr="004D0385" w:rsidRDefault="001C2C8D" w:rsidP="001C2C8D">
      <w:pPr>
        <w:pStyle w:val="Corpsdetexte"/>
      </w:pPr>
      <w:r w:rsidRPr="00732F65">
        <w:rPr>
          <w:rFonts w:eastAsia="Calibri"/>
        </w:rPr>
        <w:t>Attendu que la responsabilité des comptables du fait du recouvrement des recettes s’apprécie en fonction des diligences exercées qui doivent être « </w:t>
      </w:r>
      <w:r w:rsidRPr="00732F65">
        <w:rPr>
          <w:rFonts w:eastAsia="Calibri"/>
          <w:i/>
        </w:rPr>
        <w:t>adéquates, complètes et rapides</w:t>
      </w:r>
      <w:r w:rsidRPr="00732F65">
        <w:rPr>
          <w:rFonts w:eastAsia="Calibri"/>
        </w:rPr>
        <w:t> » ; que l</w:t>
      </w:r>
      <w:r w:rsidRPr="004D0385">
        <w:t xml:space="preserve">e comptable dont les diligences ont été incomplètes et insuffisantes, par ignorance ou par négligence, ne peut dégager sa responsabilité qui </w:t>
      </w:r>
      <w:r w:rsidR="003A4E1A">
        <w:t>résulte de</w:t>
      </w:r>
      <w:r w:rsidRPr="004D0385">
        <w:t xml:space="preserve"> l’absence</w:t>
      </w:r>
      <w:r w:rsidR="003A4E1A">
        <w:t xml:space="preserve"> de déclaration, en temps utile</w:t>
      </w:r>
      <w:r w:rsidRPr="004D0385">
        <w:t xml:space="preserve">, des créances au passif de la procédure et d’une demande de relevé de forclusion dans les délais impartis ; que l’absence de déclaration a définitivement compromis l’admission des créances au passif ; que l’agent comptable a </w:t>
      </w:r>
      <w:r w:rsidR="003A4E1A">
        <w:t xml:space="preserve">ainsi </w:t>
      </w:r>
      <w:r w:rsidRPr="004D0385">
        <w:t>manqué à ses obligations et engagé sa responsabilité au titre de l'article 60 modifié de la loi n°</w:t>
      </w:r>
      <w:r w:rsidR="00C51D37">
        <w:t> </w:t>
      </w:r>
      <w:r w:rsidRPr="004D0385">
        <w:t>63-156 du 23 février 1963 ;</w:t>
      </w:r>
    </w:p>
    <w:p w:rsidR="001C2C8D" w:rsidRPr="00732F65" w:rsidRDefault="001C2C8D" w:rsidP="001C2C8D">
      <w:pPr>
        <w:pStyle w:val="Corpsdetexte"/>
        <w:rPr>
          <w:rFonts w:eastAsia="Calibri"/>
        </w:rPr>
      </w:pPr>
      <w:r w:rsidRPr="00732F65">
        <w:rPr>
          <w:rFonts w:eastAsia="Calibri"/>
        </w:rPr>
        <w:t xml:space="preserve">Attendu qu’en l’espèce, le moyen tiré d’une éventuelle « force majeure » prévu par l’article 60-V de la loi </w:t>
      </w:r>
      <w:r w:rsidR="00C51D37" w:rsidRPr="00732F65">
        <w:rPr>
          <w:rFonts w:eastAsia="Calibri"/>
        </w:rPr>
        <w:t xml:space="preserve">n° 63-156 </w:t>
      </w:r>
      <w:r w:rsidRPr="00732F65">
        <w:rPr>
          <w:rFonts w:eastAsia="Calibri"/>
        </w:rPr>
        <w:t xml:space="preserve">du 23 février 1963, n’est </w:t>
      </w:r>
      <w:r w:rsidR="003A4E1A" w:rsidRPr="00732F65">
        <w:rPr>
          <w:rFonts w:eastAsia="Calibri"/>
        </w:rPr>
        <w:t>pas</w:t>
      </w:r>
      <w:r w:rsidRPr="00732F65">
        <w:rPr>
          <w:rFonts w:eastAsia="Calibri"/>
        </w:rPr>
        <w:t xml:space="preserve"> allégué ;</w:t>
      </w:r>
    </w:p>
    <w:p w:rsidR="001C2C8D" w:rsidRPr="004D0385" w:rsidRDefault="001C2C8D" w:rsidP="001C2C8D">
      <w:pPr>
        <w:pStyle w:val="Corpsdetexte"/>
      </w:pPr>
      <w:r w:rsidRPr="00732F65">
        <w:rPr>
          <w:rFonts w:eastAsia="Calibri"/>
        </w:rPr>
        <w:t xml:space="preserve">Considérant que </w:t>
      </w:r>
      <w:r w:rsidRPr="004D0385">
        <w:rPr>
          <w:lang w:eastAsia="en-US"/>
        </w:rPr>
        <w:t>le défaut de déclaration d’une créance au passif d’une</w:t>
      </w:r>
      <w:r w:rsidR="00DE374B">
        <w:rPr>
          <w:lang w:eastAsia="en-US"/>
        </w:rPr>
        <w:t xml:space="preserve"> </w:t>
      </w:r>
      <w:r w:rsidRPr="004D0385">
        <w:rPr>
          <w:lang w:eastAsia="en-US"/>
        </w:rPr>
        <w:t>procédure collective a constitué un manquement du comptable du fait de son</w:t>
      </w:r>
      <w:r w:rsidR="00DE374B">
        <w:rPr>
          <w:lang w:eastAsia="en-US"/>
        </w:rPr>
        <w:t xml:space="preserve"> </w:t>
      </w:r>
      <w:r w:rsidRPr="004D0385">
        <w:rPr>
          <w:lang w:eastAsia="en-US"/>
        </w:rPr>
        <w:t>inaction et produit un préjudice financier pour l’établissement ; qu’en conséquence il est fait</w:t>
      </w:r>
      <w:r w:rsidR="00DE374B">
        <w:rPr>
          <w:lang w:eastAsia="en-US"/>
        </w:rPr>
        <w:t xml:space="preserve"> </w:t>
      </w:r>
      <w:r w:rsidRPr="004D0385">
        <w:rPr>
          <w:lang w:eastAsia="en-US"/>
        </w:rPr>
        <w:t>application des dispositions l’article 60-VI, 3</w:t>
      </w:r>
      <w:r w:rsidRPr="004D0385">
        <w:rPr>
          <w:vertAlign w:val="superscript"/>
          <w:lang w:eastAsia="en-US"/>
        </w:rPr>
        <w:t>ème</w:t>
      </w:r>
      <w:r w:rsidRPr="004D0385">
        <w:rPr>
          <w:lang w:eastAsia="en-US"/>
        </w:rPr>
        <w:t xml:space="preserve"> alinéa de la </w:t>
      </w:r>
      <w:r w:rsidR="00C51D37">
        <w:rPr>
          <w:lang w:eastAsia="en-US"/>
        </w:rPr>
        <w:t>loi n° 63-156 du</w:t>
      </w:r>
      <w:r w:rsidR="00DE374B">
        <w:rPr>
          <w:lang w:eastAsia="en-US"/>
        </w:rPr>
        <w:t xml:space="preserve"> </w:t>
      </w:r>
      <w:r w:rsidR="00C51D37">
        <w:rPr>
          <w:lang w:eastAsia="en-US"/>
        </w:rPr>
        <w:t>23</w:t>
      </w:r>
      <w:r w:rsidR="00DE374B">
        <w:rPr>
          <w:lang w:eastAsia="en-US"/>
        </w:rPr>
        <w:t xml:space="preserve"> </w:t>
      </w:r>
      <w:r w:rsidR="00C51D37">
        <w:rPr>
          <w:lang w:eastAsia="en-US"/>
        </w:rPr>
        <w:t>février</w:t>
      </w:r>
      <w:r w:rsidR="00DE374B">
        <w:rPr>
          <w:lang w:eastAsia="en-US"/>
        </w:rPr>
        <w:t xml:space="preserve"> </w:t>
      </w:r>
      <w:r w:rsidR="00C51D37">
        <w:rPr>
          <w:lang w:eastAsia="en-US"/>
        </w:rPr>
        <w:t>1963</w:t>
      </w:r>
      <w:r w:rsidRPr="004D0385">
        <w:rPr>
          <w:lang w:eastAsia="en-US"/>
        </w:rPr>
        <w:t> </w:t>
      </w:r>
      <w:r w:rsidRPr="004D0385">
        <w:t xml:space="preserve">; </w:t>
      </w:r>
    </w:p>
    <w:p w:rsidR="001C2C8D" w:rsidRPr="004D0385" w:rsidRDefault="001C2C8D" w:rsidP="00B81833">
      <w:pPr>
        <w:pStyle w:val="Corpsdetexte"/>
        <w:keepNext/>
      </w:pPr>
      <w:r w:rsidRPr="004D0385">
        <w:lastRenderedPageBreak/>
        <w:t>Par ces motifs,</w:t>
      </w:r>
    </w:p>
    <w:p w:rsidR="001C2C8D" w:rsidRPr="00C51D37" w:rsidRDefault="001C2C8D" w:rsidP="00B81833">
      <w:pPr>
        <w:pStyle w:val="Corpsdetexte"/>
        <w:keepNext/>
      </w:pPr>
      <w:r w:rsidRPr="00C51D37">
        <w:t>-</w:t>
      </w:r>
      <w:r w:rsidR="00A12E56">
        <w:t> </w:t>
      </w:r>
      <w:r w:rsidRPr="00C51D37">
        <w:t>M.</w:t>
      </w:r>
      <w:r w:rsidR="00A12E56">
        <w:t> </w:t>
      </w:r>
      <w:r w:rsidR="00732062">
        <w:t>X</w:t>
      </w:r>
      <w:r w:rsidRPr="00C51D37">
        <w:t xml:space="preserve"> est constitué débiteur envers l’</w:t>
      </w:r>
      <w:r w:rsidR="003F4391">
        <w:t>INRIA</w:t>
      </w:r>
      <w:r w:rsidRPr="00C51D37">
        <w:t xml:space="preserve">, au titre de </w:t>
      </w:r>
      <w:r w:rsidR="00B81833">
        <w:t>s</w:t>
      </w:r>
      <w:r w:rsidRPr="00C51D37">
        <w:t>a gestion</w:t>
      </w:r>
      <w:r w:rsidR="00DE374B">
        <w:t xml:space="preserve"> </w:t>
      </w:r>
      <w:r w:rsidRPr="00C51D37">
        <w:t>2008, de la somme de dix mille euros (</w:t>
      </w:r>
      <w:r w:rsidR="00C51D37">
        <w:t xml:space="preserve">5 000 € </w:t>
      </w:r>
      <w:r w:rsidR="00DE374B">
        <w:t>×</w:t>
      </w:r>
      <w:r w:rsidR="00C51D37">
        <w:t xml:space="preserve"> 2 = </w:t>
      </w:r>
      <w:r w:rsidRPr="00C51D37">
        <w:t>10</w:t>
      </w:r>
      <w:r w:rsidR="00A12E56">
        <w:t> </w:t>
      </w:r>
      <w:r w:rsidRPr="00C51D37">
        <w:t>000</w:t>
      </w:r>
      <w:r w:rsidR="00A12E56">
        <w:t> </w:t>
      </w:r>
      <w:r w:rsidRPr="00C51D37">
        <w:t>€), augmentée des intérêts de droit à compter du 22 avril 2013 date de la réception du réquisitoire par le</w:t>
      </w:r>
      <w:r w:rsidR="00DE374B">
        <w:t xml:space="preserve"> </w:t>
      </w:r>
      <w:r w:rsidRPr="00C51D37">
        <w:t>comptable ;</w:t>
      </w:r>
    </w:p>
    <w:p w:rsidR="001C2C8D" w:rsidRPr="00E75BED" w:rsidRDefault="00C51D37" w:rsidP="00DE374B">
      <w:pPr>
        <w:pStyle w:val="Corpsdetexte"/>
        <w:keepNext/>
        <w:spacing w:before="360"/>
        <w:rPr>
          <w:b/>
          <w:i/>
          <w:u w:val="single"/>
        </w:rPr>
      </w:pPr>
      <w:bookmarkStart w:id="1" w:name="_Toc370115387"/>
      <w:bookmarkStart w:id="2" w:name="_Toc362618079"/>
      <w:bookmarkStart w:id="3" w:name="_Toc370896976"/>
      <w:r w:rsidRPr="00E75BED">
        <w:rPr>
          <w:b/>
          <w:i/>
          <w:u w:val="single"/>
        </w:rPr>
        <w:t>C</w:t>
      </w:r>
      <w:r w:rsidR="001C2C8D" w:rsidRPr="00E75BED">
        <w:rPr>
          <w:b/>
          <w:i/>
          <w:u w:val="single"/>
        </w:rPr>
        <w:t>harge</w:t>
      </w:r>
      <w:bookmarkEnd w:id="1"/>
      <w:bookmarkEnd w:id="2"/>
      <w:bookmarkEnd w:id="3"/>
      <w:r w:rsidR="001C2C8D" w:rsidRPr="00E75BED">
        <w:rPr>
          <w:b/>
          <w:i/>
          <w:u w:val="single"/>
        </w:rPr>
        <w:t xml:space="preserve"> n° 2</w:t>
      </w:r>
    </w:p>
    <w:p w:rsidR="001C2C8D" w:rsidRPr="004D0385" w:rsidRDefault="001C2C8D" w:rsidP="001C2C8D">
      <w:pPr>
        <w:pStyle w:val="Corpsdetexte"/>
        <w:keepNext/>
      </w:pPr>
      <w:r w:rsidRPr="004D0385">
        <w:t>Attendu que M.</w:t>
      </w:r>
      <w:r w:rsidR="00A12E56">
        <w:t> </w:t>
      </w:r>
      <w:r w:rsidR="00732062">
        <w:t>Y</w:t>
      </w:r>
      <w:r w:rsidRPr="004D0385">
        <w:t>, agent comptable de l’</w:t>
      </w:r>
      <w:r w:rsidR="003F4391">
        <w:t>INRIA</w:t>
      </w:r>
      <w:r w:rsidRPr="004D0385">
        <w:t>, a mis en paiement les mandats n°</w:t>
      </w:r>
      <w:r w:rsidR="00A12E56">
        <w:t> </w:t>
      </w:r>
      <w:r w:rsidRPr="004D0385">
        <w:t>35139 et n° 35140 (bordereau de mandats n° 2450 de l’exercice 2010) au profit, le premier, de la société Pinson paysage, le second, au profit d’Égide, pour des montants respectifs de 2 870,40 € et 14 684,78 €</w:t>
      </w:r>
      <w:r w:rsidR="003A4E1A">
        <w:t>,</w:t>
      </w:r>
      <w:r w:rsidRPr="004D0385">
        <w:t> soit un  total de 17 555,18 € ;</w:t>
      </w:r>
    </w:p>
    <w:p w:rsidR="001C2C8D" w:rsidRPr="004D0385" w:rsidRDefault="001C2C8D" w:rsidP="001C2C8D">
      <w:pPr>
        <w:pStyle w:val="Corpsdetexte"/>
      </w:pPr>
      <w:r w:rsidRPr="004D0385">
        <w:t>Attendu que le réquisitoire du Procureur général</w:t>
      </w:r>
      <w:r w:rsidR="00A1038B">
        <w:t xml:space="preserve"> retient comme élément à</w:t>
      </w:r>
      <w:r w:rsidR="00DE374B">
        <w:t xml:space="preserve"> </w:t>
      </w:r>
      <w:r w:rsidR="00A1038B">
        <w:t>charge</w:t>
      </w:r>
      <w:r w:rsidRPr="004D0385">
        <w:t xml:space="preserve"> que les mandats n’étaient pas signés</w:t>
      </w:r>
      <w:r w:rsidR="003A4E1A">
        <w:t>,</w:t>
      </w:r>
      <w:r w:rsidRPr="004D0385">
        <w:t xml:space="preserve"> ce qui ne permettait pas au comptable de </w:t>
      </w:r>
      <w:r w:rsidR="003A4E1A">
        <w:t>s’assurer de</w:t>
      </w:r>
      <w:r w:rsidRPr="004D0385">
        <w:t xml:space="preserve"> la qualité de l’ordonnateur ou de son délégué ;</w:t>
      </w:r>
    </w:p>
    <w:p w:rsidR="001C2C8D" w:rsidRPr="004D0385" w:rsidRDefault="001C2C8D" w:rsidP="001C2C8D">
      <w:pPr>
        <w:pStyle w:val="Corpsdetexte"/>
      </w:pPr>
      <w:r w:rsidRPr="004D0385">
        <w:t xml:space="preserve">Attendu qu’en réponse, le comptable justifie l’absence de contrôle de la signature de l’ordonnateur par </w:t>
      </w:r>
      <w:r w:rsidR="003A4E1A">
        <w:t>le grand nombre</w:t>
      </w:r>
      <w:r w:rsidRPr="004D0385">
        <w:t xml:space="preserve"> de mandats à traiter </w:t>
      </w:r>
      <w:r w:rsidR="003A4E1A" w:rsidRPr="004D0385">
        <w:t xml:space="preserve">dans un délai limité  </w:t>
      </w:r>
      <w:r w:rsidRPr="004D0385">
        <w:t>en période de clôture comptable</w:t>
      </w:r>
      <w:r w:rsidR="00DE374B">
        <w:t> </w:t>
      </w:r>
      <w:r w:rsidRPr="004D0385">
        <w:t xml:space="preserve">; qu’il </w:t>
      </w:r>
      <w:r w:rsidR="00500399">
        <w:t>fait valoir</w:t>
      </w:r>
      <w:r w:rsidRPr="004D0385">
        <w:t>, par ailleurs, que ces dépenses correspondaient à des engagements budgétaires de l’ordonnateur comme l’atteste</w:t>
      </w:r>
      <w:r w:rsidR="00500399">
        <w:t>rait</w:t>
      </w:r>
      <w:r w:rsidRPr="004D0385">
        <w:t xml:space="preserve"> le devis accepté sur lequel figure la mention « bon pour accord » pour le mandat n° 35139 (société Pinson) et l’attestation du « service fait » pour le mandat n° 3</w:t>
      </w:r>
      <w:r w:rsidR="00A1038B">
        <w:t>5140 (Egide) ;</w:t>
      </w:r>
      <w:r w:rsidR="00C51D37" w:rsidRPr="00C51D37">
        <w:t xml:space="preserve"> </w:t>
      </w:r>
      <w:r w:rsidR="00B81833">
        <w:t xml:space="preserve">qu’il ajoute </w:t>
      </w:r>
      <w:r w:rsidR="00C51D37" w:rsidRPr="00C51D37">
        <w:t>que la mise en cause de la responsabilité personnelle et pécuniaire du comptable procurerait à l’</w:t>
      </w:r>
      <w:r w:rsidR="003F4391">
        <w:t>INRIA</w:t>
      </w:r>
      <w:r w:rsidR="00C51D37" w:rsidRPr="00C51D37">
        <w:t xml:space="preserve"> un enrichissement sans cause</w:t>
      </w:r>
      <w:r w:rsidR="00DE374B">
        <w:t> </w:t>
      </w:r>
      <w:r w:rsidR="00C51D37" w:rsidRPr="00C51D37">
        <w:t>;</w:t>
      </w:r>
    </w:p>
    <w:p w:rsidR="001C2C8D" w:rsidRPr="00B4326D" w:rsidRDefault="001C2C8D" w:rsidP="00B4326D">
      <w:pPr>
        <w:pStyle w:val="Corpsdetexte"/>
      </w:pPr>
      <w:r w:rsidRPr="00B4326D">
        <w:t>Considérant qu’en dépenses</w:t>
      </w:r>
      <w:r w:rsidR="00500399">
        <w:t>,</w:t>
      </w:r>
      <w:r w:rsidRPr="00B4326D">
        <w:t xml:space="preserve"> le comptable est tenu d’exercer les contrôles prescrits par le décret du 29 décembre 1962 portant règlement général sur la comptabilité publique</w:t>
      </w:r>
      <w:r w:rsidR="00500399">
        <w:t>,</w:t>
      </w:r>
      <w:r w:rsidRPr="00B4326D">
        <w:t xml:space="preserve"> notamment </w:t>
      </w:r>
      <w:r w:rsidR="00500399">
        <w:t>en son article 11 qui</w:t>
      </w:r>
      <w:r w:rsidRPr="00B4326D">
        <w:t xml:space="preserve"> </w:t>
      </w:r>
      <w:r w:rsidR="00500399">
        <w:t>dispose</w:t>
      </w:r>
      <w:r w:rsidRPr="00B4326D">
        <w:t xml:space="preserve"> que les comptables publics sont seuls chargés du paiement des dépenses sur ordres émanant des ordonnateurs accrédités ; que l’article 28 </w:t>
      </w:r>
      <w:r w:rsidR="00500399">
        <w:t xml:space="preserve">du même décret </w:t>
      </w:r>
      <w:r w:rsidRPr="00B4326D">
        <w:t>précise qu’avant d’être payées, les dépenses sont engagées, liquidées et, le cas échéant, ordonnancées ; que l’article 32 prévoit que l’ordonnancement des dépenses est prescrit soit directement par les ordonnateurs principaux, soit par les ordonnateurs secondaires ; que l’article</w:t>
      </w:r>
      <w:r w:rsidR="00DE374B">
        <w:t xml:space="preserve"> </w:t>
      </w:r>
      <w:r w:rsidRPr="00B4326D">
        <w:t>170 dispose que les ordres de dépenses, établis par l’ordonnateur sont transmis, accompagnés des pièces justificatives</w:t>
      </w:r>
      <w:r w:rsidR="00500399">
        <w:t>,</w:t>
      </w:r>
      <w:r w:rsidRPr="00B4326D">
        <w:t xml:space="preserve"> à l’agent comptable qui les prend en charge et procède à leur règlement ;</w:t>
      </w:r>
    </w:p>
    <w:p w:rsidR="001C2C8D" w:rsidRPr="00B4326D" w:rsidRDefault="001C2C8D" w:rsidP="00B4326D">
      <w:pPr>
        <w:pStyle w:val="Corpsdetexte"/>
      </w:pPr>
      <w:r w:rsidRPr="00B4326D">
        <w:t>Considérant que l’instruction de la direction générale des finances publiques n° 03</w:t>
      </w:r>
      <w:r w:rsidRPr="00B4326D">
        <w:noBreakHyphen/>
        <w:t>043</w:t>
      </w:r>
      <w:r w:rsidRPr="00B4326D">
        <w:noBreakHyphen/>
        <w:t>M9 du 25</w:t>
      </w:r>
      <w:r w:rsidR="0030386B">
        <w:t xml:space="preserve"> </w:t>
      </w:r>
      <w:r w:rsidRPr="00B4326D">
        <w:t>juillet</w:t>
      </w:r>
      <w:r w:rsidR="0030386B">
        <w:t xml:space="preserve"> </w:t>
      </w:r>
      <w:r w:rsidRPr="00B4326D">
        <w:t xml:space="preserve">2003, en vigueur </w:t>
      </w:r>
      <w:r w:rsidR="00500399">
        <w:t>au moment</w:t>
      </w:r>
      <w:r w:rsidRPr="00B4326D">
        <w:t xml:space="preserve"> des paiements, </w:t>
      </w:r>
      <w:r w:rsidR="00F02460">
        <w:t>indiquait</w:t>
      </w:r>
      <w:r w:rsidRPr="00B4326D">
        <w:t xml:space="preserve"> explicitement que la signature de l’ordonnateur sur le bordereau d’émission des ordres de dépenses, vaut ordre de payer et certification du service fait ; qu’elle précisait par ailleurs qu’en application des articles</w:t>
      </w:r>
      <w:r w:rsidR="0030386B">
        <w:t xml:space="preserve"> </w:t>
      </w:r>
      <w:r w:rsidRPr="00B4326D">
        <w:t>12 et 13 du décret du 29</w:t>
      </w:r>
      <w:r w:rsidR="00945C60">
        <w:t> </w:t>
      </w:r>
      <w:r w:rsidRPr="00B4326D">
        <w:t>décembre</w:t>
      </w:r>
      <w:r w:rsidR="00945C60">
        <w:t> </w:t>
      </w:r>
      <w:r w:rsidRPr="00B4326D">
        <w:t>1962, le comptable ne contrôlera plus que la seule signature de l’ordonnateur accompagnée de la mention « pour valoir certification du service fait et ordre de payer » sur le bordereau</w:t>
      </w:r>
      <w:r w:rsidR="00A1038B" w:rsidRPr="00B4326D">
        <w:t> ;</w:t>
      </w:r>
    </w:p>
    <w:p w:rsidR="001C2C8D" w:rsidRDefault="001C2C8D" w:rsidP="00B4326D">
      <w:pPr>
        <w:pStyle w:val="Corpsdetexte"/>
      </w:pPr>
      <w:r w:rsidRPr="00B4326D">
        <w:t>Considéra</w:t>
      </w:r>
      <w:r w:rsidR="00F02460">
        <w:t>nt que le comptable ne disposai</w:t>
      </w:r>
      <w:r w:rsidRPr="00B4326D">
        <w:t>t pas de la signature de l’ordonnateur</w:t>
      </w:r>
      <w:r w:rsidR="00F02460">
        <w:t xml:space="preserve"> au moment du paiement ; qu’il</w:t>
      </w:r>
      <w:r w:rsidRPr="00B4326D">
        <w:t xml:space="preserve"> n’a pas procédé au contrôle auquel il est tenu en vertu de l’article 12</w:t>
      </w:r>
      <w:r w:rsidR="0030386B">
        <w:t xml:space="preserve"> </w:t>
      </w:r>
      <w:r w:rsidRPr="00B4326D">
        <w:t>B du décret du 29 décembre 1962 portant règlement général sur la comptabilité publique ; qu’il a de ce fait manqué à ses obligations et engagé sa responsabilité</w:t>
      </w:r>
      <w:r w:rsidR="0030386B">
        <w:t xml:space="preserve"> </w:t>
      </w:r>
      <w:r w:rsidRPr="00B4326D">
        <w:t xml:space="preserve">au titre de l’article 60 de la </w:t>
      </w:r>
      <w:r w:rsidR="00C51D37">
        <w:t>loi n° 63-156 du 23 février 1963</w:t>
      </w:r>
      <w:r w:rsidRPr="00B4326D">
        <w:t> ;</w:t>
      </w:r>
    </w:p>
    <w:p w:rsidR="00D95642" w:rsidRPr="00732F65" w:rsidRDefault="00D95642" w:rsidP="00A12E56">
      <w:pPr>
        <w:pStyle w:val="Corpsdetexte"/>
        <w:spacing w:before="240" w:after="240"/>
        <w:rPr>
          <w:rFonts w:eastAsia="Calibri"/>
        </w:rPr>
      </w:pPr>
      <w:r w:rsidRPr="00732F65">
        <w:rPr>
          <w:rFonts w:eastAsia="Calibri"/>
        </w:rPr>
        <w:lastRenderedPageBreak/>
        <w:t xml:space="preserve">Attendu que le moyen selon lequel la mise en cause de la responsabilité personnelle et pécuniaire du comptable procurerait à l’établissement un enrichissement sans cause n’est pas </w:t>
      </w:r>
      <w:r w:rsidR="00F02460" w:rsidRPr="00732F65">
        <w:rPr>
          <w:rFonts w:eastAsia="Calibri"/>
        </w:rPr>
        <w:t>démontré</w:t>
      </w:r>
      <w:r w:rsidR="002A24BF" w:rsidRPr="00732F65">
        <w:rPr>
          <w:rFonts w:eastAsia="Calibri"/>
        </w:rPr>
        <w:t xml:space="preserve"> </w:t>
      </w:r>
      <w:r w:rsidRPr="00732F65">
        <w:rPr>
          <w:rFonts w:eastAsia="Calibri"/>
        </w:rPr>
        <w:t>;</w:t>
      </w:r>
    </w:p>
    <w:p w:rsidR="001C2C8D" w:rsidRPr="00B4326D" w:rsidRDefault="001C2C8D" w:rsidP="00A12E56">
      <w:pPr>
        <w:pStyle w:val="Corpsdetexte"/>
        <w:spacing w:before="240" w:after="240"/>
      </w:pPr>
      <w:r w:rsidRPr="00B4326D">
        <w:t xml:space="preserve">Attendu qu’en l’espèce, le moyen tiré d’une éventuelle « force majeure » prévu par l’article 60-V de la </w:t>
      </w:r>
      <w:r w:rsidR="00C51D37">
        <w:t>loi n° 63-156 du 23 février 1963</w:t>
      </w:r>
      <w:r w:rsidRPr="00B4326D">
        <w:t xml:space="preserve">, n’est </w:t>
      </w:r>
      <w:r w:rsidR="00F02460">
        <w:t>pas</w:t>
      </w:r>
      <w:r w:rsidRPr="00B4326D">
        <w:t xml:space="preserve"> allégué ;</w:t>
      </w:r>
    </w:p>
    <w:p w:rsidR="001C2C8D" w:rsidRPr="00B4326D" w:rsidRDefault="001C2C8D" w:rsidP="00A12E56">
      <w:pPr>
        <w:pStyle w:val="Corpsdetexte"/>
        <w:spacing w:before="240" w:after="240"/>
      </w:pPr>
      <w:r w:rsidRPr="00B4326D">
        <w:t>Attendu que faute de signature de l’ordonnateur, le comptable ne disposait pas d’ordre de payer ; qu’ainsi l’établissement n’était pas redevable des sommes en</w:t>
      </w:r>
      <w:r w:rsidR="0030386B">
        <w:t xml:space="preserve"> </w:t>
      </w:r>
      <w:r w:rsidRPr="00B4326D">
        <w:t>cause</w:t>
      </w:r>
      <w:r w:rsidR="0030386B">
        <w:t> </w:t>
      </w:r>
      <w:r w:rsidRPr="00B4326D">
        <w:t xml:space="preserve">; que </w:t>
      </w:r>
      <w:r w:rsidR="00F02460">
        <w:t>leur</w:t>
      </w:r>
      <w:r w:rsidRPr="00B4326D">
        <w:t xml:space="preserve"> paiement par le comptable </w:t>
      </w:r>
      <w:r w:rsidR="00F02460">
        <w:t xml:space="preserve">a </w:t>
      </w:r>
      <w:r w:rsidR="002A24BF">
        <w:t>causé</w:t>
      </w:r>
      <w:r w:rsidRPr="00B4326D">
        <w:t xml:space="preserve"> un préjudice financier à</w:t>
      </w:r>
      <w:r w:rsidR="0030386B">
        <w:t xml:space="preserve"> </w:t>
      </w:r>
      <w:r w:rsidRPr="00B4326D">
        <w:t>l’établissement ; qu’en conséquence il est fait application des dis</w:t>
      </w:r>
      <w:r w:rsidR="00B81833">
        <w:t>positions</w:t>
      </w:r>
      <w:r w:rsidR="00A12E56">
        <w:br/>
      </w:r>
      <w:r w:rsidR="00B81833">
        <w:t>l’article</w:t>
      </w:r>
      <w:r w:rsidR="0030386B">
        <w:t xml:space="preserve"> </w:t>
      </w:r>
      <w:r w:rsidR="00B81833">
        <w:t>60-VI, 3</w:t>
      </w:r>
      <w:r w:rsidR="00B81833" w:rsidRPr="00B81833">
        <w:rPr>
          <w:vertAlign w:val="superscript"/>
        </w:rPr>
        <w:t>ème</w:t>
      </w:r>
      <w:r w:rsidR="00B81833">
        <w:t xml:space="preserve"> </w:t>
      </w:r>
      <w:r w:rsidRPr="00B4326D">
        <w:t xml:space="preserve">alinéa de la </w:t>
      </w:r>
      <w:r w:rsidR="00C51D37">
        <w:t>loi n° 63-156 du 23 février 1963</w:t>
      </w:r>
      <w:r w:rsidR="0030386B">
        <w:t> </w:t>
      </w:r>
      <w:r w:rsidRPr="00B4326D">
        <w:t>;</w:t>
      </w:r>
    </w:p>
    <w:p w:rsidR="001C2C8D" w:rsidRPr="00B4326D" w:rsidRDefault="001C2C8D" w:rsidP="00A12E56">
      <w:pPr>
        <w:pStyle w:val="Corpsdetexte"/>
        <w:spacing w:before="240" w:after="240"/>
      </w:pPr>
      <w:r w:rsidRPr="00B4326D">
        <w:t xml:space="preserve">Attendu que </w:t>
      </w:r>
      <w:r w:rsidR="00A12E56">
        <w:t>pour l’application du 2</w:t>
      </w:r>
      <w:r w:rsidR="00A12E56" w:rsidRPr="00A12E56">
        <w:rPr>
          <w:vertAlign w:val="superscript"/>
        </w:rPr>
        <w:t>ème</w:t>
      </w:r>
      <w:r w:rsidR="00A12E56">
        <w:t xml:space="preserve"> alinéa du IX de l’article</w:t>
      </w:r>
      <w:r w:rsidR="0030386B">
        <w:t xml:space="preserve"> </w:t>
      </w:r>
      <w:r w:rsidR="00A12E56">
        <w:t>60 modifié de la loi n° 63-156</w:t>
      </w:r>
      <w:r w:rsidR="00AF6756">
        <w:t>,</w:t>
      </w:r>
      <w:r w:rsidR="00A12E56">
        <w:t xml:space="preserve"> </w:t>
      </w:r>
      <w:r w:rsidR="00A12E56" w:rsidRPr="00B4326D">
        <w:t xml:space="preserve">mention </w:t>
      </w:r>
      <w:r w:rsidRPr="00B4326D">
        <w:t xml:space="preserve">est faite </w:t>
      </w:r>
      <w:r w:rsidR="00F034E7">
        <w:t>qu’aucun contrôle sélectif n’a été mis en place pour cette catégorie de dépenses</w:t>
      </w:r>
      <w:r w:rsidRPr="00B4326D">
        <w:t> ;</w:t>
      </w:r>
    </w:p>
    <w:p w:rsidR="001C2C8D" w:rsidRPr="00B4326D" w:rsidRDefault="001C2C8D" w:rsidP="00A12E56">
      <w:pPr>
        <w:pStyle w:val="Corpsdetexte"/>
        <w:spacing w:before="240" w:after="240"/>
      </w:pPr>
      <w:r w:rsidRPr="00B4326D">
        <w:t>Par ces motifs,</w:t>
      </w:r>
    </w:p>
    <w:p w:rsidR="001C2C8D" w:rsidRPr="00B4326D" w:rsidRDefault="001C2C8D" w:rsidP="00A12E56">
      <w:pPr>
        <w:pStyle w:val="Corpsdetexte"/>
        <w:spacing w:before="240" w:after="240"/>
      </w:pPr>
      <w:r w:rsidRPr="00B4326D">
        <w:t>-</w:t>
      </w:r>
      <w:r w:rsidR="00A12E56">
        <w:t> </w:t>
      </w:r>
      <w:r w:rsidRPr="00B4326D">
        <w:t>M.</w:t>
      </w:r>
      <w:r w:rsidR="00A12E56">
        <w:t> </w:t>
      </w:r>
      <w:r w:rsidR="00732062">
        <w:t>Y</w:t>
      </w:r>
      <w:r w:rsidRPr="00B4326D">
        <w:t xml:space="preserve"> est constitué débiteur envers l’</w:t>
      </w:r>
      <w:r w:rsidR="003F4391">
        <w:t>INRIA</w:t>
      </w:r>
      <w:r w:rsidRPr="00B4326D">
        <w:t xml:space="preserve">, au titre de </w:t>
      </w:r>
      <w:r w:rsidR="00B81833">
        <w:t>s</w:t>
      </w:r>
      <w:r w:rsidRPr="00B4326D">
        <w:t>a gestion</w:t>
      </w:r>
      <w:r w:rsidR="0030386B">
        <w:t xml:space="preserve"> </w:t>
      </w:r>
      <w:r w:rsidRPr="00B4326D">
        <w:t>2010, de la somme de dix-sept mille cinq cent cinquante euros et dix-huit centimes (17 555,18 €), augmentée des intérêts de droit à compter du 22 avril 2013 date de la réception du réquisitoire par le comptable ;</w:t>
      </w:r>
    </w:p>
    <w:p w:rsidR="00D97940" w:rsidRPr="00E75BED" w:rsidRDefault="00F034E7" w:rsidP="0030386B">
      <w:pPr>
        <w:pStyle w:val="Corpsdetexte"/>
        <w:spacing w:before="360" w:after="240"/>
        <w:rPr>
          <w:b/>
          <w:i/>
          <w:u w:val="single"/>
        </w:rPr>
      </w:pPr>
      <w:bookmarkStart w:id="4" w:name="_Toc370115388"/>
      <w:bookmarkStart w:id="5" w:name="_Toc362618083"/>
      <w:bookmarkStart w:id="6" w:name="_Toc370896977"/>
      <w:r w:rsidRPr="00E75BED">
        <w:rPr>
          <w:b/>
          <w:i/>
          <w:u w:val="single"/>
        </w:rPr>
        <w:t>C</w:t>
      </w:r>
      <w:r w:rsidR="00D97940" w:rsidRPr="00E75BED">
        <w:rPr>
          <w:b/>
          <w:i/>
          <w:u w:val="single"/>
        </w:rPr>
        <w:t xml:space="preserve">harge </w:t>
      </w:r>
      <w:r w:rsidR="0038162D" w:rsidRPr="00E75BED">
        <w:rPr>
          <w:b/>
          <w:i/>
          <w:u w:val="single"/>
        </w:rPr>
        <w:t>n° 3</w:t>
      </w:r>
      <w:bookmarkEnd w:id="4"/>
      <w:bookmarkEnd w:id="5"/>
      <w:bookmarkEnd w:id="6"/>
    </w:p>
    <w:p w:rsidR="00D97940" w:rsidRPr="007E27CD" w:rsidRDefault="00E63F27" w:rsidP="00A12E56">
      <w:pPr>
        <w:pStyle w:val="Corpsdetexte"/>
        <w:spacing w:before="240" w:after="240"/>
      </w:pPr>
      <w:r w:rsidRPr="007E27CD">
        <w:t>Attendu que M.</w:t>
      </w:r>
      <w:r w:rsidR="00A12E56">
        <w:t> </w:t>
      </w:r>
      <w:r w:rsidR="00732062">
        <w:t>Y</w:t>
      </w:r>
      <w:r w:rsidRPr="007E27CD">
        <w:t>, agent comptable de l’</w:t>
      </w:r>
      <w:r w:rsidR="003F4391">
        <w:t>INRIA</w:t>
      </w:r>
      <w:r w:rsidRPr="007E27CD">
        <w:t xml:space="preserve">, a </w:t>
      </w:r>
      <w:r w:rsidR="008E56F6">
        <w:t>payé</w:t>
      </w:r>
      <w:r w:rsidR="005C0545" w:rsidRPr="007E27CD">
        <w:t xml:space="preserve"> </w:t>
      </w:r>
      <w:r w:rsidR="00D97940" w:rsidRPr="007E27CD">
        <w:t>sept mandats n°</w:t>
      </w:r>
      <w:r w:rsidR="00A12E56">
        <w:t> </w:t>
      </w:r>
      <w:r w:rsidR="00D97940" w:rsidRPr="007E27CD">
        <w:t xml:space="preserve">35508 à n° 35514 (bordereau de mandats n° 2478 de l’exercice 2010) au profit de la société Carlson </w:t>
      </w:r>
      <w:proofErr w:type="spellStart"/>
      <w:r w:rsidR="00D97940" w:rsidRPr="007E27CD">
        <w:t>Wagonlit</w:t>
      </w:r>
      <w:proofErr w:type="spellEnd"/>
      <w:r w:rsidR="00D97940" w:rsidRPr="007E27CD">
        <w:t xml:space="preserve"> France pour un montant </w:t>
      </w:r>
      <w:r w:rsidR="00A65B60">
        <w:t xml:space="preserve">total </w:t>
      </w:r>
      <w:r w:rsidR="00D97940" w:rsidRPr="007E27CD">
        <w:t>de 10</w:t>
      </w:r>
      <w:r w:rsidR="00A12E56">
        <w:t> </w:t>
      </w:r>
      <w:r w:rsidR="00D97940" w:rsidRPr="007E27CD">
        <w:t>382</w:t>
      </w:r>
      <w:r w:rsidR="00A12E56">
        <w:t>,26</w:t>
      </w:r>
      <w:r w:rsidR="00D97940" w:rsidRPr="007E27CD">
        <w:t> € corres</w:t>
      </w:r>
      <w:r w:rsidRPr="007E27CD">
        <w:t>pondant à</w:t>
      </w:r>
      <w:r w:rsidR="0030386B">
        <w:t xml:space="preserve"> </w:t>
      </w:r>
      <w:r w:rsidRPr="007E27CD">
        <w:t>des frais de mission ;</w:t>
      </w:r>
    </w:p>
    <w:p w:rsidR="00D97940" w:rsidRPr="007E27CD" w:rsidRDefault="0038162D" w:rsidP="00A12E56">
      <w:pPr>
        <w:pStyle w:val="Corpsdetexte"/>
        <w:spacing w:before="240" w:after="240"/>
      </w:pPr>
      <w:r w:rsidRPr="007E27CD">
        <w:t>Attendu que le réquisitoire du Procureur général</w:t>
      </w:r>
      <w:r w:rsidR="00A1038B">
        <w:t xml:space="preserve"> retient comme élément à</w:t>
      </w:r>
      <w:r w:rsidR="0030386B">
        <w:t xml:space="preserve"> </w:t>
      </w:r>
      <w:r w:rsidR="00A1038B">
        <w:t>charge</w:t>
      </w:r>
      <w:r w:rsidRPr="007E27CD">
        <w:t xml:space="preserve"> que les mandats n’étaient pas signés</w:t>
      </w:r>
      <w:r w:rsidR="008E56F6">
        <w:t>,</w:t>
      </w:r>
      <w:r w:rsidRPr="007E27CD">
        <w:t xml:space="preserve"> ce qui ne permettait pas au comptable de vérifier la qualité de l</w:t>
      </w:r>
      <w:r w:rsidR="002A0AFD" w:rsidRPr="007E27CD">
        <w:t xml:space="preserve">’ordonnateur ou de son délégué ; </w:t>
      </w:r>
      <w:r w:rsidR="00D97940" w:rsidRPr="007E27CD">
        <w:t>que le visa qui figure seulement sur les ordres de mission joints ne fait p</w:t>
      </w:r>
      <w:r w:rsidR="00E63F27" w:rsidRPr="007E27CD">
        <w:t>as mention du nom du signataire ;</w:t>
      </w:r>
    </w:p>
    <w:p w:rsidR="00D97940" w:rsidRPr="007E27CD" w:rsidRDefault="00E63F27" w:rsidP="00A12E56">
      <w:pPr>
        <w:pStyle w:val="Corpsdetexte"/>
        <w:spacing w:before="240" w:after="240"/>
      </w:pPr>
      <w:r w:rsidRPr="007E27CD">
        <w:t xml:space="preserve">Attendu qu’en </w:t>
      </w:r>
      <w:r w:rsidR="00D97940" w:rsidRPr="007E27CD">
        <w:t>réponse</w:t>
      </w:r>
      <w:r w:rsidRPr="007E27CD">
        <w:t xml:space="preserve">, </w:t>
      </w:r>
      <w:r w:rsidR="002A0AFD" w:rsidRPr="007E27CD">
        <w:t>le</w:t>
      </w:r>
      <w:r w:rsidR="00D97940" w:rsidRPr="007E27CD">
        <w:t xml:space="preserve"> comptable justifie l’absence de contrôle de la signature de l’ordonnateur par </w:t>
      </w:r>
      <w:r w:rsidR="008E56F6">
        <w:t>le nombre important</w:t>
      </w:r>
      <w:r w:rsidR="00D97940" w:rsidRPr="007E27CD">
        <w:t xml:space="preserve"> de mandats à traiter </w:t>
      </w:r>
      <w:r w:rsidR="008E56F6" w:rsidRPr="007E27CD">
        <w:t xml:space="preserve">dans un délai limité </w:t>
      </w:r>
      <w:r w:rsidR="00D97940" w:rsidRPr="007E27CD">
        <w:t>en période de clôture comptable</w:t>
      </w:r>
      <w:r w:rsidR="0030386B">
        <w:t> ;</w:t>
      </w:r>
      <w:r w:rsidRPr="007E27CD">
        <w:t xml:space="preserve"> qu’il </w:t>
      </w:r>
      <w:r w:rsidR="008E56F6">
        <w:t>indique</w:t>
      </w:r>
      <w:r w:rsidR="00D97940" w:rsidRPr="007E27CD">
        <w:t xml:space="preserve"> que ces dépenses correspondaient à des engagements budgétaires de l’ordonnateur conformément au marché passé par l’</w:t>
      </w:r>
      <w:r w:rsidR="003F4391">
        <w:t>INRIA</w:t>
      </w:r>
      <w:r w:rsidR="00D97940" w:rsidRPr="007E27CD">
        <w:t xml:space="preserve"> avec la société Carlson </w:t>
      </w:r>
      <w:proofErr w:type="spellStart"/>
      <w:r w:rsidR="00D97940" w:rsidRPr="007E27CD">
        <w:t>Wagonlit</w:t>
      </w:r>
      <w:proofErr w:type="spellEnd"/>
      <w:r w:rsidR="00D97940" w:rsidRPr="007E27CD">
        <w:t xml:space="preserve"> </w:t>
      </w:r>
      <w:r w:rsidR="00A12E56">
        <w:t xml:space="preserve">France </w:t>
      </w:r>
      <w:r w:rsidR="00D97940" w:rsidRPr="007E27CD">
        <w:t>pour les frais de transport lors des miss</w:t>
      </w:r>
      <w:r w:rsidRPr="007E27CD">
        <w:t>ions du personnel ;</w:t>
      </w:r>
      <w:r w:rsidR="00C51D37" w:rsidRPr="00C51D37">
        <w:t xml:space="preserve"> </w:t>
      </w:r>
      <w:r w:rsidR="00B81833">
        <w:t xml:space="preserve">qu’il ajoute </w:t>
      </w:r>
      <w:r w:rsidR="00C51D37" w:rsidRPr="00C51D37">
        <w:t>que la mise en cause de la responsabilité personnelle et pécuniaire du comptable procurerait à l’</w:t>
      </w:r>
      <w:r w:rsidR="003F4391">
        <w:t>INRIA</w:t>
      </w:r>
      <w:r w:rsidR="00C51D37" w:rsidRPr="00C51D37">
        <w:t xml:space="preserve"> un enrichissement sans</w:t>
      </w:r>
      <w:r w:rsidR="0030386B">
        <w:t xml:space="preserve"> </w:t>
      </w:r>
      <w:r w:rsidR="00C51D37" w:rsidRPr="00C51D37">
        <w:t>cause</w:t>
      </w:r>
      <w:r w:rsidR="0030386B">
        <w:t> ;</w:t>
      </w:r>
    </w:p>
    <w:p w:rsidR="008E56F6" w:rsidRPr="00B4326D" w:rsidRDefault="008E56F6" w:rsidP="00A12E56">
      <w:pPr>
        <w:pStyle w:val="Corpsdetexte"/>
        <w:spacing w:before="240" w:after="240"/>
      </w:pPr>
      <w:r w:rsidRPr="00B4326D">
        <w:t>Considérant qu’en dépenses</w:t>
      </w:r>
      <w:r>
        <w:t>,</w:t>
      </w:r>
      <w:r w:rsidRPr="00B4326D">
        <w:t xml:space="preserve"> le comptable est tenu d’exercer les contrôles prescrits par le décret du 29</w:t>
      </w:r>
      <w:r w:rsidR="0030386B">
        <w:t xml:space="preserve"> </w:t>
      </w:r>
      <w:r w:rsidRPr="00B4326D">
        <w:t>décembre</w:t>
      </w:r>
      <w:r w:rsidR="0030386B">
        <w:t xml:space="preserve"> </w:t>
      </w:r>
      <w:r w:rsidRPr="00B4326D">
        <w:t>1962 portant règlement général sur la comptabilité publique</w:t>
      </w:r>
      <w:r>
        <w:t>,</w:t>
      </w:r>
      <w:r w:rsidRPr="00B4326D">
        <w:t xml:space="preserve"> notamment </w:t>
      </w:r>
      <w:r>
        <w:t>en son article 11 qui</w:t>
      </w:r>
      <w:r w:rsidRPr="00B4326D">
        <w:t xml:space="preserve"> </w:t>
      </w:r>
      <w:r>
        <w:t>dispose</w:t>
      </w:r>
      <w:r w:rsidRPr="00B4326D">
        <w:t xml:space="preserve"> que les comptables publics sont seuls chargés du paiement des dépenses sur ordres émanant des ordonnateurs accrédités ; que l’article 28 </w:t>
      </w:r>
      <w:r>
        <w:t xml:space="preserve">du même décret </w:t>
      </w:r>
      <w:r w:rsidRPr="00B4326D">
        <w:t>précise qu’avant d’être payées, les dépenses sont engagées, liquidées et, le cas échéant, ordonnancées ; que</w:t>
      </w:r>
      <w:r w:rsidR="0030386B">
        <w:t xml:space="preserve"> </w:t>
      </w:r>
      <w:r w:rsidRPr="00B4326D">
        <w:lastRenderedPageBreak/>
        <w:t>l’article 32 prévoit que l’ordonnancement des dépenses est prescrit soit directement par les ordonnateurs principaux, soit par les ordonnateurs secondaires ; que l’article</w:t>
      </w:r>
      <w:r w:rsidR="0030386B">
        <w:t xml:space="preserve"> </w:t>
      </w:r>
      <w:r w:rsidRPr="00B4326D">
        <w:t>170 dispose que les ordres de dépenses, établis par l’ordonnateur sont transmis, accompagnés des pièces justificatives</w:t>
      </w:r>
      <w:r>
        <w:t>,</w:t>
      </w:r>
      <w:r w:rsidRPr="00B4326D">
        <w:t xml:space="preserve"> à l’agent comptable qui les prend en charge et procède à leur règlement ;</w:t>
      </w:r>
    </w:p>
    <w:p w:rsidR="00A1038B" w:rsidRPr="004D0385" w:rsidRDefault="00A1038B" w:rsidP="00A1038B">
      <w:pPr>
        <w:pStyle w:val="Corpsdetexte"/>
      </w:pPr>
      <w:r w:rsidRPr="004D0385">
        <w:t>Considérant que l’instruction de la direction générale des finances publiques n° 03</w:t>
      </w:r>
      <w:r w:rsidR="0030386B">
        <w:t>-</w:t>
      </w:r>
      <w:r w:rsidRPr="004D0385">
        <w:t>043</w:t>
      </w:r>
      <w:r w:rsidR="0030386B">
        <w:t>-</w:t>
      </w:r>
      <w:r w:rsidRPr="004D0385">
        <w:t xml:space="preserve">M9 du 25 juillet 2003, en vigueur à l’époque des paiements, </w:t>
      </w:r>
      <w:r w:rsidR="008E56F6">
        <w:t>indiquait</w:t>
      </w:r>
      <w:r w:rsidRPr="004D0385">
        <w:t xml:space="preserve"> explicitement que la signature de l’ordonnateur sur le bordereau d’émission des ordres de dépenses, vaut ordre de payer et certification du service fait ; qu’elle précisait par ailleurs qu’en application des articles 12 et 13 du décret du 29</w:t>
      </w:r>
      <w:r w:rsidR="0030386B">
        <w:t xml:space="preserve"> </w:t>
      </w:r>
      <w:r w:rsidRPr="004D0385">
        <w:t>décembre</w:t>
      </w:r>
      <w:r w:rsidR="0030386B">
        <w:t xml:space="preserve"> </w:t>
      </w:r>
      <w:r w:rsidRPr="004D0385">
        <w:t>1962, le comptable ne contrôlera plus que la seule signature de l’ordonnateur accompagnée de la mention « pour valoir certification du service fait et ordre de payer » sur le bordereau</w:t>
      </w:r>
      <w:r>
        <w:t> ;</w:t>
      </w:r>
    </w:p>
    <w:p w:rsidR="002A24BF" w:rsidRDefault="002A24BF" w:rsidP="002A24BF">
      <w:pPr>
        <w:pStyle w:val="Corpsdetexte"/>
      </w:pPr>
      <w:r w:rsidRPr="00B4326D">
        <w:t>Considéra</w:t>
      </w:r>
      <w:r>
        <w:t>nt que le comptable ne disposai</w:t>
      </w:r>
      <w:r w:rsidRPr="00B4326D">
        <w:t>t pas de la signature de l’ordonnateur</w:t>
      </w:r>
      <w:r>
        <w:t xml:space="preserve"> au moment du paiement ; qu’il</w:t>
      </w:r>
      <w:r w:rsidRPr="00B4326D">
        <w:t xml:space="preserve"> n’a pas procédé au contrôle auquel il est tenu en vertu de l’article 12</w:t>
      </w:r>
      <w:r w:rsidR="0030386B">
        <w:t xml:space="preserve"> </w:t>
      </w:r>
      <w:r w:rsidRPr="00B4326D">
        <w:t>B du décret du 29 décembre 1962 portant règlement général sur la comptabilité publique ; qu’il a de ce fait manqué à ses obligations et engagé sa responsabilité</w:t>
      </w:r>
      <w:r w:rsidR="0030386B">
        <w:t xml:space="preserve"> </w:t>
      </w:r>
      <w:r w:rsidRPr="00B4326D">
        <w:t xml:space="preserve">au titre de l’article 60 de la </w:t>
      </w:r>
      <w:r>
        <w:t>loi n° 63-156 du 23 février 1963</w:t>
      </w:r>
      <w:r w:rsidRPr="00B4326D">
        <w:t> ;</w:t>
      </w:r>
    </w:p>
    <w:p w:rsidR="00D95642" w:rsidRPr="004D0385" w:rsidRDefault="00D95642" w:rsidP="00A1038B">
      <w:pPr>
        <w:pStyle w:val="Corpsdetexte"/>
      </w:pPr>
      <w:r w:rsidRPr="00D95642">
        <w:t xml:space="preserve">Attendu que le moyen selon lequel la mise en cause de la responsabilité personnelle et pécuniaire du comptable procurerait à l’établissement un enrichissement sans cause n’est pas </w:t>
      </w:r>
      <w:r w:rsidR="002A24BF">
        <w:t>démontré</w:t>
      </w:r>
      <w:r w:rsidRPr="00D95642">
        <w:t xml:space="preserve"> ;</w:t>
      </w:r>
    </w:p>
    <w:p w:rsidR="00A1038B" w:rsidRPr="004D0385" w:rsidRDefault="00A1038B" w:rsidP="00A1038B">
      <w:pPr>
        <w:pStyle w:val="Corpsdetexte"/>
      </w:pPr>
      <w:r w:rsidRPr="004D0385">
        <w:t xml:space="preserve">Attendu qu’en l’espèce, le moyen tiré d’une éventuelle « force majeure » prévu par l’article 60-V de la </w:t>
      </w:r>
      <w:r w:rsidR="00C51D37">
        <w:t>loi n° 63-156 du 23 février 1963</w:t>
      </w:r>
      <w:r w:rsidRPr="004D0385">
        <w:t xml:space="preserve">, n’est </w:t>
      </w:r>
      <w:r w:rsidR="002A24BF">
        <w:t>pas</w:t>
      </w:r>
      <w:r w:rsidRPr="004D0385">
        <w:t xml:space="preserve"> allégué ;</w:t>
      </w:r>
    </w:p>
    <w:p w:rsidR="002A24BF" w:rsidRPr="00B4326D" w:rsidRDefault="002A24BF" w:rsidP="002A24BF">
      <w:pPr>
        <w:pStyle w:val="Corpsdetexte"/>
      </w:pPr>
      <w:r w:rsidRPr="00B4326D">
        <w:t>Attendu que faute de signature de l’ordonnateur, le comptable ne disposait pas d’ordre de payer ; qu’ainsi l’établissement n’était pas redevable des sommes en</w:t>
      </w:r>
      <w:r w:rsidR="0030386B">
        <w:t xml:space="preserve"> </w:t>
      </w:r>
      <w:r w:rsidRPr="00B4326D">
        <w:t>cause</w:t>
      </w:r>
      <w:r w:rsidR="0030386B">
        <w:t> </w:t>
      </w:r>
      <w:r w:rsidRPr="00B4326D">
        <w:t xml:space="preserve">; que </w:t>
      </w:r>
      <w:r>
        <w:t>leur</w:t>
      </w:r>
      <w:r w:rsidRPr="00B4326D">
        <w:t xml:space="preserve"> paiement par le comptable </w:t>
      </w:r>
      <w:r>
        <w:t>a causé</w:t>
      </w:r>
      <w:r w:rsidRPr="00B4326D">
        <w:t xml:space="preserve"> un préjudice financier à</w:t>
      </w:r>
      <w:r w:rsidR="0030386B">
        <w:t xml:space="preserve"> </w:t>
      </w:r>
      <w:r w:rsidRPr="00B4326D">
        <w:t>l’établissement ; qu’en conséquence il est fait application des dis</w:t>
      </w:r>
      <w:r>
        <w:t xml:space="preserve">positions </w:t>
      </w:r>
      <w:r w:rsidR="00A12E56">
        <w:br/>
      </w:r>
      <w:r>
        <w:t>l’article 60</w:t>
      </w:r>
      <w:r w:rsidR="0030386B">
        <w:t xml:space="preserve"> </w:t>
      </w:r>
      <w:r>
        <w:t>VI, 3</w:t>
      </w:r>
      <w:r w:rsidRPr="00B81833">
        <w:rPr>
          <w:vertAlign w:val="superscript"/>
        </w:rPr>
        <w:t>ème</w:t>
      </w:r>
      <w:r>
        <w:t xml:space="preserve"> </w:t>
      </w:r>
      <w:r w:rsidRPr="00B4326D">
        <w:t xml:space="preserve">alinéa de la </w:t>
      </w:r>
      <w:r>
        <w:t>loi n° 63-156 du 23</w:t>
      </w:r>
      <w:r w:rsidR="0030386B">
        <w:t xml:space="preserve"> </w:t>
      </w:r>
      <w:r>
        <w:t>février</w:t>
      </w:r>
      <w:r w:rsidR="0030386B">
        <w:t xml:space="preserve"> </w:t>
      </w:r>
      <w:r>
        <w:t>1963</w:t>
      </w:r>
      <w:r w:rsidR="0030386B">
        <w:t> ;</w:t>
      </w:r>
    </w:p>
    <w:p w:rsidR="00F034E7" w:rsidRPr="00B4326D" w:rsidRDefault="00F034E7" w:rsidP="00F034E7">
      <w:pPr>
        <w:pStyle w:val="Corpsdetexte"/>
      </w:pPr>
      <w:r w:rsidRPr="00B4326D">
        <w:t>Attendu que</w:t>
      </w:r>
      <w:r w:rsidR="00A12E56">
        <w:t xml:space="preserve"> pour l’application du 2</w:t>
      </w:r>
      <w:r w:rsidR="00A12E56" w:rsidRPr="00A12E56">
        <w:rPr>
          <w:vertAlign w:val="superscript"/>
        </w:rPr>
        <w:t>ème</w:t>
      </w:r>
      <w:r w:rsidR="00A12E56">
        <w:t xml:space="preserve"> alinéa du IX de l’article</w:t>
      </w:r>
      <w:r w:rsidR="0030386B">
        <w:t xml:space="preserve"> </w:t>
      </w:r>
      <w:r w:rsidR="00A12E56">
        <w:t>60 modifié de la loi n° 63-156</w:t>
      </w:r>
      <w:r w:rsidR="00AF6756">
        <w:t>,</w:t>
      </w:r>
      <w:r w:rsidR="00A12E56">
        <w:t xml:space="preserve"> </w:t>
      </w:r>
      <w:r w:rsidRPr="00B4326D">
        <w:t xml:space="preserve">mention est faite </w:t>
      </w:r>
      <w:r>
        <w:t>qu’un contrôle sélectif a été mis en place pour cette catégorie de dépenses</w:t>
      </w:r>
      <w:r w:rsidRPr="00B4326D">
        <w:t> ;</w:t>
      </w:r>
    </w:p>
    <w:p w:rsidR="000F481B" w:rsidRDefault="000F481B" w:rsidP="000F481B">
      <w:pPr>
        <w:pStyle w:val="Corpsdetexte"/>
        <w:keepNext/>
      </w:pPr>
      <w:r>
        <w:t>Par ces motifs,</w:t>
      </w:r>
    </w:p>
    <w:p w:rsidR="000F481B" w:rsidRPr="00F034E7" w:rsidRDefault="000F481B" w:rsidP="00F034E7">
      <w:pPr>
        <w:pStyle w:val="Corpsdetexte"/>
      </w:pPr>
      <w:r w:rsidRPr="00F034E7">
        <w:t>-</w:t>
      </w:r>
      <w:r w:rsidR="00A12E56">
        <w:t> </w:t>
      </w:r>
      <w:r w:rsidRPr="00F034E7">
        <w:t>M.</w:t>
      </w:r>
      <w:r w:rsidR="00A12E56">
        <w:t> </w:t>
      </w:r>
      <w:r w:rsidR="00732062">
        <w:t>Y</w:t>
      </w:r>
      <w:r w:rsidRPr="00F034E7">
        <w:t xml:space="preserve"> est constitué débiteur envers l’</w:t>
      </w:r>
      <w:r w:rsidR="003F4391">
        <w:t>INRIA</w:t>
      </w:r>
      <w:r w:rsidRPr="00F034E7">
        <w:t xml:space="preserve">, au titre de </w:t>
      </w:r>
      <w:r w:rsidR="00B81833">
        <w:t>s</w:t>
      </w:r>
      <w:r w:rsidRPr="00F034E7">
        <w:t>a gestion</w:t>
      </w:r>
      <w:r w:rsidR="0030386B">
        <w:t xml:space="preserve"> </w:t>
      </w:r>
      <w:r w:rsidRPr="00F034E7">
        <w:t xml:space="preserve">2010, de la somme de dix mille trois cent quatre-vingt-deux euros </w:t>
      </w:r>
      <w:r w:rsidR="00A12E56">
        <w:t xml:space="preserve">et vingt-six centimes </w:t>
      </w:r>
      <w:r w:rsidRPr="00F034E7">
        <w:t>(10</w:t>
      </w:r>
      <w:r w:rsidR="00A12E56">
        <w:t> </w:t>
      </w:r>
      <w:r w:rsidRPr="00F034E7">
        <w:t>382</w:t>
      </w:r>
      <w:r w:rsidR="00A12E56">
        <w:t>,26</w:t>
      </w:r>
      <w:r w:rsidRPr="00F034E7">
        <w:t> €), augmentée des intérêts de droit à compter du 22 avril 2013 date de la réception du réquisitoire par le comptable</w:t>
      </w:r>
      <w:r w:rsidR="0030386B">
        <w:t> ;</w:t>
      </w:r>
    </w:p>
    <w:p w:rsidR="001C2C8D" w:rsidRPr="00E75BED" w:rsidRDefault="00F034E7" w:rsidP="0030386B">
      <w:pPr>
        <w:pStyle w:val="Corpsdetexte"/>
        <w:spacing w:before="360"/>
        <w:rPr>
          <w:b/>
          <w:i/>
          <w:u w:val="single"/>
        </w:rPr>
      </w:pPr>
      <w:bookmarkStart w:id="7" w:name="_Toc370115389"/>
      <w:bookmarkStart w:id="8" w:name="_Toc362618087"/>
      <w:bookmarkStart w:id="9" w:name="_Toc370896978"/>
      <w:bookmarkStart w:id="10" w:name="_Toc370115390"/>
      <w:bookmarkStart w:id="11" w:name="_Toc362618091"/>
      <w:bookmarkStart w:id="12" w:name="_Toc370896979"/>
      <w:r w:rsidRPr="00E75BED">
        <w:rPr>
          <w:b/>
          <w:i/>
          <w:u w:val="single"/>
        </w:rPr>
        <w:t>C</w:t>
      </w:r>
      <w:r w:rsidR="001C2C8D" w:rsidRPr="00E75BED">
        <w:rPr>
          <w:b/>
          <w:i/>
          <w:u w:val="single"/>
        </w:rPr>
        <w:t>harge n° 4</w:t>
      </w:r>
      <w:bookmarkEnd w:id="7"/>
      <w:bookmarkEnd w:id="8"/>
      <w:bookmarkEnd w:id="9"/>
    </w:p>
    <w:p w:rsidR="001C2C8D" w:rsidRPr="004D0385" w:rsidRDefault="001C2C8D" w:rsidP="001C2C8D">
      <w:pPr>
        <w:pStyle w:val="Corpsdetexte"/>
      </w:pPr>
      <w:r w:rsidRPr="004D0385">
        <w:t>Attendu qu’au premier semestre 2010, M.</w:t>
      </w:r>
      <w:r w:rsidR="00A12E56">
        <w:t> </w:t>
      </w:r>
      <w:r w:rsidR="00732062">
        <w:t>Y</w:t>
      </w:r>
      <w:r w:rsidRPr="004D0385">
        <w:t>, agent comptable de l’</w:t>
      </w:r>
      <w:r w:rsidR="003F4391">
        <w:t>INRIA</w:t>
      </w:r>
      <w:r w:rsidRPr="004D0385">
        <w:t xml:space="preserve">, a mis en paiement </w:t>
      </w:r>
      <w:r w:rsidR="00F034E7">
        <w:t xml:space="preserve">dix-sept </w:t>
      </w:r>
      <w:r w:rsidRPr="004D0385">
        <w:t>mandats (n° 1207, 1521, 2288, 2289, 2302, 2308, 2309, 2310, 2327, 2328, 2329, 5700, 5732, 5734, 8021, 8032 et 12036) au profit de divers fournisseurs (traiteurs, cafés, restaurants, spécialistes de la restauration collective), pour un montant total de 17 190,25 € ;</w:t>
      </w:r>
    </w:p>
    <w:p w:rsidR="00600A0E" w:rsidRDefault="00600A0E">
      <w:pPr>
        <w:spacing w:before="0" w:after="0"/>
        <w:ind w:left="0" w:firstLine="0"/>
        <w:jc w:val="left"/>
      </w:pPr>
      <w:r>
        <w:br w:type="page"/>
      </w:r>
    </w:p>
    <w:p w:rsidR="001C2C8D" w:rsidRPr="004D0385" w:rsidRDefault="001C2C8D" w:rsidP="001C2C8D">
      <w:pPr>
        <w:pStyle w:val="Corpsdetexte"/>
      </w:pPr>
      <w:r w:rsidRPr="004D0385">
        <w:t>Attendu que le réquisitoire du Procureur général</w:t>
      </w:r>
      <w:r w:rsidR="00A1038B">
        <w:t xml:space="preserve"> retient comme élément à charge</w:t>
      </w:r>
      <w:r w:rsidRPr="004D0385">
        <w:t xml:space="preserve"> que le comptable a mis en paiement ces factures sans s’être assuré de la validité de la créance et notamment de la production des attestations d</w:t>
      </w:r>
      <w:r w:rsidR="00907AC6">
        <w:t>û</w:t>
      </w:r>
      <w:r w:rsidRPr="004D0385">
        <w:t xml:space="preserve">ment signées conformément à l’instruction n° 92-161-M9 </w:t>
      </w:r>
      <w:r w:rsidR="00600A0E">
        <w:t xml:space="preserve">du 18 décembre 1992 </w:t>
      </w:r>
      <w:r w:rsidRPr="004D0385">
        <w:t>applicable aux frais de représentations dans les établissements publics de l’État ;</w:t>
      </w:r>
    </w:p>
    <w:p w:rsidR="001C2C8D" w:rsidRPr="004D0385" w:rsidRDefault="001C2C8D" w:rsidP="001C2C8D">
      <w:pPr>
        <w:pStyle w:val="Corpsdetexte"/>
      </w:pPr>
      <w:r w:rsidRPr="004D0385">
        <w:t>Attendu qu’en réponse le comptable invoque l’abrogation, en 2010, de l’instruction n° 92-161-M9 qu’il interprète comme étant la conséquence de la décision d’annulation par le Conseil d’État, n° 306960 du 21 octobre 2009, de l’arrêt de la Cour des comptes du 23 avril 2007 qui avait rendu débiteurs des comptables envers la caisse régionale d’hospitalisation de Picardie, pour ne pas avoir exigé à l’appui des mandats une pièce justificative attestant du rattachement des dépenses au service ;</w:t>
      </w:r>
      <w:r w:rsidR="00C51D37" w:rsidRPr="00C51D37">
        <w:t xml:space="preserve"> </w:t>
      </w:r>
      <w:r w:rsidR="00B81833">
        <w:t xml:space="preserve">qu’il ajoute </w:t>
      </w:r>
      <w:r w:rsidR="00C51D37" w:rsidRPr="00C51D37">
        <w:t>que la mise en cause de la responsabilité personnelle et pécuniaire du comptable procurerait à l’</w:t>
      </w:r>
      <w:r w:rsidR="003F4391">
        <w:t>INRIA</w:t>
      </w:r>
      <w:r w:rsidR="00C51D37" w:rsidRPr="00C51D37">
        <w:t xml:space="preserve"> un enrichissement sans cause ;</w:t>
      </w:r>
    </w:p>
    <w:p w:rsidR="001C2C8D" w:rsidRPr="004D0385" w:rsidRDefault="001C2C8D" w:rsidP="001C2C8D">
      <w:pPr>
        <w:pStyle w:val="Corpsdetexte"/>
      </w:pPr>
      <w:r w:rsidRPr="004D0385">
        <w:t>Attendu que le Conseil d’État a rappelé que les comptables doivent exercer leur contrôle sur la production des justifications ; qu'il leur appartient, pour apprécier la validité des créances, de donner aux actes administratifs une interprétation conforme à la réglementation en vigueur ;</w:t>
      </w:r>
    </w:p>
    <w:p w:rsidR="001C2C8D" w:rsidRPr="004D0385" w:rsidRDefault="001C2C8D" w:rsidP="001C2C8D">
      <w:pPr>
        <w:pStyle w:val="Corpsdetexte"/>
      </w:pPr>
      <w:r w:rsidRPr="004D0385">
        <w:t xml:space="preserve">Considérant que pour </w:t>
      </w:r>
      <w:r w:rsidR="007D28DB">
        <w:t>vérifier</w:t>
      </w:r>
      <w:r w:rsidRPr="004D0385">
        <w:t xml:space="preserve"> les opérations de dépenses </w:t>
      </w:r>
      <w:r w:rsidR="007D28DB">
        <w:t>conformément aux</w:t>
      </w:r>
      <w:r w:rsidRPr="004D0385">
        <w:t xml:space="preserve"> articles</w:t>
      </w:r>
      <w:r w:rsidR="0030386B">
        <w:t xml:space="preserve"> </w:t>
      </w:r>
      <w:r w:rsidRPr="004D0385">
        <w:t xml:space="preserve">12 et 13 du décret du 29 décembre 1962 portant règlement général sur la comptabilité publique, le comptable devait disposer des pièces lui permettant </w:t>
      </w:r>
      <w:r w:rsidR="007D28DB">
        <w:t>d’en assurer le contrôle effectif</w:t>
      </w:r>
      <w:r w:rsidR="0030386B">
        <w:t> </w:t>
      </w:r>
      <w:r w:rsidRPr="004D0385">
        <w:t>; qu’aux termes des dispositions de l’article 47 de ce même décret</w:t>
      </w:r>
      <w:r w:rsidR="007D28DB">
        <w:t>,</w:t>
      </w:r>
      <w:r w:rsidRPr="004D0385">
        <w:t xml:space="preserve"> les opérations de dépenses doivent être appuyées </w:t>
      </w:r>
      <w:r w:rsidR="007D28DB" w:rsidRPr="004D0385">
        <w:t xml:space="preserve">au moment </w:t>
      </w:r>
      <w:r w:rsidR="007D28DB">
        <w:t>du</w:t>
      </w:r>
      <w:r w:rsidR="007D28DB" w:rsidRPr="004D0385">
        <w:t xml:space="preserve"> paiement </w:t>
      </w:r>
      <w:r w:rsidRPr="004D0385">
        <w:t>des pièces justificatives</w:t>
      </w:r>
      <w:r w:rsidR="007D28DB">
        <w:t xml:space="preserve"> prévues dans l</w:t>
      </w:r>
      <w:r w:rsidRPr="004D0385">
        <w:t xml:space="preserve">es nomenclatures établies par le ministre des finances ; que le comptable ne peut se prévaloir de textes </w:t>
      </w:r>
      <w:r w:rsidR="007D28DB">
        <w:t>postérieurs</w:t>
      </w:r>
      <w:r w:rsidRPr="004D0385">
        <w:t> ; que la régularité du paiement, notamment du point de vue de la production des pièces justificatives, s’apprécie à la date de son exécution ;</w:t>
      </w:r>
    </w:p>
    <w:p w:rsidR="001C2C8D" w:rsidRDefault="001C2C8D" w:rsidP="001C2C8D">
      <w:pPr>
        <w:pStyle w:val="Corpsdetexte"/>
      </w:pPr>
      <w:r w:rsidRPr="004D0385">
        <w:t xml:space="preserve">Considérant qu’au moment </w:t>
      </w:r>
      <w:r w:rsidR="007D28DB">
        <w:t>du</w:t>
      </w:r>
      <w:r w:rsidRPr="004D0385">
        <w:t xml:space="preserve"> paiement, l’instruction n° 92</w:t>
      </w:r>
      <w:r w:rsidR="0030386B">
        <w:t>-</w:t>
      </w:r>
      <w:r w:rsidRPr="004D0385">
        <w:t>161</w:t>
      </w:r>
      <w:r w:rsidR="0030386B">
        <w:t>-</w:t>
      </w:r>
      <w:r w:rsidRPr="004D0385">
        <w:t>M9 du 18</w:t>
      </w:r>
      <w:r w:rsidR="0030386B">
        <w:t xml:space="preserve"> </w:t>
      </w:r>
      <w:r w:rsidRPr="004D0385">
        <w:t>décembre</w:t>
      </w:r>
      <w:r w:rsidR="0030386B">
        <w:t xml:space="preserve"> </w:t>
      </w:r>
      <w:r w:rsidRPr="004D0385">
        <w:t>1992</w:t>
      </w:r>
      <w:r w:rsidR="008A7CEA">
        <w:t>,</w:t>
      </w:r>
      <w:r w:rsidRPr="004D0385">
        <w:t xml:space="preserve"> </w:t>
      </w:r>
      <w:r w:rsidR="007D28DB">
        <w:t>ainsi que</w:t>
      </w:r>
      <w:r w:rsidRPr="004D0385">
        <w:t xml:space="preserve"> </w:t>
      </w:r>
      <w:proofErr w:type="gramStart"/>
      <w:r w:rsidRPr="004D0385">
        <w:t>la</w:t>
      </w:r>
      <w:proofErr w:type="gramEnd"/>
      <w:r w:rsidRPr="004D0385">
        <w:t xml:space="preserve"> circulaire n° B-2E-94 du 24 septembre 1992 relative à l’assouplissement des règles relatives aux frais de représentation et de réception</w:t>
      </w:r>
      <w:r w:rsidR="008A7CEA">
        <w:t>,</w:t>
      </w:r>
      <w:r w:rsidR="0030386B">
        <w:t xml:space="preserve"> </w:t>
      </w:r>
      <w:r w:rsidR="007D28DB">
        <w:t>étaient en vigueur</w:t>
      </w:r>
      <w:r w:rsidR="0030386B">
        <w:t> </w:t>
      </w:r>
      <w:r w:rsidR="007D28DB">
        <w:t>; que ces deux textes</w:t>
      </w:r>
      <w:r w:rsidRPr="004D0385">
        <w:t xml:space="preserve"> </w:t>
      </w:r>
      <w:r w:rsidR="007D28DB">
        <w:t>disposent</w:t>
      </w:r>
      <w:r w:rsidRPr="004D0385">
        <w:t xml:space="preserve"> que</w:t>
      </w:r>
      <w:r w:rsidR="0030386B">
        <w:t>,</w:t>
      </w:r>
      <w:r w:rsidRPr="004D0385">
        <w:t xml:space="preserve"> quelles que soient les modalités de paiement</w:t>
      </w:r>
      <w:r w:rsidR="008A7CEA">
        <w:t>,</w:t>
      </w:r>
      <w:r w:rsidRPr="004D0385">
        <w:t xml:space="preserve"> la pièce justificative devra être appuyée d’une attestation de l’organisateur de la réception visée par le directeur de l’établissement ;</w:t>
      </w:r>
    </w:p>
    <w:p w:rsidR="00F034E7" w:rsidRPr="00F034E7" w:rsidRDefault="00F034E7" w:rsidP="00F034E7">
      <w:pPr>
        <w:pStyle w:val="Corpsdetexte"/>
      </w:pPr>
      <w:r>
        <w:t xml:space="preserve">Attendu </w:t>
      </w:r>
      <w:r w:rsidRPr="00F034E7">
        <w:t xml:space="preserve">que sur dix-sept mandats, seules cinq factures sont accompagnées d’une pièce signée par un responsable du centre de recherche, mais sans précision relative à </w:t>
      </w:r>
      <w:r w:rsidR="008A7CEA">
        <w:t xml:space="preserve">l’objet </w:t>
      </w:r>
      <w:r w:rsidRPr="00F034E7">
        <w:t>de la dépense</w:t>
      </w:r>
      <w:r w:rsidR="008A7CEA">
        <w:t xml:space="preserve">, </w:t>
      </w:r>
      <w:r w:rsidRPr="00F034E7">
        <w:t xml:space="preserve">et </w:t>
      </w:r>
      <w:r w:rsidR="008A7CEA">
        <w:t xml:space="preserve">que </w:t>
      </w:r>
      <w:r w:rsidRPr="00F034E7">
        <w:t xml:space="preserve">trois autres </w:t>
      </w:r>
      <w:r w:rsidR="008A7CEA">
        <w:t>mentionnent</w:t>
      </w:r>
      <w:r w:rsidRPr="00F034E7">
        <w:t xml:space="preserve"> l’objet de la dépense</w:t>
      </w:r>
      <w:r>
        <w:t xml:space="preserve"> ; qu’aucune </w:t>
      </w:r>
      <w:r w:rsidR="008A7CEA">
        <w:t>des</w:t>
      </w:r>
      <w:r>
        <w:t xml:space="preserve"> factures n’est </w:t>
      </w:r>
      <w:r w:rsidRPr="00F034E7">
        <w:t>accompagnée d’une attestation signée par le directeur de l’établissement</w:t>
      </w:r>
      <w:r w:rsidR="0030386B">
        <w:t> </w:t>
      </w:r>
      <w:r w:rsidRPr="00F034E7">
        <w:t>;</w:t>
      </w:r>
    </w:p>
    <w:p w:rsidR="001C2C8D" w:rsidRDefault="001C2C8D" w:rsidP="001C2C8D">
      <w:pPr>
        <w:pStyle w:val="Corpsdetexte"/>
      </w:pPr>
      <w:r w:rsidRPr="004D0385">
        <w:t>A</w:t>
      </w:r>
      <w:r w:rsidR="008A7CEA">
        <w:t>ttendu qu’en n’obtenant pas les justificatifs prévu</w:t>
      </w:r>
      <w:r w:rsidRPr="004D0385">
        <w:t>s par les textes au moment du paiement, l’agent comptable a manqué à ses obligations et engagé sa responsabilité</w:t>
      </w:r>
      <w:r w:rsidR="0030386B">
        <w:t xml:space="preserve"> </w:t>
      </w:r>
      <w:r w:rsidRPr="004D0385">
        <w:t>au titre de l’article 60 de</w:t>
      </w:r>
      <w:r w:rsidR="00907AC6">
        <w:t xml:space="preserve"> la</w:t>
      </w:r>
      <w:r w:rsidRPr="004D0385">
        <w:t xml:space="preserve"> </w:t>
      </w:r>
      <w:r w:rsidR="00C51D37">
        <w:t>loi n° 63-156 du 23 février 1963</w:t>
      </w:r>
      <w:r w:rsidRPr="004D0385">
        <w:t> ;</w:t>
      </w:r>
    </w:p>
    <w:p w:rsidR="00D95642" w:rsidRPr="00732F65" w:rsidRDefault="00D95642" w:rsidP="00D95642">
      <w:pPr>
        <w:spacing w:after="120"/>
        <w:rPr>
          <w:rFonts w:eastAsia="Calibri"/>
        </w:rPr>
      </w:pPr>
      <w:r w:rsidRPr="00732F65">
        <w:rPr>
          <w:rFonts w:eastAsia="Calibri"/>
        </w:rPr>
        <w:t xml:space="preserve">Attendu que le moyen selon lequel la mise en cause de la responsabilité personnelle et pécuniaire du comptable procurerait à l’établissement un enrichissement sans cause n’est pas </w:t>
      </w:r>
      <w:r w:rsidR="00B66D08" w:rsidRPr="00732F65">
        <w:rPr>
          <w:rFonts w:eastAsia="Calibri"/>
        </w:rPr>
        <w:t>démontré</w:t>
      </w:r>
      <w:r w:rsidR="0030386B">
        <w:rPr>
          <w:rFonts w:eastAsia="Calibri"/>
        </w:rPr>
        <w:t> ;</w:t>
      </w:r>
    </w:p>
    <w:p w:rsidR="001C2C8D" w:rsidRPr="004D0385" w:rsidRDefault="001C2C8D" w:rsidP="001C2C8D">
      <w:pPr>
        <w:pStyle w:val="Corpsdetexte"/>
      </w:pPr>
      <w:r w:rsidRPr="004D0385">
        <w:lastRenderedPageBreak/>
        <w:t>Attendu qu’en l’espèce, le moyen tiré d’une éventuelle «</w:t>
      </w:r>
      <w:r w:rsidR="0030386B">
        <w:t> </w:t>
      </w:r>
      <w:r w:rsidRPr="004D0385">
        <w:t>force majeure</w:t>
      </w:r>
      <w:r w:rsidR="0030386B">
        <w:t> </w:t>
      </w:r>
      <w:r w:rsidRPr="004D0385">
        <w:t xml:space="preserve">» prévu par l’article 60-V de la </w:t>
      </w:r>
      <w:r w:rsidR="00C51D37">
        <w:t>loi n° 63-156 du 23 février 1963</w:t>
      </w:r>
      <w:r w:rsidRPr="004D0385">
        <w:t xml:space="preserve">, n’est </w:t>
      </w:r>
      <w:r w:rsidR="008A7CEA">
        <w:t>pas</w:t>
      </w:r>
      <w:r w:rsidRPr="004D0385">
        <w:t xml:space="preserve"> allégué ;</w:t>
      </w:r>
    </w:p>
    <w:p w:rsidR="001C2C8D" w:rsidRPr="004D0385" w:rsidRDefault="001C2C8D" w:rsidP="001C2C8D">
      <w:pPr>
        <w:pStyle w:val="Corpsdetexte"/>
      </w:pPr>
      <w:r w:rsidRPr="004D0385">
        <w:t xml:space="preserve">Attendu que le comptable disposait cependant </w:t>
      </w:r>
      <w:r w:rsidR="00B81833">
        <w:t xml:space="preserve">des engagements, </w:t>
      </w:r>
      <w:r w:rsidRPr="004D0385">
        <w:t>des factures et des mandats signés par l’ordonnateur ; que les sommes était dues</w:t>
      </w:r>
      <w:r w:rsidR="0030386B">
        <w:t xml:space="preserve"> </w:t>
      </w:r>
      <w:r w:rsidR="008A7CEA">
        <w:t>par l’établissement</w:t>
      </w:r>
      <w:r w:rsidR="0030386B">
        <w:t> </w:t>
      </w:r>
      <w:r w:rsidRPr="004D0385">
        <w:t>; que dès lors, il y a lieu de considé</w:t>
      </w:r>
      <w:r w:rsidR="008A7CEA">
        <w:t xml:space="preserve">rer que les dépenses en cause ne lui </w:t>
      </w:r>
      <w:r w:rsidRPr="004D0385">
        <w:t>ont pas causé de préjudice financier</w:t>
      </w:r>
      <w:r w:rsidR="0030386B">
        <w:t> </w:t>
      </w:r>
      <w:r w:rsidRPr="004D0385">
        <w:t xml:space="preserve">; </w:t>
      </w:r>
    </w:p>
    <w:p w:rsidR="001C2C8D" w:rsidRPr="004D0385" w:rsidRDefault="001C2C8D" w:rsidP="001C2C8D">
      <w:pPr>
        <w:pStyle w:val="Corpsdetexte"/>
      </w:pPr>
      <w:r w:rsidRPr="004D0385">
        <w:t>Considérant qu’en conséquence, il convient de faire application des dispos</w:t>
      </w:r>
      <w:r w:rsidR="00A1038B">
        <w:t>itions de l’article 60-VI, 2</w:t>
      </w:r>
      <w:r w:rsidR="00A1038B" w:rsidRPr="00A1038B">
        <w:rPr>
          <w:vertAlign w:val="superscript"/>
        </w:rPr>
        <w:t>ème</w:t>
      </w:r>
      <w:r w:rsidR="00A1038B">
        <w:t xml:space="preserve"> </w:t>
      </w:r>
      <w:r w:rsidRPr="004D0385">
        <w:t xml:space="preserve">aliéna, de la </w:t>
      </w:r>
      <w:r w:rsidR="00C51D37">
        <w:t>loi n° 63-156 du 23 février 1963</w:t>
      </w:r>
      <w:r w:rsidRPr="004D0385">
        <w:t xml:space="preserve"> et de l’article 1 du décret n°</w:t>
      </w:r>
      <w:r w:rsidR="00600A0E">
        <w:t> </w:t>
      </w:r>
      <w:r w:rsidRPr="004D0385">
        <w:t xml:space="preserve">2012-1386 du 10 décembre 2012 ; que le cautionnement du poste comptable s’établissait à </w:t>
      </w:r>
      <w:r w:rsidR="00A464DD">
        <w:t>196 400,00 € ;</w:t>
      </w:r>
    </w:p>
    <w:p w:rsidR="001C2C8D" w:rsidRPr="004D0385" w:rsidRDefault="001C2C8D" w:rsidP="001C2C8D">
      <w:pPr>
        <w:pStyle w:val="Corpsdetexte"/>
      </w:pPr>
      <w:r w:rsidRPr="004D0385">
        <w:t xml:space="preserve">Attendu qu’aucune circonstance de l’espèce ne peut être invoquée pour moduler la somme laissée à charge du comptable ; que la répétition du manquement ne saurait exonérer </w:t>
      </w:r>
      <w:r w:rsidR="00B81833">
        <w:t xml:space="preserve">partiellement </w:t>
      </w:r>
      <w:r w:rsidRPr="004D0385">
        <w:t>l’agent comptable de sa responsabilité</w:t>
      </w:r>
      <w:r w:rsidR="00B81833">
        <w:t> ;</w:t>
      </w:r>
    </w:p>
    <w:p w:rsidR="001C2C8D" w:rsidRPr="004D0385" w:rsidRDefault="001C2C8D" w:rsidP="001C2C8D">
      <w:pPr>
        <w:pStyle w:val="Corpsdetexte"/>
      </w:pPr>
      <w:r w:rsidRPr="004D0385">
        <w:t>Par ces motifs,</w:t>
      </w:r>
    </w:p>
    <w:p w:rsidR="001C2C8D" w:rsidRPr="004D0385" w:rsidRDefault="001C2C8D" w:rsidP="001C2C8D">
      <w:pPr>
        <w:pStyle w:val="Corpsdetexte"/>
      </w:pPr>
      <w:r w:rsidRPr="004D0385">
        <w:t>-</w:t>
      </w:r>
      <w:r w:rsidR="005A6968">
        <w:t> L</w:t>
      </w:r>
      <w:r w:rsidRPr="004D0385">
        <w:t xml:space="preserve">a somme </w:t>
      </w:r>
      <w:r w:rsidR="005A6968">
        <w:t xml:space="preserve">de 294,60 € </w:t>
      </w:r>
      <w:r w:rsidR="005A6968" w:rsidRPr="004D0385">
        <w:t xml:space="preserve">(196 400 € </w:t>
      </w:r>
      <w:r w:rsidR="0030386B">
        <w:t>×</w:t>
      </w:r>
      <w:r w:rsidR="005A6968" w:rsidRPr="004D0385">
        <w:t xml:space="preserve"> 0,0015 = 294,60</w:t>
      </w:r>
      <w:r w:rsidR="005A6968">
        <w:t xml:space="preserve"> €) est mise </w:t>
      </w:r>
      <w:r w:rsidRPr="004D0385">
        <w:t>à la charge de M.</w:t>
      </w:r>
      <w:r w:rsidR="005A6968">
        <w:t> </w:t>
      </w:r>
      <w:r w:rsidR="00732062">
        <w:t>Y</w:t>
      </w:r>
      <w:r w:rsidRPr="004D0385">
        <w:t xml:space="preserve"> </w:t>
      </w:r>
      <w:r w:rsidR="00A96676">
        <w:t xml:space="preserve">pour le manquement précité au titre de </w:t>
      </w:r>
      <w:r w:rsidR="00B81833">
        <w:t>s</w:t>
      </w:r>
      <w:r w:rsidR="00A96676">
        <w:t>a gestion 2010 ;</w:t>
      </w:r>
    </w:p>
    <w:p w:rsidR="00D97940" w:rsidRPr="00E75BED" w:rsidRDefault="00B432A7" w:rsidP="0030386B">
      <w:pPr>
        <w:pStyle w:val="Corpsdetexte"/>
        <w:spacing w:before="360"/>
        <w:rPr>
          <w:b/>
          <w:i/>
          <w:u w:val="single"/>
        </w:rPr>
      </w:pPr>
      <w:r w:rsidRPr="00E75BED">
        <w:rPr>
          <w:b/>
          <w:i/>
          <w:u w:val="single"/>
        </w:rPr>
        <w:t>C</w:t>
      </w:r>
      <w:r w:rsidR="00D97940" w:rsidRPr="00E75BED">
        <w:rPr>
          <w:b/>
          <w:i/>
          <w:u w:val="single"/>
        </w:rPr>
        <w:t>harge</w:t>
      </w:r>
      <w:r w:rsidR="008F122E" w:rsidRPr="00E75BED">
        <w:rPr>
          <w:b/>
          <w:i/>
          <w:u w:val="single"/>
        </w:rPr>
        <w:t xml:space="preserve"> n° 5</w:t>
      </w:r>
      <w:bookmarkEnd w:id="10"/>
      <w:bookmarkEnd w:id="11"/>
      <w:bookmarkEnd w:id="12"/>
    </w:p>
    <w:p w:rsidR="00D97940" w:rsidRPr="007E27CD" w:rsidRDefault="00A621FD" w:rsidP="00442D13">
      <w:pPr>
        <w:pStyle w:val="Corpsdetexte"/>
      </w:pPr>
      <w:r w:rsidRPr="007E27CD">
        <w:t xml:space="preserve">Attendu qu’au premier semestre 2010, </w:t>
      </w:r>
      <w:r w:rsidR="00732062">
        <w:t>M. Y</w:t>
      </w:r>
      <w:r w:rsidRPr="007E27CD">
        <w:t>, agent comptable de l’</w:t>
      </w:r>
      <w:r w:rsidR="003F4391">
        <w:t>INRIA</w:t>
      </w:r>
      <w:r w:rsidRPr="007E27CD">
        <w:t xml:space="preserve">, a </w:t>
      </w:r>
      <w:r w:rsidR="000E0495">
        <w:t>payé</w:t>
      </w:r>
      <w:r w:rsidRPr="007E27CD">
        <w:t xml:space="preserve"> les</w:t>
      </w:r>
      <w:r w:rsidR="00D97940" w:rsidRPr="007E27CD">
        <w:t xml:space="preserve"> mandats n° 1234, </w:t>
      </w:r>
      <w:r w:rsidR="00987FEE" w:rsidRPr="007E27CD">
        <w:t>n° </w:t>
      </w:r>
      <w:r w:rsidR="00D97940" w:rsidRPr="007E27CD">
        <w:t xml:space="preserve">1528, </w:t>
      </w:r>
      <w:r w:rsidR="00987FEE" w:rsidRPr="007E27CD">
        <w:t>n° </w:t>
      </w:r>
      <w:r w:rsidR="00D97940" w:rsidRPr="007E27CD">
        <w:t xml:space="preserve">2297, </w:t>
      </w:r>
      <w:r w:rsidR="00987FEE" w:rsidRPr="007E27CD">
        <w:t>n° </w:t>
      </w:r>
      <w:r w:rsidR="00D97940" w:rsidRPr="007E27CD">
        <w:t xml:space="preserve">5719, </w:t>
      </w:r>
      <w:r w:rsidR="00987FEE" w:rsidRPr="007E27CD">
        <w:t>n° </w:t>
      </w:r>
      <w:r w:rsidR="00D97940" w:rsidRPr="007E27CD">
        <w:t xml:space="preserve">5735, </w:t>
      </w:r>
      <w:r w:rsidR="00987FEE" w:rsidRPr="007E27CD">
        <w:t>n° </w:t>
      </w:r>
      <w:r w:rsidR="00D97940" w:rsidRPr="007E27CD">
        <w:t xml:space="preserve">6901, </w:t>
      </w:r>
      <w:r w:rsidR="00987FEE" w:rsidRPr="007E27CD">
        <w:t>n° </w:t>
      </w:r>
      <w:r w:rsidR="00D97940" w:rsidRPr="007E27CD">
        <w:t xml:space="preserve">11090, </w:t>
      </w:r>
      <w:r w:rsidR="00987FEE" w:rsidRPr="007E27CD">
        <w:t>n° </w:t>
      </w:r>
      <w:r w:rsidR="00D97940" w:rsidRPr="007E27CD">
        <w:t xml:space="preserve">12057 et </w:t>
      </w:r>
      <w:r w:rsidR="00987FEE" w:rsidRPr="007E27CD">
        <w:t>n° </w:t>
      </w:r>
      <w:r w:rsidR="00D97940" w:rsidRPr="007E27CD">
        <w:t>12356, pour un montant de 2 774,94 € et deux autres mandats n°</w:t>
      </w:r>
      <w:r w:rsidR="005A6968">
        <w:t> </w:t>
      </w:r>
      <w:r w:rsidR="00D97940" w:rsidRPr="007E27CD">
        <w:t>8351 et n° 13899 pour un m</w:t>
      </w:r>
      <w:r w:rsidRPr="007E27CD">
        <w:t>ontant de 4 </w:t>
      </w:r>
      <w:r w:rsidR="00D97940" w:rsidRPr="007E27CD">
        <w:t>498,24 €, soit un total de 7 273,18 €, au profit de la SARL Le Figuier (entreprise de restauration spécialisée) avec laquelle l’</w:t>
      </w:r>
      <w:r w:rsidR="003F4391">
        <w:t>INRIA</w:t>
      </w:r>
      <w:r w:rsidR="00D97940" w:rsidRPr="007E27CD">
        <w:t xml:space="preserve"> a</w:t>
      </w:r>
      <w:r w:rsidR="000E0495">
        <w:t>vait</w:t>
      </w:r>
      <w:r w:rsidR="00D97940" w:rsidRPr="007E27CD">
        <w:t xml:space="preserve"> passé un marché à bons de commande en procédure adaptée, le 29</w:t>
      </w:r>
      <w:r w:rsidR="0030386B">
        <w:t xml:space="preserve"> </w:t>
      </w:r>
      <w:r w:rsidR="00D97940" w:rsidRPr="007E27CD">
        <w:t>octobre 2009, pour des prestations de restaur</w:t>
      </w:r>
      <w:r w:rsidRPr="007E27CD">
        <w:t>ation ;</w:t>
      </w:r>
    </w:p>
    <w:p w:rsidR="00D97940" w:rsidRPr="007E27CD" w:rsidRDefault="00A621FD" w:rsidP="00442D13">
      <w:pPr>
        <w:pStyle w:val="Corpsdetexte"/>
      </w:pPr>
      <w:r w:rsidRPr="007E27CD">
        <w:t>Attendu que le réquisitoire du Procureur général</w:t>
      </w:r>
      <w:r w:rsidR="00A464DD">
        <w:t xml:space="preserve"> retient comme élément à charge</w:t>
      </w:r>
      <w:r w:rsidRPr="007E27CD">
        <w:t xml:space="preserve"> </w:t>
      </w:r>
      <w:r w:rsidR="00D97940" w:rsidRPr="007E27CD">
        <w:t xml:space="preserve">que les mandats </w:t>
      </w:r>
      <w:r w:rsidR="00987FEE" w:rsidRPr="007E27CD">
        <w:t>n°</w:t>
      </w:r>
      <w:r w:rsidR="005379E6">
        <w:t> </w:t>
      </w:r>
      <w:r w:rsidR="00987FEE" w:rsidRPr="007E27CD">
        <w:t>1234, n° 1528, n° 2297, n° 5719, n° 5735, n° 6901, n° 11090, n°</w:t>
      </w:r>
      <w:r w:rsidR="005379E6">
        <w:t> </w:t>
      </w:r>
      <w:r w:rsidR="00987FEE" w:rsidRPr="007E27CD">
        <w:t>12057 et n°</w:t>
      </w:r>
      <w:r w:rsidR="005379E6">
        <w:t> </w:t>
      </w:r>
      <w:r w:rsidR="00987FEE" w:rsidRPr="007E27CD">
        <w:t xml:space="preserve">12356 </w:t>
      </w:r>
      <w:r w:rsidR="00D97940" w:rsidRPr="007E27CD">
        <w:t>ont fait l’objet d’un paiement sans production</w:t>
      </w:r>
      <w:r w:rsidRPr="007E27CD">
        <w:t xml:space="preserve"> préalable d’un bon de commande ; que </w:t>
      </w:r>
      <w:r w:rsidR="00D97940" w:rsidRPr="007E27CD">
        <w:t>les mandats n°</w:t>
      </w:r>
      <w:r w:rsidR="005379E6">
        <w:t> </w:t>
      </w:r>
      <w:r w:rsidR="00D97940" w:rsidRPr="007E27CD">
        <w:t xml:space="preserve">8351 et n° 13899 </w:t>
      </w:r>
      <w:r w:rsidRPr="007E27CD">
        <w:t>étaient</w:t>
      </w:r>
      <w:r w:rsidR="00D97940" w:rsidRPr="007E27CD">
        <w:t xml:space="preserve"> accompagnés des bons de commande </w:t>
      </w:r>
      <w:r w:rsidRPr="007E27CD">
        <w:t>mais</w:t>
      </w:r>
      <w:r w:rsidR="00D97940" w:rsidRPr="007E27CD">
        <w:t xml:space="preserve"> sans référence explicite au marché passé en 2009</w:t>
      </w:r>
      <w:r w:rsidRPr="007E27CD">
        <w:t xml:space="preserve"> ; que </w:t>
      </w:r>
      <w:r w:rsidR="00D97940" w:rsidRPr="007E27CD">
        <w:t>les bons de commande, qui déclenchent l’exécution des marchés dits à bons de commande, font</w:t>
      </w:r>
      <w:r w:rsidR="0030386B">
        <w:t xml:space="preserve"> </w:t>
      </w:r>
      <w:r w:rsidR="00D97940" w:rsidRPr="007E27CD">
        <w:t>partie des pièces dont le comptable doit s’assurer de la production préalablement aux paiements des dépenses</w:t>
      </w:r>
      <w:r w:rsidRPr="007E27CD">
        <w:t xml:space="preserve"> ; </w:t>
      </w:r>
      <w:r w:rsidR="00D97940" w:rsidRPr="007E27CD">
        <w:t>qu’en l’absence de cette justification</w:t>
      </w:r>
      <w:r w:rsidR="000E0495">
        <w:t>,</w:t>
      </w:r>
      <w:r w:rsidRPr="007E27CD">
        <w:t xml:space="preserve"> le comptable </w:t>
      </w:r>
      <w:r w:rsidR="000E0495">
        <w:t>ne</w:t>
      </w:r>
      <w:r w:rsidR="0030386B">
        <w:t xml:space="preserve"> </w:t>
      </w:r>
      <w:r w:rsidR="000E0495">
        <w:t xml:space="preserve">pouvait </w:t>
      </w:r>
      <w:r w:rsidR="00D97940" w:rsidRPr="007E27CD">
        <w:t>s’assurer de la validité de la créance</w:t>
      </w:r>
      <w:r w:rsidRPr="007E27CD">
        <w:t> ;</w:t>
      </w:r>
    </w:p>
    <w:p w:rsidR="00D97940" w:rsidRPr="007E27CD" w:rsidRDefault="00A621FD" w:rsidP="00442D13">
      <w:pPr>
        <w:pStyle w:val="Corpsdetexte"/>
      </w:pPr>
      <w:r w:rsidRPr="007E27CD">
        <w:t xml:space="preserve">Attendu qu’en réponse le comptable soutient </w:t>
      </w:r>
      <w:r w:rsidR="00D97940" w:rsidRPr="007E27CD">
        <w:t>« </w:t>
      </w:r>
      <w:r w:rsidR="00D97940" w:rsidRPr="007E27CD">
        <w:rPr>
          <w:i/>
        </w:rPr>
        <w:t>qu’aucun des mandats évoqués par la Cour n’est rattachable au marché </w:t>
      </w:r>
      <w:r w:rsidRPr="007E27CD">
        <w:t xml:space="preserve">» ; que </w:t>
      </w:r>
      <w:r w:rsidR="00D97940" w:rsidRPr="007E27CD">
        <w:t>le marché n° 2009</w:t>
      </w:r>
      <w:r w:rsidR="0030386B">
        <w:t>-</w:t>
      </w:r>
      <w:r w:rsidR="00D97940" w:rsidRPr="007E27CD">
        <w:t>00965 passé entre l’</w:t>
      </w:r>
      <w:r w:rsidR="003F4391">
        <w:t>INRIA</w:t>
      </w:r>
      <w:r w:rsidR="00D97940" w:rsidRPr="007E27CD">
        <w:t xml:space="preserve"> et la SARL Le Figuier concerne exclusivement les prestations de restaurations (petit-déjeuner, pauses café et plateaux repas) pour l’antenne de l’</w:t>
      </w:r>
      <w:r w:rsidR="003F4391">
        <w:t>INRIA</w:t>
      </w:r>
      <w:r w:rsidR="00D97940" w:rsidRPr="007E27CD">
        <w:t xml:space="preserve"> situé</w:t>
      </w:r>
      <w:r w:rsidR="00FC0482" w:rsidRPr="007E27CD">
        <w:t>e au 23 avenue d’Italie à Paris ;</w:t>
      </w:r>
      <w:r w:rsidR="00C51D37" w:rsidRPr="00C51D37">
        <w:t xml:space="preserve"> </w:t>
      </w:r>
      <w:r w:rsidR="00B81833">
        <w:t xml:space="preserve">qu’il ajoute </w:t>
      </w:r>
      <w:r w:rsidR="00C51D37" w:rsidRPr="00C51D37">
        <w:t>que la mise en cause de la responsabilité personnelle et pécuniaire du comptable procurerait à l’</w:t>
      </w:r>
      <w:r w:rsidR="003F4391">
        <w:t>INRIA</w:t>
      </w:r>
      <w:r w:rsidR="00C51D37" w:rsidRPr="00C51D37">
        <w:t xml:space="preserve"> un enrichissement sans cause</w:t>
      </w:r>
      <w:r w:rsidR="00FF6784">
        <w:t> </w:t>
      </w:r>
      <w:r w:rsidR="00C51D37" w:rsidRPr="00C51D37">
        <w:t>;</w:t>
      </w:r>
    </w:p>
    <w:p w:rsidR="00600A0E" w:rsidRDefault="00600A0E">
      <w:pPr>
        <w:spacing w:before="0" w:after="0"/>
        <w:ind w:left="0" w:firstLine="0"/>
        <w:jc w:val="left"/>
        <w:rPr>
          <w:i/>
        </w:rPr>
      </w:pPr>
      <w:r>
        <w:rPr>
          <w:i/>
        </w:rPr>
        <w:br w:type="page"/>
      </w:r>
    </w:p>
    <w:p w:rsidR="00D97940" w:rsidRPr="00E14CDD" w:rsidRDefault="00EB017D" w:rsidP="00442D13">
      <w:pPr>
        <w:pStyle w:val="Corpsdetexte"/>
        <w:rPr>
          <w:i/>
        </w:rPr>
      </w:pPr>
      <w:r>
        <w:rPr>
          <w:i/>
        </w:rPr>
        <w:t xml:space="preserve">- </w:t>
      </w:r>
      <w:r w:rsidR="00FC0482" w:rsidRPr="00E14CDD">
        <w:rPr>
          <w:i/>
        </w:rPr>
        <w:t xml:space="preserve">Sur les </w:t>
      </w:r>
      <w:r w:rsidR="00D97940" w:rsidRPr="00E14CDD">
        <w:rPr>
          <w:i/>
        </w:rPr>
        <w:t>mandats n° 8351 et n° 113899</w:t>
      </w:r>
    </w:p>
    <w:p w:rsidR="00D97940" w:rsidRPr="007E27CD" w:rsidRDefault="00FC0482" w:rsidP="00442D13">
      <w:pPr>
        <w:pStyle w:val="Corpsdetexte"/>
      </w:pPr>
      <w:r w:rsidRPr="007E27CD">
        <w:t>Attendu que l</w:t>
      </w:r>
      <w:r w:rsidR="00D97940" w:rsidRPr="007E27CD">
        <w:t>’acte d’engagement du marché n° 2009-00965 passé avec la</w:t>
      </w:r>
      <w:r w:rsidR="00FF6784">
        <w:t xml:space="preserve"> </w:t>
      </w:r>
      <w:r w:rsidR="00D97940" w:rsidRPr="007E27CD">
        <w:t>SARL le Figuier précise dans son objet que ce dernier est passé pour assurer une prestation de restauration […] à la pré-antenne de Paris-Rocquencourt (23</w:t>
      </w:r>
      <w:r w:rsidR="00987FEE" w:rsidRPr="007E27CD">
        <w:t>, avenue d’Italie 75013 Paris) ;</w:t>
      </w:r>
    </w:p>
    <w:p w:rsidR="00D97940" w:rsidRPr="007E27CD" w:rsidRDefault="00946BC8" w:rsidP="000E0495">
      <w:pPr>
        <w:pStyle w:val="Corpsdetexte"/>
      </w:pPr>
      <w:r w:rsidRPr="007E27CD">
        <w:t xml:space="preserve">Attendu que l’instruction a </w:t>
      </w:r>
      <w:r w:rsidR="000E0495">
        <w:t>révélé</w:t>
      </w:r>
      <w:r w:rsidRPr="007E27CD">
        <w:t xml:space="preserve"> </w:t>
      </w:r>
      <w:r w:rsidR="00D97940" w:rsidRPr="007E27CD">
        <w:t>que l’annexe n° 2 à l’acte d’engagement relative à la mise au point du marché a modifié</w:t>
      </w:r>
      <w:r w:rsidR="00907AC6">
        <w:t>e</w:t>
      </w:r>
      <w:r w:rsidR="00D97940" w:rsidRPr="007E27CD">
        <w:t xml:space="preserve"> ledit marché</w:t>
      </w:r>
      <w:r w:rsidR="00987FEE" w:rsidRPr="007E27CD">
        <w:t xml:space="preserve"> ; </w:t>
      </w:r>
      <w:r w:rsidRPr="007E27CD">
        <w:t>qu’ainsi</w:t>
      </w:r>
      <w:r w:rsidR="000E0495">
        <w:t>,</w:t>
      </w:r>
      <w:r w:rsidRPr="007E27CD">
        <w:t xml:space="preserve"> </w:t>
      </w:r>
      <w:r w:rsidR="00D97940" w:rsidRPr="007E27CD">
        <w:rPr>
          <w:spacing w:val="4"/>
        </w:rPr>
        <w:t xml:space="preserve">les lieux </w:t>
      </w:r>
      <w:r w:rsidR="000E0495">
        <w:rPr>
          <w:spacing w:val="4"/>
        </w:rPr>
        <w:t xml:space="preserve">compris dans le marché </w:t>
      </w:r>
      <w:r w:rsidR="00D97940" w:rsidRPr="007E27CD">
        <w:rPr>
          <w:spacing w:val="4"/>
        </w:rPr>
        <w:t xml:space="preserve">ont été modifiés </w:t>
      </w:r>
      <w:r w:rsidR="00732336" w:rsidRPr="007E27CD">
        <w:rPr>
          <w:spacing w:val="4"/>
        </w:rPr>
        <w:t xml:space="preserve">et </w:t>
      </w:r>
      <w:r w:rsidR="00BB3C79">
        <w:rPr>
          <w:spacing w:val="4"/>
        </w:rPr>
        <w:t>pour y inclure les</w:t>
      </w:r>
      <w:r w:rsidR="00D97940" w:rsidRPr="007E27CD">
        <w:rPr>
          <w:spacing w:val="4"/>
        </w:rPr>
        <w:t xml:space="preserve"> commandes du « </w:t>
      </w:r>
      <w:r w:rsidR="000E0495">
        <w:rPr>
          <w:i/>
          <w:spacing w:val="4"/>
        </w:rPr>
        <w:t>c</w:t>
      </w:r>
      <w:r w:rsidR="00D97940" w:rsidRPr="007E27CD">
        <w:rPr>
          <w:i/>
          <w:spacing w:val="4"/>
        </w:rPr>
        <w:t>entre de recherche de l’</w:t>
      </w:r>
      <w:r w:rsidR="003F4391">
        <w:rPr>
          <w:i/>
          <w:spacing w:val="4"/>
        </w:rPr>
        <w:t>INRIA</w:t>
      </w:r>
      <w:r w:rsidR="00D97940" w:rsidRPr="007E27CD">
        <w:rPr>
          <w:i/>
          <w:spacing w:val="4"/>
        </w:rPr>
        <w:t xml:space="preserve"> de Paris-Rocquencour</w:t>
      </w:r>
      <w:r w:rsidR="00732336" w:rsidRPr="007E27CD">
        <w:rPr>
          <w:i/>
          <w:spacing w:val="4"/>
        </w:rPr>
        <w:t xml:space="preserve">t </w:t>
      </w:r>
      <w:r w:rsidR="00732336" w:rsidRPr="007E27CD">
        <w:rPr>
          <w:spacing w:val="4"/>
        </w:rPr>
        <w:t xml:space="preserve">» et du « </w:t>
      </w:r>
      <w:r w:rsidR="000E0495">
        <w:rPr>
          <w:i/>
          <w:spacing w:val="4"/>
        </w:rPr>
        <w:t>s</w:t>
      </w:r>
      <w:r w:rsidR="00732336" w:rsidRPr="007E27CD">
        <w:rPr>
          <w:i/>
          <w:spacing w:val="4"/>
        </w:rPr>
        <w:t>iège de l’</w:t>
      </w:r>
      <w:r w:rsidR="003F4391">
        <w:rPr>
          <w:i/>
          <w:spacing w:val="4"/>
        </w:rPr>
        <w:t>INRIA</w:t>
      </w:r>
      <w:r w:rsidR="00732336" w:rsidRPr="007E27CD">
        <w:rPr>
          <w:spacing w:val="4"/>
        </w:rPr>
        <w:t xml:space="preserve"> » ; que par ailleurs </w:t>
      </w:r>
      <w:r w:rsidR="00D97940" w:rsidRPr="007E27CD">
        <w:rPr>
          <w:spacing w:val="4"/>
        </w:rPr>
        <w:t>l’étendue des prestation</w:t>
      </w:r>
      <w:r w:rsidR="000E0495">
        <w:rPr>
          <w:spacing w:val="4"/>
        </w:rPr>
        <w:t>s a été modifié</w:t>
      </w:r>
      <w:r w:rsidR="00DA117D">
        <w:rPr>
          <w:spacing w:val="4"/>
        </w:rPr>
        <w:t>e</w:t>
      </w:r>
      <w:r w:rsidR="000E0495">
        <w:rPr>
          <w:spacing w:val="4"/>
        </w:rPr>
        <w:t xml:space="preserve"> en y intégrant d</w:t>
      </w:r>
      <w:r w:rsidR="00D97940" w:rsidRPr="007E27CD">
        <w:rPr>
          <w:spacing w:val="4"/>
        </w:rPr>
        <w:t xml:space="preserve">es « </w:t>
      </w:r>
      <w:r w:rsidR="00732336" w:rsidRPr="007E27CD">
        <w:rPr>
          <w:i/>
          <w:spacing w:val="4"/>
        </w:rPr>
        <w:t>b</w:t>
      </w:r>
      <w:r w:rsidR="00987FEE" w:rsidRPr="007E27CD">
        <w:rPr>
          <w:i/>
          <w:spacing w:val="4"/>
        </w:rPr>
        <w:t>uffet</w:t>
      </w:r>
      <w:r w:rsidR="00987FEE" w:rsidRPr="007E27CD">
        <w:rPr>
          <w:spacing w:val="4"/>
        </w:rPr>
        <w:t>s » ;</w:t>
      </w:r>
      <w:r w:rsidR="000E0495">
        <w:rPr>
          <w:spacing w:val="4"/>
        </w:rPr>
        <w:t xml:space="preserve"> qu’en conséquence, le </w:t>
      </w:r>
      <w:r w:rsidR="000E0495">
        <w:t>moyen du comptable selon lequel</w:t>
      </w:r>
      <w:r w:rsidR="00D97940" w:rsidRPr="007E27CD">
        <w:t xml:space="preserve"> aucun des mandats évoqués par la Cour </w:t>
      </w:r>
      <w:r w:rsidR="000E0495">
        <w:t>ne serait</w:t>
      </w:r>
      <w:r w:rsidR="00D97940" w:rsidRPr="007E27CD">
        <w:t xml:space="preserve"> rattachable au marché</w:t>
      </w:r>
      <w:r w:rsidR="00BB3C79">
        <w:t>,</w:t>
      </w:r>
      <w:r w:rsidR="00FF6784">
        <w:t xml:space="preserve"> </w:t>
      </w:r>
      <w:r w:rsidR="000E0495">
        <w:t>qui ne concernerait que</w:t>
      </w:r>
      <w:r w:rsidR="00D97940" w:rsidRPr="007E27CD">
        <w:t xml:space="preserve"> les prestations de restauration pour l’antenne de l’</w:t>
      </w:r>
      <w:r w:rsidR="003F4391">
        <w:t>INRIA</w:t>
      </w:r>
      <w:r w:rsidR="00D97940" w:rsidRPr="007E27CD">
        <w:t xml:space="preserve"> à Pari</w:t>
      </w:r>
      <w:r w:rsidR="00FC0482" w:rsidRPr="007E27CD">
        <w:t>s</w:t>
      </w:r>
      <w:r w:rsidR="00BB3C79">
        <w:t>,</w:t>
      </w:r>
      <w:r w:rsidR="00FC0482" w:rsidRPr="007E27CD">
        <w:t xml:space="preserve"> ne peuvent donc être retenus ; qu’en c</w:t>
      </w:r>
      <w:r w:rsidR="00D97940" w:rsidRPr="007E27CD">
        <w:t>onséquence, les mandats n°</w:t>
      </w:r>
      <w:r w:rsidR="00BC57BF">
        <w:t> </w:t>
      </w:r>
      <w:r w:rsidR="00D97940" w:rsidRPr="007E27CD">
        <w:t>8351 et n° 113899 pour un montant de</w:t>
      </w:r>
      <w:r w:rsidR="005379E6">
        <w:t> </w:t>
      </w:r>
      <w:r w:rsidR="00D97940" w:rsidRPr="007E27CD">
        <w:t>4 498,24 € auraient dû être justifiés par des bons de commande faisant une référence formelle au marché initial</w:t>
      </w:r>
      <w:r w:rsidR="00FC0482" w:rsidRPr="007E27CD">
        <w:t xml:space="preserve"> n° 2009-00965 au titre de 2010 ;</w:t>
      </w:r>
    </w:p>
    <w:p w:rsidR="00B6426F" w:rsidRDefault="00B6426F" w:rsidP="00442D13">
      <w:pPr>
        <w:pStyle w:val="Corpsdetexte"/>
      </w:pPr>
      <w:r>
        <w:t xml:space="preserve">Attendu qu’en </w:t>
      </w:r>
      <w:r w:rsidRPr="00B6426F">
        <w:t>ne procédant pas à ces contrôle</w:t>
      </w:r>
      <w:r w:rsidR="00B81833">
        <w:t>s</w:t>
      </w:r>
      <w:r w:rsidRPr="00B6426F">
        <w:t xml:space="preserve"> et en n’exigeant pas la production des justificatifs nécessaires à la vérification </w:t>
      </w:r>
      <w:r w:rsidR="00B81833">
        <w:t xml:space="preserve">de l’exactitude </w:t>
      </w:r>
      <w:r w:rsidRPr="00B6426F">
        <w:t>des calculs d</w:t>
      </w:r>
      <w:r w:rsidR="00B81833">
        <w:t xml:space="preserve">e liquidation, </w:t>
      </w:r>
      <w:r w:rsidRPr="00B6426F">
        <w:t xml:space="preserve">le comptable a manqué à ses obligations </w:t>
      </w:r>
      <w:r w:rsidR="00B81833" w:rsidRPr="00B81833">
        <w:t>en vertu des articles 12</w:t>
      </w:r>
      <w:r w:rsidR="00FF6784">
        <w:t xml:space="preserve"> </w:t>
      </w:r>
      <w:r w:rsidR="00B81833" w:rsidRPr="00B81833">
        <w:t xml:space="preserve">B et 13 du décret du 29 décembre 1962 portant règlement général sur la comptabilité publique </w:t>
      </w:r>
      <w:r w:rsidRPr="00B6426F">
        <w:t>e</w:t>
      </w:r>
      <w:r>
        <w:t xml:space="preserve">t engagé sa responsabilité </w:t>
      </w:r>
      <w:r w:rsidR="00F71D5A" w:rsidRPr="00F71D5A">
        <w:t>au titre de l’artic</w:t>
      </w:r>
      <w:r w:rsidR="00F71D5A">
        <w:t>le 60 de</w:t>
      </w:r>
      <w:r w:rsidR="00907AC6">
        <w:t xml:space="preserve"> la</w:t>
      </w:r>
      <w:r w:rsidR="00F71D5A">
        <w:t xml:space="preserve"> </w:t>
      </w:r>
      <w:r w:rsidR="00C51D37">
        <w:t>loi n° 63-156 du 23 février 1963</w:t>
      </w:r>
      <w:r w:rsidR="00F71D5A">
        <w:t> ;</w:t>
      </w:r>
    </w:p>
    <w:p w:rsidR="00D95642" w:rsidRDefault="00D95642" w:rsidP="00442D13">
      <w:pPr>
        <w:pStyle w:val="Corpsdetexte"/>
      </w:pPr>
      <w:r w:rsidRPr="00D95642">
        <w:t xml:space="preserve">Attendu que le moyen selon lequel la mise en cause de la responsabilité personnelle et pécuniaire du comptable procurerait à l’établissement un enrichissement sans cause n’est pas </w:t>
      </w:r>
      <w:r w:rsidR="000E0495">
        <w:t>démontré par le comptable</w:t>
      </w:r>
      <w:r w:rsidR="00FF6784">
        <w:t> </w:t>
      </w:r>
      <w:r w:rsidRPr="00D95642">
        <w:t>;</w:t>
      </w:r>
    </w:p>
    <w:p w:rsidR="00CA300A" w:rsidRPr="007E27CD" w:rsidRDefault="00CA300A" w:rsidP="00442D13">
      <w:pPr>
        <w:pStyle w:val="Corpsdetexte"/>
      </w:pPr>
      <w:r w:rsidRPr="007E27CD">
        <w:t>Attendu qu’en l’espèce, le moyen tiré d’une éventuelle «</w:t>
      </w:r>
      <w:r w:rsidR="00FF6784">
        <w:t> </w:t>
      </w:r>
      <w:r w:rsidRPr="007E27CD">
        <w:t>force majeure</w:t>
      </w:r>
      <w:r w:rsidR="00FF6784">
        <w:t> </w:t>
      </w:r>
      <w:r w:rsidRPr="007E27CD">
        <w:t xml:space="preserve">» prévu par l’article 60-V de la </w:t>
      </w:r>
      <w:r w:rsidR="00C51D37">
        <w:t>loi n° 63-156 du 23 février 1963</w:t>
      </w:r>
      <w:r w:rsidRPr="007E27CD">
        <w:t xml:space="preserve">, n’est </w:t>
      </w:r>
      <w:r w:rsidR="00BB3C79">
        <w:t>pas</w:t>
      </w:r>
      <w:r w:rsidRPr="007E27CD">
        <w:t xml:space="preserve"> allégué ;</w:t>
      </w:r>
    </w:p>
    <w:p w:rsidR="00B66D08" w:rsidRDefault="00B6426F" w:rsidP="00442D13">
      <w:pPr>
        <w:pStyle w:val="Corpsdetexte"/>
      </w:pPr>
      <w:r w:rsidRPr="00B6426F">
        <w:t>Attendu qu’aucu</w:t>
      </w:r>
      <w:r w:rsidR="00B432A7">
        <w:t xml:space="preserve">ne </w:t>
      </w:r>
      <w:r w:rsidR="00BB3C79">
        <w:t>contestation</w:t>
      </w:r>
      <w:r w:rsidR="00B432A7">
        <w:t xml:space="preserve"> de</w:t>
      </w:r>
      <w:r w:rsidR="00BB3C79">
        <w:t xml:space="preserve"> ce</w:t>
      </w:r>
      <w:r w:rsidR="00B432A7">
        <w:t>s dépenses</w:t>
      </w:r>
      <w:r w:rsidRPr="00B6426F">
        <w:t xml:space="preserve"> n’a été </w:t>
      </w:r>
      <w:r w:rsidR="00B432A7">
        <w:t>observé</w:t>
      </w:r>
      <w:r w:rsidR="00BB3C79">
        <w:t>e</w:t>
      </w:r>
      <w:r w:rsidR="00B432A7">
        <w:t xml:space="preserve"> lors de l’instruction ; </w:t>
      </w:r>
      <w:r w:rsidRPr="00B6426F">
        <w:t xml:space="preserve">que </w:t>
      </w:r>
      <w:r>
        <w:t>le</w:t>
      </w:r>
      <w:r w:rsidRPr="00B6426F">
        <w:t xml:space="preserve"> comptable disposait des factures et des mandats signés par l’ordonnateur</w:t>
      </w:r>
      <w:r w:rsidR="00FF6784">
        <w:t> </w:t>
      </w:r>
      <w:r w:rsidRPr="00B6426F">
        <w:t xml:space="preserve">; </w:t>
      </w:r>
      <w:r>
        <w:t xml:space="preserve">que les sommes était </w:t>
      </w:r>
      <w:r w:rsidR="00BB3C79">
        <w:t xml:space="preserve">effectivement </w:t>
      </w:r>
      <w:r>
        <w:t>dues</w:t>
      </w:r>
      <w:r w:rsidR="00FF6784">
        <w:t> </w:t>
      </w:r>
      <w:r>
        <w:t>; qu’il</w:t>
      </w:r>
      <w:r w:rsidRPr="00B6426F">
        <w:t xml:space="preserve"> y a </w:t>
      </w:r>
      <w:r w:rsidR="00B432A7">
        <w:t xml:space="preserve">donc </w:t>
      </w:r>
      <w:r w:rsidR="00BB3C79">
        <w:t xml:space="preserve">lieu de considérer qu’elles </w:t>
      </w:r>
      <w:r w:rsidRPr="00B6426F">
        <w:t>n’ont pas causé de préjudice financier à l’établissement</w:t>
      </w:r>
      <w:r w:rsidR="00FF6784">
        <w:t> ;</w:t>
      </w:r>
    </w:p>
    <w:p w:rsidR="00CA300A" w:rsidRPr="007E27CD" w:rsidRDefault="00B66D08" w:rsidP="00442D13">
      <w:pPr>
        <w:pStyle w:val="Corpsdetexte"/>
      </w:pPr>
      <w:r>
        <w:t>Q</w:t>
      </w:r>
      <w:r w:rsidR="00CA300A" w:rsidRPr="007E27CD">
        <w:t>u’en conséquence, il convient de faire application des dispos</w:t>
      </w:r>
      <w:r w:rsidR="00B81833">
        <w:t>itions de l’article 60</w:t>
      </w:r>
      <w:r w:rsidR="00FF6784">
        <w:t xml:space="preserve"> </w:t>
      </w:r>
      <w:r w:rsidR="00B81833">
        <w:t>VI, 2</w:t>
      </w:r>
      <w:r w:rsidR="00B81833" w:rsidRPr="00B81833">
        <w:rPr>
          <w:vertAlign w:val="superscript"/>
        </w:rPr>
        <w:t>ème</w:t>
      </w:r>
      <w:r w:rsidR="00B81833">
        <w:t xml:space="preserve"> </w:t>
      </w:r>
      <w:r w:rsidR="00CA300A" w:rsidRPr="007E27CD">
        <w:t xml:space="preserve">aliéna, de la </w:t>
      </w:r>
      <w:r w:rsidR="00C51D37">
        <w:t>loi n° 63-156 du 23 février 1963</w:t>
      </w:r>
      <w:r w:rsidR="00CA300A" w:rsidRPr="007E27CD">
        <w:t xml:space="preserve"> et de l’article 1 du décret n°</w:t>
      </w:r>
      <w:r w:rsidR="00BC57BF">
        <w:t> </w:t>
      </w:r>
      <w:r w:rsidR="00CA300A" w:rsidRPr="007E27CD">
        <w:t>2012-1386 du 10 décembre 2012</w:t>
      </w:r>
      <w:r w:rsidR="00FF6784">
        <w:t> </w:t>
      </w:r>
      <w:r w:rsidR="00CA300A" w:rsidRPr="007E27CD">
        <w:t xml:space="preserve">; que le cautionnement du poste comptable s’établissait </w:t>
      </w:r>
      <w:r w:rsidR="00BB3C79">
        <w:t xml:space="preserve">alors </w:t>
      </w:r>
      <w:r>
        <w:t xml:space="preserve">à </w:t>
      </w:r>
      <w:r w:rsidR="00E352E0">
        <w:t>196</w:t>
      </w:r>
      <w:r w:rsidR="00BC57BF">
        <w:t> </w:t>
      </w:r>
      <w:r w:rsidR="00E352E0">
        <w:t>400</w:t>
      </w:r>
      <w:r w:rsidR="00BC57BF">
        <w:t> </w:t>
      </w:r>
      <w:r w:rsidR="008B3244" w:rsidRPr="008B3244">
        <w:t>€</w:t>
      </w:r>
      <w:r w:rsidR="008B3244">
        <w:t> ;</w:t>
      </w:r>
    </w:p>
    <w:p w:rsidR="00CA300A" w:rsidRPr="007E27CD" w:rsidRDefault="00CA300A" w:rsidP="00442D13">
      <w:pPr>
        <w:pStyle w:val="Corpsdetexte"/>
      </w:pPr>
      <w:r w:rsidRPr="007E27CD">
        <w:t>Attendu qu’aucune circonstance de l’espèce ne peut être invoquée pour moduler la somme laissée à charge du comptable ; que la répétition du manquement  ne saurait exonérer partiellement l’agent comptable de sa responsabilité</w:t>
      </w:r>
      <w:r w:rsidR="00B81833">
        <w:t> ;</w:t>
      </w:r>
    </w:p>
    <w:p w:rsidR="00600A0E" w:rsidRDefault="00600A0E">
      <w:pPr>
        <w:spacing w:before="0" w:after="0"/>
        <w:ind w:left="0" w:firstLine="0"/>
        <w:jc w:val="left"/>
        <w:rPr>
          <w:i/>
        </w:rPr>
      </w:pPr>
      <w:r>
        <w:rPr>
          <w:i/>
        </w:rPr>
        <w:br w:type="page"/>
      </w:r>
    </w:p>
    <w:p w:rsidR="00CA300A" w:rsidRPr="00EB017D" w:rsidRDefault="00EB017D" w:rsidP="00442D13">
      <w:pPr>
        <w:pStyle w:val="Corpsdetexte"/>
        <w:rPr>
          <w:i/>
        </w:rPr>
      </w:pPr>
      <w:r>
        <w:rPr>
          <w:i/>
        </w:rPr>
        <w:t xml:space="preserve">- </w:t>
      </w:r>
      <w:r w:rsidR="00CA300A" w:rsidRPr="00EB017D">
        <w:rPr>
          <w:i/>
        </w:rPr>
        <w:t>Sur les autres mandats</w:t>
      </w:r>
    </w:p>
    <w:p w:rsidR="00CA300A" w:rsidRDefault="00CA300A" w:rsidP="00442D13">
      <w:pPr>
        <w:pStyle w:val="Corpsdetexte"/>
      </w:pPr>
      <w:r w:rsidRPr="007E27CD">
        <w:t xml:space="preserve">Attendu que pour les mandats n° 1234, </w:t>
      </w:r>
      <w:r w:rsidR="008B3244">
        <w:t>n° </w:t>
      </w:r>
      <w:r w:rsidRPr="007E27CD">
        <w:t xml:space="preserve">1528, </w:t>
      </w:r>
      <w:r w:rsidR="008B3244">
        <w:t>n° </w:t>
      </w:r>
      <w:r w:rsidRPr="007E27CD">
        <w:t xml:space="preserve">2297, </w:t>
      </w:r>
      <w:r w:rsidR="008B3244">
        <w:t>n° </w:t>
      </w:r>
      <w:r w:rsidRPr="007E27CD">
        <w:t xml:space="preserve">5719, </w:t>
      </w:r>
      <w:r w:rsidR="008B3244">
        <w:t>n° </w:t>
      </w:r>
      <w:r w:rsidRPr="007E27CD">
        <w:t xml:space="preserve">5735, </w:t>
      </w:r>
      <w:r w:rsidR="008B3244">
        <w:t>n° </w:t>
      </w:r>
      <w:r w:rsidRPr="007E27CD">
        <w:t xml:space="preserve">6901, </w:t>
      </w:r>
      <w:r w:rsidR="008B3244">
        <w:t>n° </w:t>
      </w:r>
      <w:r w:rsidRPr="007E27CD">
        <w:t>11090,</w:t>
      </w:r>
      <w:r w:rsidR="008B3244">
        <w:t xml:space="preserve"> n° </w:t>
      </w:r>
      <w:r w:rsidRPr="007E27CD">
        <w:t xml:space="preserve">12057 et </w:t>
      </w:r>
      <w:r w:rsidR="008B3244">
        <w:t>n° </w:t>
      </w:r>
      <w:r w:rsidRPr="007E27CD">
        <w:t xml:space="preserve">12356, l’instruction a montré que ceux-ci n’étaient pas rattachés au marché n° 2009-00965 ; que les prestations concernaient des centres de recherches régionaux non mentionnés dans l’objet du marché susvisé ; qu’en conséquence il n’y a pas lieu de retenir </w:t>
      </w:r>
      <w:r w:rsidR="007B2075">
        <w:t>de charge</w:t>
      </w:r>
      <w:r w:rsidRPr="007E27CD">
        <w:t xml:space="preserve"> </w:t>
      </w:r>
      <w:r w:rsidR="00D24862">
        <w:t xml:space="preserve">à l’encontre du comptable </w:t>
      </w:r>
      <w:r w:rsidR="00B81833">
        <w:t xml:space="preserve">au titre de ces </w:t>
      </w:r>
      <w:r w:rsidRPr="007E27CD">
        <w:t>mandats ;</w:t>
      </w:r>
    </w:p>
    <w:p w:rsidR="00B6426F" w:rsidRDefault="00B6426F" w:rsidP="00852085">
      <w:pPr>
        <w:pStyle w:val="Corpsdetexte"/>
        <w:spacing w:after="240"/>
      </w:pPr>
      <w:r>
        <w:t>Par ces motifs,</w:t>
      </w:r>
    </w:p>
    <w:p w:rsidR="00B432A7" w:rsidRDefault="00B6426F" w:rsidP="00442D13">
      <w:pPr>
        <w:pStyle w:val="Corpsdetexte"/>
      </w:pPr>
      <w:r>
        <w:t>-</w:t>
      </w:r>
      <w:r w:rsidR="00A94EE6">
        <w:t> L</w:t>
      </w:r>
      <w:r w:rsidRPr="00B6426F">
        <w:t>a somme</w:t>
      </w:r>
      <w:r w:rsidR="00907AC6">
        <w:t xml:space="preserve"> </w:t>
      </w:r>
      <w:r w:rsidR="00A94EE6">
        <w:t>de 294,60 € (196 </w:t>
      </w:r>
      <w:r w:rsidR="00A94EE6" w:rsidRPr="00B6426F">
        <w:t xml:space="preserve">400 € </w:t>
      </w:r>
      <w:r w:rsidR="00FF6784">
        <w:t>×</w:t>
      </w:r>
      <w:r w:rsidR="00A94EE6" w:rsidRPr="00B6426F">
        <w:t xml:space="preserve"> 0,0015 = 294,60</w:t>
      </w:r>
      <w:r w:rsidR="00A94EE6">
        <w:t> </w:t>
      </w:r>
      <w:r w:rsidR="00A94EE6" w:rsidRPr="00B6426F">
        <w:t>€)</w:t>
      </w:r>
      <w:r w:rsidR="00A94EE6">
        <w:t xml:space="preserve"> est mise </w:t>
      </w:r>
      <w:r w:rsidR="002361BC">
        <w:t>à la charge de M. </w:t>
      </w:r>
      <w:r w:rsidR="00732062">
        <w:t>Y</w:t>
      </w:r>
      <w:r w:rsidR="002361BC">
        <w:t xml:space="preserve"> </w:t>
      </w:r>
      <w:r w:rsidR="00A94EE6">
        <w:t xml:space="preserve">pour le manquement </w:t>
      </w:r>
      <w:r w:rsidR="00E721C2">
        <w:t>relatif aux mandats n° 8351 et n° 113899</w:t>
      </w:r>
      <w:r w:rsidR="00A94EE6">
        <w:t xml:space="preserve"> au titre de </w:t>
      </w:r>
      <w:r w:rsidR="00B81833">
        <w:t>s</w:t>
      </w:r>
      <w:r w:rsidR="00B432A7">
        <w:t>a gestion 2010 ;</w:t>
      </w:r>
    </w:p>
    <w:p w:rsidR="00B6426F" w:rsidRPr="007E27CD" w:rsidRDefault="00B432A7" w:rsidP="00852085">
      <w:pPr>
        <w:pStyle w:val="Corpsdetexte"/>
        <w:spacing w:after="360"/>
      </w:pPr>
      <w:r>
        <w:t>-</w:t>
      </w:r>
      <w:r w:rsidR="00A94EE6">
        <w:t> </w:t>
      </w:r>
      <w:r>
        <w:t>P</w:t>
      </w:r>
      <w:r w:rsidR="003D4FD9">
        <w:t>our les autres mandats</w:t>
      </w:r>
      <w:r w:rsidR="00907AC6">
        <w:t>,</w:t>
      </w:r>
      <w:r w:rsidR="003D4FD9">
        <w:t xml:space="preserve"> il n’y a p</w:t>
      </w:r>
      <w:r w:rsidR="00B81833">
        <w:t>as lieu de prononcer de charge à ce titre à l’encontre de M. </w:t>
      </w:r>
      <w:r w:rsidR="00732062">
        <w:t>Y</w:t>
      </w:r>
      <w:r w:rsidR="00B81833">
        <w:t>;</w:t>
      </w:r>
    </w:p>
    <w:p w:rsidR="001C2C8D" w:rsidRPr="00E75BED" w:rsidRDefault="00B432A7" w:rsidP="00852085">
      <w:pPr>
        <w:pStyle w:val="Corpsdetexte"/>
        <w:keepNext/>
        <w:spacing w:after="360"/>
        <w:rPr>
          <w:b/>
          <w:i/>
          <w:u w:val="single"/>
        </w:rPr>
      </w:pPr>
      <w:bookmarkStart w:id="13" w:name="_Toc370115392"/>
      <w:bookmarkStart w:id="14" w:name="_Toc362618099"/>
      <w:bookmarkStart w:id="15" w:name="_Toc370896981"/>
      <w:r w:rsidRPr="00E75BED">
        <w:rPr>
          <w:b/>
          <w:i/>
          <w:u w:val="single"/>
        </w:rPr>
        <w:t>C</w:t>
      </w:r>
      <w:r w:rsidR="001C2C8D" w:rsidRPr="00E75BED">
        <w:rPr>
          <w:b/>
          <w:i/>
          <w:u w:val="single"/>
        </w:rPr>
        <w:t>harges n° 6 et n° 6 bis</w:t>
      </w:r>
    </w:p>
    <w:p w:rsidR="001C2C8D" w:rsidRPr="004D0385" w:rsidRDefault="001C2C8D" w:rsidP="001C2C8D">
      <w:pPr>
        <w:pStyle w:val="Corpsdetexte"/>
        <w:keepNext/>
      </w:pPr>
      <w:r w:rsidRPr="004D0385">
        <w:t>Attendu que M.</w:t>
      </w:r>
      <w:r w:rsidR="005379E6">
        <w:t> </w:t>
      </w:r>
      <w:r w:rsidR="00732062">
        <w:t>Y</w:t>
      </w:r>
      <w:r w:rsidRPr="004D0385">
        <w:t>, agent comptable de l’</w:t>
      </w:r>
      <w:r w:rsidR="003F4391">
        <w:t>INRIA</w:t>
      </w:r>
      <w:r w:rsidRPr="004D0385">
        <w:t xml:space="preserve">, a mis en paiement neuf mandats </w:t>
      </w:r>
      <w:r w:rsidR="00E352E0">
        <w:t>pendant</w:t>
      </w:r>
      <w:r w:rsidRPr="004D0385">
        <w:t xml:space="preserve"> l’exercice 2010 pour un montant total de 5 455 € et deux mandats </w:t>
      </w:r>
      <w:r w:rsidR="00E352E0">
        <w:t>pendant</w:t>
      </w:r>
      <w:r w:rsidRPr="004D0385">
        <w:t xml:space="preserve"> l’exercice</w:t>
      </w:r>
      <w:r w:rsidR="00FF6784">
        <w:t xml:space="preserve"> </w:t>
      </w:r>
      <w:r w:rsidRPr="004D0385">
        <w:t>2011 pour un montant total de 450</w:t>
      </w:r>
      <w:r w:rsidR="005379E6">
        <w:t> </w:t>
      </w:r>
      <w:r w:rsidRPr="004D0385">
        <w:t>€</w:t>
      </w:r>
      <w:r w:rsidR="00E352E0">
        <w:t>, tous</w:t>
      </w:r>
      <w:r w:rsidRPr="004D0385">
        <w:t xml:space="preserve"> imputés au compte n° 6378 « </w:t>
      </w:r>
      <w:r w:rsidRPr="004D0385">
        <w:rPr>
          <w:i/>
        </w:rPr>
        <w:t>taxes diverses</w:t>
      </w:r>
      <w:r w:rsidRPr="004D0385">
        <w:t> »</w:t>
      </w:r>
      <w:r w:rsidR="00E352E0">
        <w:t> ; que ces dépenses</w:t>
      </w:r>
      <w:r w:rsidRPr="004D0385">
        <w:t xml:space="preserve"> correspondaient au remboursement à des personn</w:t>
      </w:r>
      <w:r w:rsidR="00E352E0">
        <w:t>es de nationalité étrangère de</w:t>
      </w:r>
      <w:r w:rsidRPr="004D0385">
        <w:t xml:space="preserve"> taxes dont elles s’étaient préalablement acquittées au titre des droits à payer sur les permis de séjour ;</w:t>
      </w:r>
    </w:p>
    <w:p w:rsidR="001C2C8D" w:rsidRPr="00A2171B" w:rsidRDefault="001C2C8D" w:rsidP="00A2171B">
      <w:pPr>
        <w:pStyle w:val="Corpsdetexte"/>
      </w:pPr>
      <w:r w:rsidRPr="00A2171B">
        <w:t>Attendu que le réquisitoire du Procureur général</w:t>
      </w:r>
      <w:r w:rsidR="002361BC" w:rsidRPr="00A2171B">
        <w:t xml:space="preserve"> retient comme élément à charge</w:t>
      </w:r>
      <w:r w:rsidRPr="00A2171B">
        <w:t xml:space="preserve"> que le remboursement d’une dépense pe</w:t>
      </w:r>
      <w:r w:rsidR="00E352E0">
        <w:t>rsonnelle d’</w:t>
      </w:r>
      <w:r w:rsidRPr="00A2171B">
        <w:t>agents de l’établissement</w:t>
      </w:r>
      <w:r w:rsidR="00E352E0">
        <w:t xml:space="preserve"> public </w:t>
      </w:r>
      <w:r w:rsidRPr="00A2171B">
        <w:t xml:space="preserve">sur décision de son représentant légal et ordonnateur, ne présente pas le caractère de taxe, mais </w:t>
      </w:r>
      <w:r w:rsidR="00E21CB1">
        <w:t xml:space="preserve">celui </w:t>
      </w:r>
      <w:r w:rsidRPr="00A2171B">
        <w:t xml:space="preserve">d’un avantage personnel </w:t>
      </w:r>
      <w:r w:rsidR="00E352E0">
        <w:t xml:space="preserve">ne </w:t>
      </w:r>
      <w:r w:rsidR="00B66D08">
        <w:t>relevant</w:t>
      </w:r>
      <w:r w:rsidRPr="00A2171B">
        <w:t xml:space="preserve"> pas de l’imputation budgétaire retenue ;</w:t>
      </w:r>
    </w:p>
    <w:p w:rsidR="001C2C8D" w:rsidRPr="00A2171B" w:rsidRDefault="001C2C8D" w:rsidP="00A2171B">
      <w:pPr>
        <w:pStyle w:val="Corpsdetexte"/>
      </w:pPr>
      <w:r w:rsidRPr="00A2171B">
        <w:t>Attendu qu’en réponse le comptable se limite à justifier que les dépenses en cause étai</w:t>
      </w:r>
      <w:r w:rsidR="00E352E0">
        <w:t>en</w:t>
      </w:r>
      <w:r w:rsidRPr="00A2171B">
        <w:t>t imputable</w:t>
      </w:r>
      <w:r w:rsidR="00E352E0">
        <w:t>s</w:t>
      </w:r>
      <w:r w:rsidRPr="00A2171B">
        <w:t xml:space="preserve"> au budget d</w:t>
      </w:r>
      <w:r w:rsidR="00E352E0">
        <w:t>e l</w:t>
      </w:r>
      <w:r w:rsidRPr="00A2171B">
        <w:t>’</w:t>
      </w:r>
      <w:r w:rsidR="003F4391">
        <w:t>INRIA</w:t>
      </w:r>
      <w:r w:rsidRPr="00A2171B">
        <w:t xml:space="preserve"> ; que le paiement de ces mandats </w:t>
      </w:r>
      <w:r w:rsidR="00E352E0">
        <w:t>résultait de</w:t>
      </w:r>
      <w:r w:rsidRPr="00A2171B">
        <w:t xml:space="preserve"> la décision n° 6984 du directeur général de l’</w:t>
      </w:r>
      <w:r w:rsidR="003F4391">
        <w:t>INRIA</w:t>
      </w:r>
      <w:r w:rsidRPr="00A2171B">
        <w:t xml:space="preserve"> autorisant le remboursement de la taxe de délivrance d’un titre de séjour et l’attestation du service fait sur les pièces justif</w:t>
      </w:r>
      <w:r w:rsidR="00E352E0">
        <w:t>icatives correspondantes ; que c</w:t>
      </w:r>
      <w:r w:rsidRPr="00A2171B">
        <w:t>es paiement</w:t>
      </w:r>
      <w:r w:rsidR="00E352E0">
        <w:t>s</w:t>
      </w:r>
      <w:r w:rsidRPr="00A2171B">
        <w:t xml:space="preserve"> n’ont pas causé de préjudice</w:t>
      </w:r>
      <w:r w:rsidR="00C1774F" w:rsidRPr="00A2171B">
        <w:t xml:space="preserve"> financier</w:t>
      </w:r>
      <w:r w:rsidRPr="00A2171B">
        <w:t xml:space="preserve"> pour l’</w:t>
      </w:r>
      <w:r w:rsidR="003F4391">
        <w:t>INRIA</w:t>
      </w:r>
      <w:r w:rsidRPr="00A2171B">
        <w:t> ;</w:t>
      </w:r>
      <w:r w:rsidR="00D95642" w:rsidRPr="00D95642">
        <w:t xml:space="preserve"> </w:t>
      </w:r>
      <w:r w:rsidR="00B81833">
        <w:t xml:space="preserve">qu’il ajoute </w:t>
      </w:r>
      <w:r w:rsidR="00D95642" w:rsidRPr="00D95642">
        <w:t>que la mise en cause de la responsabilité personnelle et pécuniaire du comptable procurerait à l’</w:t>
      </w:r>
      <w:r w:rsidR="003F4391">
        <w:t>INRIA</w:t>
      </w:r>
      <w:r w:rsidR="00D95642" w:rsidRPr="00D95642">
        <w:t xml:space="preserve"> un enrichissement sans cause</w:t>
      </w:r>
      <w:r w:rsidR="00FF6784">
        <w:t> </w:t>
      </w:r>
      <w:r w:rsidR="00D95642" w:rsidRPr="00D95642">
        <w:t>;</w:t>
      </w:r>
    </w:p>
    <w:p w:rsidR="001C2C8D" w:rsidRPr="00A2171B" w:rsidRDefault="001C2C8D" w:rsidP="00A2171B">
      <w:pPr>
        <w:pStyle w:val="Corpsdetexte"/>
      </w:pPr>
      <w:r w:rsidRPr="00A2171B">
        <w:t xml:space="preserve">Attendu que les arguments du comptable ne répondent </w:t>
      </w:r>
      <w:r w:rsidR="00E75BED">
        <w:t xml:space="preserve">pas </w:t>
      </w:r>
      <w:r w:rsidRPr="00A2171B">
        <w:t>au moyen soulevé par réquisitoire du Procureur général à savoir l’imputation de la dépense ; qu’ils</w:t>
      </w:r>
      <w:r w:rsidR="00FF6784">
        <w:t xml:space="preserve"> </w:t>
      </w:r>
      <w:r w:rsidR="00E352E0">
        <w:t>doivent de</w:t>
      </w:r>
      <w:r w:rsidRPr="00A2171B">
        <w:t xml:space="preserve"> ce fait </w:t>
      </w:r>
      <w:r w:rsidR="001A42D3">
        <w:t xml:space="preserve">être </w:t>
      </w:r>
      <w:r w:rsidR="00E352E0">
        <w:t>écartés</w:t>
      </w:r>
      <w:r w:rsidRPr="00A2171B">
        <w:t> ;</w:t>
      </w:r>
    </w:p>
    <w:p w:rsidR="001C2C8D" w:rsidRPr="00A2171B" w:rsidRDefault="001C2C8D" w:rsidP="00A2171B">
      <w:pPr>
        <w:pStyle w:val="Corpsdetexte"/>
      </w:pPr>
      <w:r w:rsidRPr="00A2171B">
        <w:t>Attendu que la décision n°</w:t>
      </w:r>
      <w:r w:rsidR="00BC57BF">
        <w:t> </w:t>
      </w:r>
      <w:r w:rsidRPr="00A2171B">
        <w:t>6984 du direct</w:t>
      </w:r>
      <w:r w:rsidR="00E352E0">
        <w:t>eur général n’est pas en cause</w:t>
      </w:r>
      <w:r w:rsidR="00FF6784">
        <w:t xml:space="preserve"> </w:t>
      </w:r>
      <w:r w:rsidR="00E352E0">
        <w:t>et</w:t>
      </w:r>
      <w:r w:rsidRPr="00A2171B">
        <w:t xml:space="preserve"> </w:t>
      </w:r>
      <w:r w:rsidR="00E352E0">
        <w:t>qu’</w:t>
      </w:r>
      <w:r w:rsidRPr="00A2171B">
        <w:t>il ne revenait pas au comptable d’en contester la régularité ;</w:t>
      </w:r>
    </w:p>
    <w:p w:rsidR="001C2C8D" w:rsidRPr="00C47E3B" w:rsidRDefault="001C2C8D" w:rsidP="00830236">
      <w:pPr>
        <w:pStyle w:val="Corpsdetexte"/>
      </w:pPr>
      <w:r w:rsidRPr="00C47E3B">
        <w:lastRenderedPageBreak/>
        <w:t>Considérant que l’article L. 311-15 du code de l'entrée et du séjour des étrangers et du droit d'asile prévoit que les organismes de recherche publics sont</w:t>
      </w:r>
      <w:r w:rsidR="00FF6784">
        <w:t xml:space="preserve"> </w:t>
      </w:r>
      <w:r w:rsidRPr="00C47E3B">
        <w:t>exonérés de la taxe prévue au premier alinéa ; que le comptable public ne pouvait donc</w:t>
      </w:r>
      <w:r w:rsidR="00FF6784">
        <w:t xml:space="preserve"> </w:t>
      </w:r>
      <w:r w:rsidRPr="00C47E3B">
        <w:t>imputer sur le compte n°</w:t>
      </w:r>
      <w:r w:rsidR="00BC57BF">
        <w:t> </w:t>
      </w:r>
      <w:r w:rsidRPr="00C47E3B">
        <w:t>6378 une taxe dont l’établissement est exonéré</w:t>
      </w:r>
      <w:r w:rsidR="00BC57BF">
        <w:t> </w:t>
      </w:r>
      <w:r w:rsidRPr="00C47E3B">
        <w:t>;</w:t>
      </w:r>
      <w:r w:rsidR="00E75BED" w:rsidRPr="00C47E3B">
        <w:t xml:space="preserve"> </w:t>
      </w:r>
      <w:r w:rsidRPr="00C47E3B">
        <w:t>que</w:t>
      </w:r>
      <w:r w:rsidR="00FF6784">
        <w:t xml:space="preserve"> </w:t>
      </w:r>
      <w:r w:rsidRPr="00C47E3B">
        <w:t>le</w:t>
      </w:r>
      <w:r w:rsidR="00FF6784">
        <w:t xml:space="preserve"> </w:t>
      </w:r>
      <w:r w:rsidR="00E352E0">
        <w:t>remboursement d’une</w:t>
      </w:r>
      <w:r w:rsidRPr="00C47E3B">
        <w:t xml:space="preserve"> </w:t>
      </w:r>
      <w:r w:rsidR="00E352E0">
        <w:t>taxe due à titre personnel par des agents</w:t>
      </w:r>
      <w:r w:rsidRPr="00C47E3B">
        <w:t xml:space="preserve"> contractuel</w:t>
      </w:r>
      <w:r w:rsidR="00E352E0">
        <w:t>s</w:t>
      </w:r>
      <w:r w:rsidRPr="00C47E3B">
        <w:t xml:space="preserve"> étranger</w:t>
      </w:r>
      <w:r w:rsidR="00E352E0">
        <w:t>s n’érige pas</w:t>
      </w:r>
      <w:r w:rsidRPr="00C47E3B">
        <w:t xml:space="preserve"> pour autant, cette dépense en taxe </w:t>
      </w:r>
      <w:r w:rsidR="00E352E0">
        <w:t>imputable à</w:t>
      </w:r>
      <w:r w:rsidRPr="00C47E3B">
        <w:t xml:space="preserve"> l’établissement ;</w:t>
      </w:r>
      <w:r w:rsidR="00C1774F" w:rsidRPr="00C47E3B">
        <w:t xml:space="preserve"> </w:t>
      </w:r>
      <w:r w:rsidR="00B66D08">
        <w:t>qu’ainsi,</w:t>
      </w:r>
      <w:r w:rsidRPr="00C47E3B">
        <w:t xml:space="preserve"> l’imputation au compte n°</w:t>
      </w:r>
      <w:r w:rsidR="00BC57BF">
        <w:t> </w:t>
      </w:r>
      <w:r w:rsidRPr="00C47E3B">
        <w:t xml:space="preserve">6378 « </w:t>
      </w:r>
      <w:r w:rsidRPr="00C47E3B">
        <w:rPr>
          <w:i/>
        </w:rPr>
        <w:t>taxes diverses</w:t>
      </w:r>
      <w:r w:rsidRPr="00C47E3B">
        <w:t xml:space="preserve"> » est erronée</w:t>
      </w:r>
      <w:r w:rsidR="00FF6784">
        <w:t> </w:t>
      </w:r>
      <w:r w:rsidRPr="00C47E3B">
        <w:t>;</w:t>
      </w:r>
    </w:p>
    <w:p w:rsidR="001C2C8D" w:rsidRPr="00C47E3B" w:rsidRDefault="001C2C8D" w:rsidP="00830236">
      <w:pPr>
        <w:pStyle w:val="Corpsdetexte"/>
      </w:pPr>
      <w:r w:rsidRPr="00C47E3B">
        <w:t>Considérant que conformément à l’article 12-B du décret du 29</w:t>
      </w:r>
      <w:r w:rsidR="00FF6784">
        <w:t xml:space="preserve"> </w:t>
      </w:r>
      <w:r w:rsidRPr="00C47E3B">
        <w:t>décembre 1962</w:t>
      </w:r>
      <w:r w:rsidR="00DE1B0F" w:rsidRPr="00DE1B0F">
        <w:t xml:space="preserve"> portant règlement général sur la comptabilité publique</w:t>
      </w:r>
      <w:r w:rsidRPr="00C47E3B">
        <w:t>, les comptables sont tenus d’assurer le contrôle de l’exacte imputation des dépenses aux chapitres qu’elles concernen</w:t>
      </w:r>
      <w:r w:rsidR="00FF6784">
        <w:t>t </w:t>
      </w:r>
      <w:r w:rsidRPr="00C47E3B">
        <w:t>; qu’en ne s’assurant pas de l’exacte imputation, le comptable a, de ce fait, manqué à ses obligations et engagé sa responsabilité au titre</w:t>
      </w:r>
      <w:r w:rsidR="00907AC6">
        <w:t xml:space="preserve"> de</w:t>
      </w:r>
      <w:r w:rsidRPr="00C47E3B">
        <w:t xml:space="preserve"> l’article 60 de la </w:t>
      </w:r>
      <w:r w:rsidR="00DE1B0F">
        <w:t>loi n° 63</w:t>
      </w:r>
      <w:r w:rsidR="00DE1B0F">
        <w:noBreakHyphen/>
      </w:r>
      <w:r w:rsidR="00C51D37" w:rsidRPr="00C47E3B">
        <w:t>156 du 23 février 1963</w:t>
      </w:r>
      <w:r w:rsidRPr="00C47E3B">
        <w:t> ;</w:t>
      </w:r>
    </w:p>
    <w:p w:rsidR="00D95642" w:rsidRPr="00732F65" w:rsidRDefault="00D95642" w:rsidP="00830236">
      <w:pPr>
        <w:pStyle w:val="Corpsdetexte"/>
        <w:rPr>
          <w:rFonts w:eastAsia="Calibri"/>
        </w:rPr>
      </w:pPr>
      <w:r w:rsidRPr="00732F65">
        <w:rPr>
          <w:rFonts w:eastAsia="Calibri"/>
        </w:rPr>
        <w:t xml:space="preserve">Attendu que le moyen selon lequel la mise en cause de la responsabilité personnelle et pécuniaire du comptable procurerait à l’établissement un enrichissement sans cause n’est pas </w:t>
      </w:r>
      <w:r w:rsidR="00B66D08" w:rsidRPr="00732F65">
        <w:rPr>
          <w:rFonts w:eastAsia="Calibri"/>
        </w:rPr>
        <w:t>démontré</w:t>
      </w:r>
      <w:r w:rsidR="00FF6784">
        <w:rPr>
          <w:rFonts w:eastAsia="Calibri"/>
        </w:rPr>
        <w:t> </w:t>
      </w:r>
      <w:r w:rsidRPr="00732F65">
        <w:rPr>
          <w:rFonts w:eastAsia="Calibri"/>
        </w:rPr>
        <w:t>;</w:t>
      </w:r>
    </w:p>
    <w:p w:rsidR="001C2C8D" w:rsidRPr="00C47E3B" w:rsidRDefault="001C2C8D" w:rsidP="00830236">
      <w:pPr>
        <w:pStyle w:val="Corpsdetexte"/>
      </w:pPr>
      <w:r w:rsidRPr="00C47E3B">
        <w:t>Attendu qu’en l’espèce, le moyen tiré d’une éventuelle «</w:t>
      </w:r>
      <w:r w:rsidR="00FF6784">
        <w:t> </w:t>
      </w:r>
      <w:r w:rsidRPr="00C47E3B">
        <w:t>force majeure</w:t>
      </w:r>
      <w:r w:rsidR="00FF6784">
        <w:t> </w:t>
      </w:r>
      <w:r w:rsidRPr="00C47E3B">
        <w:t xml:space="preserve">» prévu par l’article 60-V de la </w:t>
      </w:r>
      <w:r w:rsidR="00C51D37" w:rsidRPr="00C47E3B">
        <w:t>loi n° 63-156 du 23 février 1963</w:t>
      </w:r>
      <w:r w:rsidRPr="00C47E3B">
        <w:t xml:space="preserve">, n’est </w:t>
      </w:r>
      <w:r w:rsidR="00B66D08">
        <w:t xml:space="preserve">pas </w:t>
      </w:r>
      <w:r w:rsidRPr="00C47E3B">
        <w:t>allégué ;</w:t>
      </w:r>
    </w:p>
    <w:p w:rsidR="001C2C8D" w:rsidRPr="00C47E3B" w:rsidRDefault="00E75BED" w:rsidP="00830236">
      <w:pPr>
        <w:pStyle w:val="Corpsdetexte"/>
      </w:pPr>
      <w:r w:rsidRPr="00C47E3B">
        <w:t xml:space="preserve">Attendu </w:t>
      </w:r>
      <w:r w:rsidR="00B66D08">
        <w:t>qu’</w:t>
      </w:r>
      <w:r w:rsidR="00B66D08" w:rsidRPr="00C47E3B">
        <w:t>au titre des articles L.</w:t>
      </w:r>
      <w:r w:rsidR="00BC57BF">
        <w:t> </w:t>
      </w:r>
      <w:r w:rsidR="00B66D08" w:rsidRPr="00C47E3B">
        <w:t>311-13 et L.</w:t>
      </w:r>
      <w:r w:rsidR="00BC57BF">
        <w:t> </w:t>
      </w:r>
      <w:r w:rsidR="00B66D08" w:rsidRPr="00C47E3B">
        <w:t>311-14 du code de l'entrée et du séjour des étrangers et du droit d'asile</w:t>
      </w:r>
      <w:r w:rsidR="00B66D08">
        <w:t>, ces</w:t>
      </w:r>
      <w:r w:rsidRPr="00C47E3B">
        <w:t xml:space="preserve"> dépense</w:t>
      </w:r>
      <w:r w:rsidR="00B66D08">
        <w:t>s</w:t>
      </w:r>
      <w:r w:rsidRPr="00C47E3B">
        <w:t xml:space="preserve"> </w:t>
      </w:r>
      <w:r w:rsidR="00B66D08">
        <w:t>incombaient</w:t>
      </w:r>
      <w:r w:rsidRPr="00C47E3B">
        <w:t xml:space="preserve"> personnellement </w:t>
      </w:r>
      <w:r w:rsidR="00B66D08">
        <w:t>aux agents auxquels elles ont été remboursées</w:t>
      </w:r>
      <w:r w:rsidR="00FF6784">
        <w:t> </w:t>
      </w:r>
      <w:r w:rsidR="001A42D3" w:rsidRPr="00C47E3B">
        <w:t xml:space="preserve">; </w:t>
      </w:r>
      <w:r w:rsidR="00B66D08">
        <w:t>qu’elles constituent donc</w:t>
      </w:r>
      <w:r w:rsidR="001A42D3" w:rsidRPr="00C47E3B">
        <w:t xml:space="preserve"> des compléments de rémunération ; </w:t>
      </w:r>
      <w:r w:rsidR="00B66D08">
        <w:t>que l’</w:t>
      </w:r>
      <w:r w:rsidR="001C2C8D" w:rsidRPr="00C47E3B">
        <w:t xml:space="preserve">imputation </w:t>
      </w:r>
      <w:r w:rsidR="00B66D08">
        <w:t>faite par le comptable a abouti</w:t>
      </w:r>
      <w:r w:rsidR="001C2C8D" w:rsidRPr="00C47E3B">
        <w:t xml:space="preserve"> à une surévaluation du compte n°</w:t>
      </w:r>
      <w:r w:rsidR="00BC57BF">
        <w:t> </w:t>
      </w:r>
      <w:r w:rsidR="001C2C8D" w:rsidRPr="00C47E3B">
        <w:t xml:space="preserve">6378 « taxes diverses » et </w:t>
      </w:r>
      <w:r w:rsidR="00B66D08">
        <w:t xml:space="preserve">à </w:t>
      </w:r>
      <w:r w:rsidR="001C2C8D" w:rsidRPr="00C47E3B">
        <w:t>une sous</w:t>
      </w:r>
      <w:r w:rsidR="00FF6784">
        <w:t>-</w:t>
      </w:r>
      <w:r w:rsidR="001C2C8D" w:rsidRPr="00C47E3B">
        <w:t>évaluation des comptes rel</w:t>
      </w:r>
      <w:r w:rsidR="001A42D3" w:rsidRPr="00C47E3B">
        <w:t>atifs aux charges de personnel</w:t>
      </w:r>
      <w:r w:rsidR="00FF6784">
        <w:t xml:space="preserve"> </w:t>
      </w:r>
      <w:r w:rsidR="00B81833">
        <w:t xml:space="preserve">devant </w:t>
      </w:r>
      <w:r w:rsidR="001A42D3" w:rsidRPr="00C47E3B">
        <w:t xml:space="preserve">supporter des </w:t>
      </w:r>
      <w:r w:rsidR="001C2C8D" w:rsidRPr="00C47E3B">
        <w:t>cotisations sociales ; que cette omission est susceptible de créer</w:t>
      </w:r>
      <w:r w:rsidR="00BC57BF">
        <w:t xml:space="preserve"> un</w:t>
      </w:r>
      <w:r w:rsidR="001C2C8D" w:rsidRPr="00C47E3B">
        <w:t xml:space="preserve"> préjudice financier </w:t>
      </w:r>
      <w:r w:rsidR="00B66D08">
        <w:t>pour l’établissement, ce</w:t>
      </w:r>
      <w:r w:rsidR="00FF6784">
        <w:t xml:space="preserve"> </w:t>
      </w:r>
      <w:r w:rsidR="00B66D08">
        <w:t xml:space="preserve">qui n’a cependant pas été </w:t>
      </w:r>
      <w:r w:rsidR="001C2C8D" w:rsidRPr="00C47E3B">
        <w:t xml:space="preserve">constaté </w:t>
      </w:r>
      <w:r w:rsidR="00B66D08">
        <w:t>lors</w:t>
      </w:r>
      <w:r w:rsidR="001C2C8D" w:rsidRPr="00C47E3B">
        <w:t xml:space="preserve"> de l’instruction ;</w:t>
      </w:r>
    </w:p>
    <w:p w:rsidR="00C1774F" w:rsidRPr="00A2171B" w:rsidRDefault="00B66D08" w:rsidP="00972D76">
      <w:pPr>
        <w:pStyle w:val="Corpsdetexte"/>
      </w:pPr>
      <w:r>
        <w:t>Q</w:t>
      </w:r>
      <w:r w:rsidR="001C2C8D" w:rsidRPr="00A2171B">
        <w:t>u’en conséquence, il convient de faire application des dispositions de l’art</w:t>
      </w:r>
      <w:r w:rsidR="00B81833">
        <w:t>icle</w:t>
      </w:r>
      <w:r w:rsidR="00BC57BF">
        <w:t> </w:t>
      </w:r>
      <w:r w:rsidR="00B81833">
        <w:t>60-VI, 2</w:t>
      </w:r>
      <w:r w:rsidR="00B81833" w:rsidRPr="00B81833">
        <w:rPr>
          <w:vertAlign w:val="superscript"/>
        </w:rPr>
        <w:t>ème</w:t>
      </w:r>
      <w:r w:rsidR="00B81833">
        <w:t xml:space="preserve"> </w:t>
      </w:r>
      <w:r w:rsidR="001C2C8D" w:rsidRPr="00A2171B">
        <w:t xml:space="preserve">aliéna, de la </w:t>
      </w:r>
      <w:r w:rsidR="00C51D37">
        <w:t>loi n° 63-156 du 23 février 1963</w:t>
      </w:r>
      <w:r w:rsidR="001C2C8D" w:rsidRPr="00A2171B">
        <w:t xml:space="preserve"> et de l’article 1 du décret n°</w:t>
      </w:r>
      <w:r w:rsidR="00BC57BF">
        <w:t> </w:t>
      </w:r>
      <w:r w:rsidR="001C2C8D" w:rsidRPr="00A2171B">
        <w:t>2012-1386 du 10 décembre 2012</w:t>
      </w:r>
      <w:r w:rsidR="00FF6784">
        <w:t> </w:t>
      </w:r>
      <w:r w:rsidR="001C2C8D" w:rsidRPr="00A2171B">
        <w:t xml:space="preserve">; que le cautionnement du poste comptable s’établissait à </w:t>
      </w:r>
      <w:r>
        <w:t>196 400</w:t>
      </w:r>
      <w:r w:rsidR="00C1774F" w:rsidRPr="00A2171B">
        <w:t xml:space="preserve"> € jusqu’au 31 décembre 2010 </w:t>
      </w:r>
      <w:r>
        <w:t xml:space="preserve">puis 199 600 </w:t>
      </w:r>
      <w:r w:rsidR="00C1774F" w:rsidRPr="00A2171B">
        <w:t>€ ;</w:t>
      </w:r>
    </w:p>
    <w:p w:rsidR="001C2C8D" w:rsidRPr="00A2171B" w:rsidRDefault="001C2C8D" w:rsidP="00972D76">
      <w:pPr>
        <w:pStyle w:val="Corpsdetexte"/>
      </w:pPr>
      <w:r w:rsidRPr="00A2171B">
        <w:t>Attendu qu’aucune circonstance de l’espèce ne peut être invoquée pour moduler la somme laissée à charge du comptable ; que la répétition du manquement ne</w:t>
      </w:r>
      <w:r w:rsidR="00FF6784">
        <w:t xml:space="preserve"> </w:t>
      </w:r>
      <w:r w:rsidRPr="00A2171B">
        <w:t>saurait exonérer partiellement l’agent comptable de sa responsabilité ;</w:t>
      </w:r>
    </w:p>
    <w:p w:rsidR="001C2C8D" w:rsidRPr="00F04790" w:rsidRDefault="001C2C8D" w:rsidP="00972D76">
      <w:pPr>
        <w:pStyle w:val="Corpsdetexte"/>
      </w:pPr>
      <w:r w:rsidRPr="00F04790">
        <w:t>Par ces motifs,</w:t>
      </w:r>
    </w:p>
    <w:p w:rsidR="000D56E9" w:rsidRPr="00F04790" w:rsidRDefault="001C2C8D" w:rsidP="00972D76">
      <w:pPr>
        <w:pStyle w:val="Corpsdetexte"/>
      </w:pPr>
      <w:r w:rsidRPr="00F04790">
        <w:t xml:space="preserve">- </w:t>
      </w:r>
      <w:r w:rsidR="00A94EE6">
        <w:t>Les</w:t>
      </w:r>
      <w:r w:rsidRPr="00F04790">
        <w:t xml:space="preserve"> somme</w:t>
      </w:r>
      <w:r w:rsidR="00A94EE6">
        <w:t>s</w:t>
      </w:r>
      <w:r w:rsidRPr="00F04790">
        <w:t xml:space="preserve"> </w:t>
      </w:r>
      <w:r w:rsidR="00A94EE6">
        <w:t xml:space="preserve">de </w:t>
      </w:r>
      <w:r w:rsidRPr="00F04790">
        <w:t xml:space="preserve">294,60 € (196 400 € </w:t>
      </w:r>
      <w:r w:rsidR="00FF6784">
        <w:t>×</w:t>
      </w:r>
      <w:r w:rsidRPr="00F04790">
        <w:t xml:space="preserve"> 0,0015 = 294,60</w:t>
      </w:r>
      <w:r w:rsidR="00BC57BF">
        <w:t> </w:t>
      </w:r>
      <w:r w:rsidRPr="00F04790">
        <w:t xml:space="preserve">€) </w:t>
      </w:r>
      <w:r w:rsidR="001A42D3">
        <w:t xml:space="preserve">au titre de sa gestion </w:t>
      </w:r>
      <w:r w:rsidRPr="00F04790">
        <w:t xml:space="preserve">2010 et </w:t>
      </w:r>
      <w:r w:rsidR="00C1774F" w:rsidRPr="00F04790">
        <w:t xml:space="preserve">299,40 € (199 600 € </w:t>
      </w:r>
      <w:r w:rsidR="00FF6784">
        <w:t>×</w:t>
      </w:r>
      <w:r w:rsidR="00C1774F" w:rsidRPr="00F04790">
        <w:t xml:space="preserve"> 0,0015 = 299,40 €) </w:t>
      </w:r>
      <w:r w:rsidR="00E721C2">
        <w:t xml:space="preserve">au titre de sa gestion </w:t>
      </w:r>
      <w:r w:rsidR="00E721C2" w:rsidRPr="00F04790">
        <w:t>2011</w:t>
      </w:r>
      <w:r w:rsidR="00E721C2">
        <w:t xml:space="preserve">, </w:t>
      </w:r>
      <w:r w:rsidR="00A94EE6">
        <w:t>sont mises à la charge de M. </w:t>
      </w:r>
      <w:r w:rsidR="00732062">
        <w:t>Y</w:t>
      </w:r>
      <w:r w:rsidR="00A94EE6">
        <w:t xml:space="preserve"> pour le manquement précité</w:t>
      </w:r>
      <w:r w:rsidR="00907AC6">
        <w:t xml:space="preserve"> </w:t>
      </w:r>
      <w:r w:rsidRPr="00F04790">
        <w:t>;</w:t>
      </w:r>
    </w:p>
    <w:p w:rsidR="00D97940" w:rsidRPr="001A42D3" w:rsidRDefault="001A42D3" w:rsidP="00FF6784">
      <w:pPr>
        <w:pStyle w:val="Corpsdetexte"/>
        <w:spacing w:before="360"/>
        <w:rPr>
          <w:b/>
          <w:i/>
          <w:u w:val="single"/>
        </w:rPr>
      </w:pPr>
      <w:r w:rsidRPr="001A42D3">
        <w:rPr>
          <w:b/>
          <w:i/>
          <w:u w:val="single"/>
        </w:rPr>
        <w:t>C</w:t>
      </w:r>
      <w:r w:rsidR="00C93F21" w:rsidRPr="001A42D3">
        <w:rPr>
          <w:b/>
          <w:i/>
          <w:u w:val="single"/>
        </w:rPr>
        <w:t>harge n° 7</w:t>
      </w:r>
      <w:bookmarkEnd w:id="13"/>
      <w:bookmarkEnd w:id="14"/>
      <w:bookmarkEnd w:id="15"/>
    </w:p>
    <w:p w:rsidR="00D97940" w:rsidRPr="007E27CD" w:rsidRDefault="00C93F21" w:rsidP="00972D76">
      <w:pPr>
        <w:pStyle w:val="Corpsdetexte"/>
      </w:pPr>
      <w:r w:rsidRPr="007E27CD">
        <w:t>Attendu que M.</w:t>
      </w:r>
      <w:r w:rsidR="00BC57BF">
        <w:t> </w:t>
      </w:r>
      <w:r w:rsidR="00732062">
        <w:t>Y</w:t>
      </w:r>
      <w:r w:rsidRPr="007E27CD">
        <w:t>, agent comptable de l’</w:t>
      </w:r>
      <w:r w:rsidR="003F4391">
        <w:t>INRIA</w:t>
      </w:r>
      <w:r w:rsidRPr="007E27CD">
        <w:t xml:space="preserve">, a mis en paiement le </w:t>
      </w:r>
      <w:r w:rsidR="00D97940" w:rsidRPr="007E27CD">
        <w:t>mandat n°</w:t>
      </w:r>
      <w:r w:rsidR="00BC57BF">
        <w:t> </w:t>
      </w:r>
      <w:r w:rsidR="00D97940" w:rsidRPr="007E27CD">
        <w:t>13900 en date du 18 mai 2010, imputé sur le compte n° 67153 « </w:t>
      </w:r>
      <w:r w:rsidR="00D97940" w:rsidRPr="007E27CD">
        <w:rPr>
          <w:i/>
        </w:rPr>
        <w:t>charges exceptionnelles sur opérations de gestion, subventions accordées</w:t>
      </w:r>
      <w:r w:rsidR="00D97940" w:rsidRPr="007E27CD">
        <w:t> » pour un montant de</w:t>
      </w:r>
      <w:r w:rsidR="00FF6784">
        <w:t xml:space="preserve"> </w:t>
      </w:r>
      <w:r w:rsidR="00D97940" w:rsidRPr="007E27CD">
        <w:t>590 000 € au bénéfice d</w:t>
      </w:r>
      <w:r w:rsidRPr="007E27CD">
        <w:t xml:space="preserve">e la fondation </w:t>
      </w:r>
      <w:proofErr w:type="spellStart"/>
      <w:r w:rsidRPr="007E27CD">
        <w:t>Digitéo</w:t>
      </w:r>
      <w:proofErr w:type="spellEnd"/>
      <w:r w:rsidR="00FF6784">
        <w:t>-</w:t>
      </w:r>
      <w:r w:rsidRPr="007E27CD">
        <w:t>Triangle ;</w:t>
      </w:r>
    </w:p>
    <w:p w:rsidR="00BC57BF" w:rsidRDefault="00BC57BF">
      <w:pPr>
        <w:spacing w:before="0" w:after="0"/>
        <w:ind w:left="0" w:firstLine="0"/>
        <w:jc w:val="left"/>
      </w:pPr>
      <w:r>
        <w:br w:type="page"/>
      </w:r>
    </w:p>
    <w:p w:rsidR="00D97940" w:rsidRPr="007E27CD" w:rsidRDefault="00C93F21" w:rsidP="00972D76">
      <w:pPr>
        <w:pStyle w:val="Corpsdetexte"/>
      </w:pPr>
      <w:r w:rsidRPr="007E27CD">
        <w:t>Attendu que le réquisitoire du Procureur général</w:t>
      </w:r>
      <w:r w:rsidR="00C1774F">
        <w:t xml:space="preserve"> retient comme élément à</w:t>
      </w:r>
      <w:r w:rsidR="00FF6784">
        <w:t xml:space="preserve"> </w:t>
      </w:r>
      <w:r w:rsidR="00C1774F">
        <w:t>charge</w:t>
      </w:r>
      <w:r w:rsidRPr="007E27CD">
        <w:t xml:space="preserve"> </w:t>
      </w:r>
      <w:r w:rsidR="00D97940" w:rsidRPr="007E27CD">
        <w:t xml:space="preserve">que cet ordre de payer n’était </w:t>
      </w:r>
      <w:r w:rsidR="004B4083">
        <w:t>assorti</w:t>
      </w:r>
      <w:r w:rsidR="00D97940" w:rsidRPr="007E27CD">
        <w:t xml:space="preserve"> d’aucune justification et que les seules </w:t>
      </w:r>
      <w:r w:rsidR="004B4083">
        <w:t>mentions</w:t>
      </w:r>
      <w:r w:rsidR="00D97940" w:rsidRPr="007E27CD">
        <w:t xml:space="preserve"> figurant sur le mandat se limitaient </w:t>
      </w:r>
      <w:r w:rsidR="004B4083">
        <w:t>à des</w:t>
      </w:r>
      <w:r w:rsidR="00D97940" w:rsidRPr="007E27CD">
        <w:t xml:space="preserve"> </w:t>
      </w:r>
      <w:r w:rsidR="004B4083">
        <w:t xml:space="preserve">références à </w:t>
      </w:r>
      <w:r w:rsidR="00D97940" w:rsidRPr="007E27CD">
        <w:t xml:space="preserve">un marché de 2008, sans autre indication, et </w:t>
      </w:r>
      <w:r w:rsidR="004B4083">
        <w:t>à un</w:t>
      </w:r>
      <w:r w:rsidR="00D97940" w:rsidRPr="007E27CD">
        <w:t xml:space="preserve"> « </w:t>
      </w:r>
      <w:r w:rsidR="004B4083">
        <w:rPr>
          <w:i/>
        </w:rPr>
        <w:t>e</w:t>
      </w:r>
      <w:r w:rsidR="00BF123A" w:rsidRPr="007E27CD">
        <w:rPr>
          <w:i/>
        </w:rPr>
        <w:t>ngagement 2010 projet SCILAB</w:t>
      </w:r>
      <w:r w:rsidR="00BF123A" w:rsidRPr="007E27CD">
        <w:t> » ;</w:t>
      </w:r>
    </w:p>
    <w:p w:rsidR="00D97940" w:rsidRPr="007E27CD" w:rsidRDefault="00775A85" w:rsidP="00442D13">
      <w:pPr>
        <w:pStyle w:val="Corpsdetexte"/>
      </w:pPr>
      <w:r w:rsidRPr="007E27CD">
        <w:t>Attendu qu’en réponse</w:t>
      </w:r>
      <w:r w:rsidR="004B4083">
        <w:t>,</w:t>
      </w:r>
      <w:r w:rsidRPr="007E27CD">
        <w:t xml:space="preserve"> le comptable a produit la copie de la délibération du conseil d’administration du 15 avril 2008 approuvant le projet de constitution d’un consortium adossé à la Fondation de coopération scientifique </w:t>
      </w:r>
      <w:proofErr w:type="spellStart"/>
      <w:r w:rsidRPr="007E27CD">
        <w:t>Digitéo</w:t>
      </w:r>
      <w:proofErr w:type="spellEnd"/>
      <w:r w:rsidRPr="007E27CD">
        <w:t>-Triangle, chargé de développer le logiciel de calcul numérique SCILAB et la copie de la convention n° 2008</w:t>
      </w:r>
      <w:r w:rsidR="00FF6784">
        <w:t>-</w:t>
      </w:r>
      <w:r w:rsidRPr="007E27CD">
        <w:t>00543 entre l’</w:t>
      </w:r>
      <w:r w:rsidR="003F4391">
        <w:t>INRIA</w:t>
      </w:r>
      <w:r w:rsidRPr="007E27CD">
        <w:t xml:space="preserve"> et la</w:t>
      </w:r>
      <w:r w:rsidR="00C1774F">
        <w:t>dite</w:t>
      </w:r>
      <w:r w:rsidRPr="007E27CD">
        <w:t xml:space="preserve"> Fondation en date du 6 juin 2008 ;</w:t>
      </w:r>
      <w:r w:rsidR="00D95642" w:rsidRPr="00D95642">
        <w:t xml:space="preserve"> </w:t>
      </w:r>
      <w:r w:rsidR="00B81833">
        <w:t xml:space="preserve">qu’il ajoute </w:t>
      </w:r>
      <w:r w:rsidR="00D95642" w:rsidRPr="00D95642">
        <w:t>que la mise en cause de la responsabilité personnelle et pécuniaire du comptable procurerait à l’</w:t>
      </w:r>
      <w:r w:rsidR="003F4391">
        <w:t>INRIA</w:t>
      </w:r>
      <w:r w:rsidR="00D95642" w:rsidRPr="00D95642">
        <w:t xml:space="preserve"> un enrichissement sans cause</w:t>
      </w:r>
      <w:r w:rsidR="00FF6784">
        <w:t> </w:t>
      </w:r>
      <w:r w:rsidR="00D95642" w:rsidRPr="00D95642">
        <w:t>;</w:t>
      </w:r>
    </w:p>
    <w:p w:rsidR="00D97940" w:rsidRPr="007E27CD" w:rsidRDefault="00BF123A" w:rsidP="00442D13">
      <w:pPr>
        <w:pStyle w:val="Corpsdetexte"/>
      </w:pPr>
      <w:r w:rsidRPr="007E27CD">
        <w:t>Attendu que l</w:t>
      </w:r>
      <w:r w:rsidR="00D97940" w:rsidRPr="007E27CD">
        <w:t>’annexe n°</w:t>
      </w:r>
      <w:r w:rsidR="00BC57BF">
        <w:t> </w:t>
      </w:r>
      <w:r w:rsidR="00D97940" w:rsidRPr="007E27CD">
        <w:t>1 de la co</w:t>
      </w:r>
      <w:r w:rsidR="00C77A66" w:rsidRPr="007E27CD">
        <w:t xml:space="preserve">nvention n° 2008-00543 précise </w:t>
      </w:r>
      <w:r w:rsidR="00D97940" w:rsidRPr="007E27CD">
        <w:t>les modalités de versement de la participation financière de l’</w:t>
      </w:r>
      <w:r w:rsidR="003F4391">
        <w:t>INRIA</w:t>
      </w:r>
      <w:r w:rsidR="00D97940" w:rsidRPr="007E27CD">
        <w:t xml:space="preserve"> à la Fondation </w:t>
      </w:r>
      <w:proofErr w:type="spellStart"/>
      <w:r w:rsidR="00D97940" w:rsidRPr="007E27CD">
        <w:t>Digitéo</w:t>
      </w:r>
      <w:proofErr w:type="spellEnd"/>
      <w:r w:rsidR="00BC57BF">
        <w:t xml:space="preserve">-Triangle </w:t>
      </w:r>
      <w:r w:rsidR="00D97940" w:rsidRPr="007E27CD">
        <w:t xml:space="preserve">en vue de son soutien spécifique au projet </w:t>
      </w:r>
      <w:r w:rsidRPr="007E27CD">
        <w:t>SCILAB par un versement de 2,35 </w:t>
      </w:r>
      <w:r w:rsidR="00D97940" w:rsidRPr="007E27CD">
        <w:t xml:space="preserve">M€ sur </w:t>
      </w:r>
      <w:r w:rsidR="00C77A66" w:rsidRPr="007E27CD">
        <w:t xml:space="preserve">quatre </w:t>
      </w:r>
      <w:r w:rsidR="00D97940" w:rsidRPr="007E27CD">
        <w:t>ans de janvier 2008 à janvier 2012,</w:t>
      </w:r>
      <w:r w:rsidRPr="007E27CD">
        <w:t xml:space="preserve"> soit 590 000 € en janvier</w:t>
      </w:r>
      <w:r w:rsidR="00FF6784">
        <w:t xml:space="preserve"> </w:t>
      </w:r>
      <w:r w:rsidRPr="007E27CD">
        <w:t>2010 ;</w:t>
      </w:r>
    </w:p>
    <w:p w:rsidR="000D56E9" w:rsidRDefault="00C77A66" w:rsidP="000D56E9">
      <w:pPr>
        <w:pStyle w:val="Corpsdetexte"/>
      </w:pPr>
      <w:r w:rsidRPr="000D56E9">
        <w:t xml:space="preserve">Attendu que, </w:t>
      </w:r>
      <w:r w:rsidR="00D97940" w:rsidRPr="000D56E9">
        <w:t xml:space="preserve">compte tenu de </w:t>
      </w:r>
      <w:r w:rsidRPr="000D56E9">
        <w:t xml:space="preserve">la production des justificatifs, </w:t>
      </w:r>
      <w:r w:rsidR="00BF123A" w:rsidRPr="000D56E9">
        <w:t xml:space="preserve">il peut être admis que le comptable disposait des pièces lui permettant d’effectuer les contrôles auxquels il est </w:t>
      </w:r>
      <w:r w:rsidRPr="000D56E9">
        <w:t xml:space="preserve">tenu </w:t>
      </w:r>
      <w:r w:rsidR="00BF123A" w:rsidRPr="000D56E9">
        <w:t xml:space="preserve">notamment </w:t>
      </w:r>
      <w:r w:rsidRPr="000D56E9">
        <w:t xml:space="preserve">pour </w:t>
      </w:r>
      <w:r w:rsidR="00D97940" w:rsidRPr="000D56E9">
        <w:t>procéder au contrôle de l’exacti</w:t>
      </w:r>
      <w:r w:rsidR="00BF123A" w:rsidRPr="000D56E9">
        <w:t xml:space="preserve">tude des calculs de liquidation ; </w:t>
      </w:r>
    </w:p>
    <w:p w:rsidR="000D56E9" w:rsidRDefault="000D56E9" w:rsidP="000D56E9">
      <w:pPr>
        <w:pStyle w:val="Corpsdetexte"/>
      </w:pPr>
      <w:r>
        <w:t>Par ces motifs,</w:t>
      </w:r>
    </w:p>
    <w:p w:rsidR="00D97940" w:rsidRDefault="000D56E9" w:rsidP="000D56E9">
      <w:pPr>
        <w:pStyle w:val="Corpsdetexte"/>
      </w:pPr>
      <w:r>
        <w:t>-</w:t>
      </w:r>
      <w:r w:rsidR="00BC57BF">
        <w:t> </w:t>
      </w:r>
      <w:r w:rsidR="003D4FD9">
        <w:t>I</w:t>
      </w:r>
      <w:r w:rsidR="00BF123A" w:rsidRPr="000D56E9">
        <w:t xml:space="preserve">l n’y a pas lieu de </w:t>
      </w:r>
      <w:r w:rsidR="00686716">
        <w:t xml:space="preserve">prononcer </w:t>
      </w:r>
      <w:r w:rsidR="000D2BEE">
        <w:t xml:space="preserve">de </w:t>
      </w:r>
      <w:r w:rsidR="00BF123A" w:rsidRPr="000D56E9">
        <w:t xml:space="preserve">charge </w:t>
      </w:r>
      <w:r w:rsidR="000D2BEE">
        <w:t xml:space="preserve">à ce titre </w:t>
      </w:r>
      <w:r w:rsidR="00BF123A" w:rsidRPr="000D56E9">
        <w:t xml:space="preserve">à </w:t>
      </w:r>
      <w:r w:rsidR="00C77A66" w:rsidRPr="000D56E9">
        <w:t>l’</w:t>
      </w:r>
      <w:r w:rsidR="00BF123A" w:rsidRPr="000D56E9">
        <w:t>encontre</w:t>
      </w:r>
      <w:r w:rsidR="00C77A66" w:rsidRPr="000D56E9">
        <w:t xml:space="preserve"> </w:t>
      </w:r>
      <w:r w:rsidR="00F04790">
        <w:t>de</w:t>
      </w:r>
      <w:r w:rsidR="00BC57BF">
        <w:t> </w:t>
      </w:r>
      <w:r w:rsidR="00F04790">
        <w:t>M. </w:t>
      </w:r>
      <w:r w:rsidR="00732062">
        <w:t>Y</w:t>
      </w:r>
      <w:r w:rsidR="000D2BEE">
        <w:t>;</w:t>
      </w:r>
    </w:p>
    <w:p w:rsidR="00D97940" w:rsidRPr="001A42D3" w:rsidRDefault="001A42D3" w:rsidP="00FF6784">
      <w:pPr>
        <w:pStyle w:val="Corpsdetexte"/>
        <w:widowControl w:val="0"/>
        <w:spacing w:before="360"/>
        <w:rPr>
          <w:b/>
          <w:i/>
          <w:u w:val="single"/>
        </w:rPr>
      </w:pPr>
      <w:bookmarkStart w:id="16" w:name="_Toc370115393"/>
      <w:bookmarkStart w:id="17" w:name="_Toc362618103"/>
      <w:bookmarkStart w:id="18" w:name="_Toc370896982"/>
      <w:r w:rsidRPr="001A42D3">
        <w:rPr>
          <w:b/>
          <w:i/>
          <w:u w:val="single"/>
        </w:rPr>
        <w:t>C</w:t>
      </w:r>
      <w:r w:rsidR="00BF123A" w:rsidRPr="001A42D3">
        <w:rPr>
          <w:b/>
          <w:i/>
          <w:u w:val="single"/>
        </w:rPr>
        <w:t>harge n° 8</w:t>
      </w:r>
      <w:bookmarkEnd w:id="16"/>
      <w:bookmarkEnd w:id="17"/>
      <w:bookmarkEnd w:id="18"/>
    </w:p>
    <w:p w:rsidR="00D97940" w:rsidRPr="007E27CD" w:rsidRDefault="00BF123A" w:rsidP="00D95642">
      <w:pPr>
        <w:pStyle w:val="Corpsdetexte"/>
        <w:widowControl w:val="0"/>
      </w:pPr>
      <w:r w:rsidRPr="007E27CD">
        <w:t>Attendu que M.</w:t>
      </w:r>
      <w:r w:rsidR="00BC57BF">
        <w:t> </w:t>
      </w:r>
      <w:r w:rsidR="00732062">
        <w:t>Y</w:t>
      </w:r>
      <w:r w:rsidRPr="007E27CD">
        <w:t>, agent comptable de l’</w:t>
      </w:r>
      <w:r w:rsidR="003F4391">
        <w:t>INRIA</w:t>
      </w:r>
      <w:r w:rsidRPr="007E27CD">
        <w:t xml:space="preserve">, a mis en paiement </w:t>
      </w:r>
      <w:r w:rsidR="00D97940" w:rsidRPr="007E27CD">
        <w:t>deux mandats n° 4375 et n° 4376, émis le 1</w:t>
      </w:r>
      <w:r w:rsidR="00D97940" w:rsidRPr="007E27CD">
        <w:rPr>
          <w:vertAlign w:val="superscript"/>
        </w:rPr>
        <w:t>er</w:t>
      </w:r>
      <w:r w:rsidRPr="007E27CD">
        <w:t xml:space="preserve"> </w:t>
      </w:r>
      <w:r w:rsidR="00D97940" w:rsidRPr="007E27CD">
        <w:t>mars 2010, pour un même montant de</w:t>
      </w:r>
      <w:r w:rsidR="00FF6784">
        <w:t xml:space="preserve"> </w:t>
      </w:r>
      <w:r w:rsidR="00D97940" w:rsidRPr="007E27CD">
        <w:t>1 500 € chacun, au bénéfice du CNRS, pour le premier, et de « UFF-FILIALE SAS (</w:t>
      </w:r>
      <w:proofErr w:type="spellStart"/>
      <w:r w:rsidR="00D97940" w:rsidRPr="007E27CD">
        <w:t>Floralis</w:t>
      </w:r>
      <w:proofErr w:type="spellEnd"/>
      <w:r w:rsidR="00D97940" w:rsidRPr="007E27CD">
        <w:t>) », pour le second, au titre d’un s</w:t>
      </w:r>
      <w:r w:rsidRPr="007E27CD">
        <w:t>o</w:t>
      </w:r>
      <w:r w:rsidR="001E238B">
        <w:t>utien sous forme de parrainage, soit un total de 3 000 € ;</w:t>
      </w:r>
    </w:p>
    <w:p w:rsidR="00D97940" w:rsidRPr="007E27CD" w:rsidRDefault="00BF123A" w:rsidP="00D95642">
      <w:pPr>
        <w:pStyle w:val="Corpsdetexte"/>
        <w:widowControl w:val="0"/>
      </w:pPr>
      <w:r w:rsidRPr="007E27CD">
        <w:t>Attendu que le réquisitoire du Procureur général</w:t>
      </w:r>
      <w:r w:rsidR="00C1774F">
        <w:t xml:space="preserve"> retient comme élément à charge</w:t>
      </w:r>
      <w:r w:rsidRPr="007E27CD">
        <w:t xml:space="preserve"> </w:t>
      </w:r>
      <w:r w:rsidR="00D97940" w:rsidRPr="007E27CD">
        <w:t xml:space="preserve">que les deux paiements ont été effectués sans que la preuve d’un appel de fonds préalable ait été apportée, conformément </w:t>
      </w:r>
      <w:r w:rsidR="00C77A66" w:rsidRPr="007E27CD">
        <w:t xml:space="preserve">l’article 5 des </w:t>
      </w:r>
      <w:r w:rsidR="00D97940" w:rsidRPr="007E27CD">
        <w:t xml:space="preserve">conventions respectivement signées </w:t>
      </w:r>
      <w:r w:rsidR="000D56E9">
        <w:t>par l’</w:t>
      </w:r>
      <w:r w:rsidR="003F4391">
        <w:t>INRIA</w:t>
      </w:r>
      <w:r w:rsidR="000D56E9">
        <w:t xml:space="preserve"> </w:t>
      </w:r>
      <w:r w:rsidR="00D97940" w:rsidRPr="007E27CD">
        <w:t>av</w:t>
      </w:r>
      <w:r w:rsidR="00906219" w:rsidRPr="007E27CD">
        <w:t>ec les organismes bénéficiaires ;</w:t>
      </w:r>
    </w:p>
    <w:p w:rsidR="00D97940" w:rsidRPr="007E27CD" w:rsidRDefault="00906219" w:rsidP="00D95642">
      <w:pPr>
        <w:pStyle w:val="Corpsdetexte"/>
        <w:widowControl w:val="0"/>
      </w:pPr>
      <w:r w:rsidRPr="007E27CD">
        <w:t xml:space="preserve">Attendu qu’en réponse le comptable </w:t>
      </w:r>
      <w:r w:rsidR="00D97940" w:rsidRPr="007E27CD">
        <w:t xml:space="preserve">soutient que l’absence de contrôle des pièces justificatives est </w:t>
      </w:r>
      <w:r w:rsidR="00C77A66" w:rsidRPr="007E27CD">
        <w:t>d</w:t>
      </w:r>
      <w:r w:rsidR="00907AC6">
        <w:t>ue</w:t>
      </w:r>
      <w:r w:rsidR="00D97940" w:rsidRPr="007E27CD">
        <w:t xml:space="preserve"> à la surcharge d’activité à l’agence comptable pendant la période de clôture comptable et de production du compte financier</w:t>
      </w:r>
      <w:r w:rsidR="00663AAB" w:rsidRPr="007E27CD">
        <w:t xml:space="preserve"> ; </w:t>
      </w:r>
      <w:r w:rsidR="00D97940" w:rsidRPr="007E27CD">
        <w:t>que ces dépenses correspondaient à des engagements budgétaires de l’ordonnateur conformément aux convention</w:t>
      </w:r>
      <w:r w:rsidR="00663AAB" w:rsidRPr="007E27CD">
        <w:t>s jointes à l’appui des mandats ;</w:t>
      </w:r>
      <w:r w:rsidR="00D95642" w:rsidRPr="00D95642">
        <w:t xml:space="preserve"> que la mise en cause de la responsabilité personnelle et pécuniaire du comptable procurerait à l’</w:t>
      </w:r>
      <w:r w:rsidR="003F4391">
        <w:t>INRIA</w:t>
      </w:r>
      <w:r w:rsidR="00D95642" w:rsidRPr="00D95642">
        <w:t xml:space="preserve"> un enrichissement sans cause</w:t>
      </w:r>
      <w:r w:rsidR="00FF6784">
        <w:t> </w:t>
      </w:r>
      <w:r w:rsidR="00D95642" w:rsidRPr="00D95642">
        <w:t>;</w:t>
      </w:r>
    </w:p>
    <w:p w:rsidR="00E05DB0" w:rsidRDefault="00663AAB" w:rsidP="00D95642">
      <w:pPr>
        <w:pStyle w:val="Corpsdetexte"/>
        <w:widowControl w:val="0"/>
      </w:pPr>
      <w:r w:rsidRPr="007E27CD">
        <w:t xml:space="preserve">Attendu que le comptable n’apporte aucun élément à décharge ; qu’il se prévaut </w:t>
      </w:r>
      <w:r w:rsidR="008D7911">
        <w:t xml:space="preserve">uniquement </w:t>
      </w:r>
      <w:r w:rsidRPr="007E27CD">
        <w:t xml:space="preserve">des deux décisions de l’ordonnateur n° 7128 du 27 </w:t>
      </w:r>
      <w:r w:rsidR="00E05DB0" w:rsidRPr="007E27CD">
        <w:t>j</w:t>
      </w:r>
      <w:r w:rsidR="00425C4E" w:rsidRPr="007E27CD">
        <w:t>anvier 2010 et n°</w:t>
      </w:r>
      <w:r w:rsidR="00BC57BF">
        <w:t> </w:t>
      </w:r>
      <w:r w:rsidR="00425C4E" w:rsidRPr="007E27CD">
        <w:t>6939 du 5 </w:t>
      </w:r>
      <w:r w:rsidR="00E05DB0" w:rsidRPr="007E27CD">
        <w:t>o</w:t>
      </w:r>
      <w:r w:rsidRPr="007E27CD">
        <w:t>ctobre 2009 ;</w:t>
      </w:r>
      <w:r w:rsidR="00E05DB0" w:rsidRPr="007E27CD">
        <w:t xml:space="preserve"> </w:t>
      </w:r>
    </w:p>
    <w:p w:rsidR="00D97940" w:rsidRPr="007E27CD" w:rsidRDefault="000D2BEE" w:rsidP="00D95642">
      <w:pPr>
        <w:pStyle w:val="Corpsdetexte"/>
        <w:widowControl w:val="0"/>
      </w:pPr>
      <w:r w:rsidRPr="000D2BEE">
        <w:lastRenderedPageBreak/>
        <w:t xml:space="preserve">Attendu que l’article 5 de la convention </w:t>
      </w:r>
      <w:r w:rsidR="00E5169D">
        <w:t>stipulait</w:t>
      </w:r>
      <w:r w:rsidRPr="000D2BEE">
        <w:t xml:space="preserve"> que les deux paiements de</w:t>
      </w:r>
      <w:r w:rsidR="00FF6784">
        <w:t xml:space="preserve"> </w:t>
      </w:r>
      <w:r w:rsidRPr="000D2BEE">
        <w:t>1</w:t>
      </w:r>
      <w:r w:rsidR="00BC57BF">
        <w:t> </w:t>
      </w:r>
      <w:r w:rsidRPr="000D2BEE">
        <w:t>500</w:t>
      </w:r>
      <w:r w:rsidR="00BC57BF">
        <w:t> </w:t>
      </w:r>
      <w:r w:rsidRPr="000D2BEE">
        <w:t>€ chacun seraient effectués sur appel de fonds préalable</w:t>
      </w:r>
      <w:r w:rsidR="00FF6784">
        <w:t> </w:t>
      </w:r>
      <w:r w:rsidRPr="000D2BEE">
        <w:t xml:space="preserve">; </w:t>
      </w:r>
      <w:r w:rsidR="00663AAB" w:rsidRPr="007E27CD">
        <w:t xml:space="preserve">que </w:t>
      </w:r>
      <w:r>
        <w:t>les</w:t>
      </w:r>
      <w:r w:rsidR="00D97940" w:rsidRPr="007E27CD">
        <w:t xml:space="preserve"> décisions de l’ordonnateur, pour nécessaires qu’elles </w:t>
      </w:r>
      <w:r w:rsidR="00E5169D">
        <w:t>fussent</w:t>
      </w:r>
      <w:r w:rsidR="00D97940" w:rsidRPr="007E27CD">
        <w:t>, n’étaient pas suffisantes</w:t>
      </w:r>
      <w:r w:rsidR="00663AAB" w:rsidRPr="007E27CD">
        <w:t xml:space="preserve"> ; que </w:t>
      </w:r>
      <w:r w:rsidR="00D97940" w:rsidRPr="007E27CD">
        <w:t>faute de disposer des appels de fonds</w:t>
      </w:r>
      <w:r w:rsidR="00E5169D">
        <w:t xml:space="preserve"> prévus au contrat</w:t>
      </w:r>
      <w:r w:rsidR="00D97940" w:rsidRPr="007E27CD">
        <w:t>, l’agent comptable ne pouvait s’assurer de l’exactitude des calculs de liquidation et ne disposait pas des pi</w:t>
      </w:r>
      <w:r w:rsidR="001E238B">
        <w:t>è</w:t>
      </w:r>
      <w:r w:rsidR="00DE1B0F">
        <w:t>ces justificatives nécessaires ;</w:t>
      </w:r>
    </w:p>
    <w:p w:rsidR="00D97940" w:rsidRPr="007E27CD" w:rsidRDefault="00DE1B0F" w:rsidP="00D95642">
      <w:pPr>
        <w:pStyle w:val="Corpsdetexte"/>
        <w:widowControl w:val="0"/>
      </w:pPr>
      <w:r>
        <w:t xml:space="preserve">Attendu, </w:t>
      </w:r>
      <w:r w:rsidR="001E238B">
        <w:t xml:space="preserve">au surplus, </w:t>
      </w:r>
      <w:r w:rsidR="00E05DB0" w:rsidRPr="007E27CD">
        <w:t xml:space="preserve">que </w:t>
      </w:r>
      <w:r w:rsidR="00D97940" w:rsidRPr="007E27CD">
        <w:t xml:space="preserve">sans porter d’appréciation sur les décisions de l’ordonnateur, le comptable disposait </w:t>
      </w:r>
      <w:r w:rsidR="00E5169D">
        <w:t xml:space="preserve">au moment du paiement </w:t>
      </w:r>
      <w:r w:rsidR="00D97940" w:rsidRPr="007E27CD">
        <w:t>de deux documents contradictoires</w:t>
      </w:r>
      <w:r w:rsidR="00E05DB0" w:rsidRPr="007E27CD">
        <w:t xml:space="preserve"> à savoir </w:t>
      </w:r>
      <w:r w:rsidR="00D97940" w:rsidRPr="007E27CD">
        <w:t>les conventions signées par l’ordonnateur qui conditionnaient les paiements à des appels de fonds de la part des bénéficiaires et les mandats de l’ordonnateur ét</w:t>
      </w:r>
      <w:r w:rsidR="00E05DB0" w:rsidRPr="007E27CD">
        <w:t xml:space="preserve">ablis sans ces appels de fonds ; que </w:t>
      </w:r>
      <w:r w:rsidR="00D97940" w:rsidRPr="007E27CD">
        <w:t>conformément à l’article</w:t>
      </w:r>
      <w:r w:rsidR="00FF6784">
        <w:t xml:space="preserve"> </w:t>
      </w:r>
      <w:r w:rsidR="00D97940" w:rsidRPr="007E27CD">
        <w:t xml:space="preserve">37 </w:t>
      </w:r>
      <w:r w:rsidR="00FF6784">
        <w:t xml:space="preserve">du </w:t>
      </w:r>
      <w:r w:rsidR="00D97940" w:rsidRPr="007E27CD">
        <w:t>décret du 29</w:t>
      </w:r>
      <w:r w:rsidR="00FF6784">
        <w:t xml:space="preserve"> </w:t>
      </w:r>
      <w:r w:rsidR="00D97940" w:rsidRPr="007E27CD">
        <w:t>décembre</w:t>
      </w:r>
      <w:r w:rsidR="00FF6784">
        <w:t xml:space="preserve"> </w:t>
      </w:r>
      <w:r w:rsidR="00D97940" w:rsidRPr="007E27CD">
        <w:t>1962</w:t>
      </w:r>
      <w:r w:rsidRPr="00DE1B0F">
        <w:t xml:space="preserve"> portant règlement général sur la comptabilité publique</w:t>
      </w:r>
      <w:r w:rsidR="00D97940" w:rsidRPr="007E27CD">
        <w:t>, le comptable devait suspendre le paieme</w:t>
      </w:r>
      <w:r w:rsidR="00E05DB0" w:rsidRPr="007E27CD">
        <w:t>nt et en informer l’ordonnateur ;</w:t>
      </w:r>
    </w:p>
    <w:p w:rsidR="00D97940" w:rsidRPr="00732F65" w:rsidRDefault="00663AAB" w:rsidP="00442D13">
      <w:pPr>
        <w:pStyle w:val="Corpsdetexte"/>
        <w:rPr>
          <w:rFonts w:eastAsia="Calibri"/>
          <w:spacing w:val="4"/>
        </w:rPr>
      </w:pPr>
      <w:r w:rsidRPr="00732F65">
        <w:rPr>
          <w:rFonts w:eastAsia="Calibri"/>
        </w:rPr>
        <w:t>Considérant qu’en ne respectant pas les dispositions articles 12</w:t>
      </w:r>
      <w:r w:rsidR="00FF6784">
        <w:rPr>
          <w:rFonts w:eastAsia="Calibri"/>
        </w:rPr>
        <w:t xml:space="preserve"> </w:t>
      </w:r>
      <w:r w:rsidRPr="00732F65">
        <w:rPr>
          <w:rFonts w:eastAsia="Calibri"/>
        </w:rPr>
        <w:t>B et 13 du décret du 29 décembre 1962</w:t>
      </w:r>
      <w:r w:rsidR="00DE1B0F" w:rsidRPr="00DE1B0F">
        <w:t xml:space="preserve"> </w:t>
      </w:r>
      <w:r w:rsidR="00DE1B0F" w:rsidRPr="00732F65">
        <w:rPr>
          <w:rFonts w:eastAsia="Calibri"/>
        </w:rPr>
        <w:t>portant règlement général sur la comptabilité publique</w:t>
      </w:r>
      <w:r w:rsidRPr="00732F65">
        <w:rPr>
          <w:rFonts w:eastAsia="Calibri"/>
        </w:rPr>
        <w:t xml:space="preserve">, </w:t>
      </w:r>
      <w:r w:rsidR="00D97940" w:rsidRPr="00732F65">
        <w:rPr>
          <w:rFonts w:eastAsia="Calibri"/>
        </w:rPr>
        <w:t xml:space="preserve">le comptable a manqué à ses obligations </w:t>
      </w:r>
      <w:r w:rsidRPr="00732F65">
        <w:rPr>
          <w:rFonts w:eastAsia="Calibri"/>
        </w:rPr>
        <w:t xml:space="preserve">et engagé sa responsabilité au titre de </w:t>
      </w:r>
      <w:r w:rsidR="00D97940" w:rsidRPr="00732F65">
        <w:rPr>
          <w:rFonts w:eastAsia="Calibri"/>
          <w:spacing w:val="4"/>
        </w:rPr>
        <w:t xml:space="preserve">l'article 60 de la </w:t>
      </w:r>
      <w:r w:rsidR="00E05DB0" w:rsidRPr="00732F65">
        <w:rPr>
          <w:rFonts w:eastAsia="Calibri"/>
          <w:spacing w:val="4"/>
        </w:rPr>
        <w:t>loi n°</w:t>
      </w:r>
      <w:r w:rsidR="00BC57BF" w:rsidRPr="00732F65">
        <w:rPr>
          <w:rFonts w:eastAsia="Calibri"/>
          <w:spacing w:val="4"/>
        </w:rPr>
        <w:t> </w:t>
      </w:r>
      <w:r w:rsidR="00E05DB0" w:rsidRPr="00732F65">
        <w:rPr>
          <w:rFonts w:eastAsia="Calibri"/>
          <w:spacing w:val="4"/>
        </w:rPr>
        <w:t>63-156 du 23 février 1963 ;</w:t>
      </w:r>
    </w:p>
    <w:p w:rsidR="00D95642" w:rsidRPr="00732F65" w:rsidRDefault="00D95642" w:rsidP="00D95642">
      <w:pPr>
        <w:spacing w:after="120"/>
        <w:rPr>
          <w:rFonts w:eastAsia="Calibri"/>
        </w:rPr>
      </w:pPr>
      <w:r w:rsidRPr="00732F65">
        <w:rPr>
          <w:rFonts w:eastAsia="Calibri"/>
        </w:rPr>
        <w:t xml:space="preserve">Attendu que le moyen selon lequel la mise en cause de la responsabilité personnelle et pécuniaire du comptable procurerait à l’établissement un enrichissement sans cause n’est pas </w:t>
      </w:r>
      <w:r w:rsidR="00E5169D" w:rsidRPr="00732F65">
        <w:rPr>
          <w:rFonts w:eastAsia="Calibri"/>
        </w:rPr>
        <w:t>démontré</w:t>
      </w:r>
      <w:r w:rsidR="00FF6784">
        <w:rPr>
          <w:rFonts w:eastAsia="Calibri"/>
        </w:rPr>
        <w:t> ;</w:t>
      </w:r>
    </w:p>
    <w:p w:rsidR="001E238B" w:rsidRPr="00C62E39" w:rsidRDefault="001E238B" w:rsidP="00C62E39">
      <w:pPr>
        <w:pStyle w:val="Corpsdetexte"/>
      </w:pPr>
      <w:r w:rsidRPr="00C62E39">
        <w:t>Attendu qu’en l’espèce, le moyen tiré d’une éventuelle «</w:t>
      </w:r>
      <w:r w:rsidR="00FF6784">
        <w:t> </w:t>
      </w:r>
      <w:r w:rsidRPr="00C62E39">
        <w:t>force majeure</w:t>
      </w:r>
      <w:r w:rsidR="00FF6784">
        <w:t> </w:t>
      </w:r>
      <w:r w:rsidRPr="00C62E39">
        <w:t xml:space="preserve">» prévu par l’article 60-V de la </w:t>
      </w:r>
      <w:r w:rsidR="00C51D37">
        <w:t>loi n° 63-156 du 23 février 1963</w:t>
      </w:r>
      <w:r w:rsidRPr="00C62E39">
        <w:t xml:space="preserve">, n’est </w:t>
      </w:r>
      <w:r w:rsidR="00B66D08">
        <w:t>pas</w:t>
      </w:r>
      <w:r w:rsidR="00E5169D">
        <w:t xml:space="preserve"> </w:t>
      </w:r>
      <w:r w:rsidRPr="00C62E39">
        <w:t>allégué ;</w:t>
      </w:r>
    </w:p>
    <w:p w:rsidR="001E238B" w:rsidRPr="00C62E39" w:rsidRDefault="00663AAB" w:rsidP="00C62E39">
      <w:pPr>
        <w:pStyle w:val="Corpsdetexte"/>
      </w:pPr>
      <w:r w:rsidRPr="00C62E39">
        <w:t>Attendu que fa</w:t>
      </w:r>
      <w:r w:rsidR="00D97940" w:rsidRPr="00C62E39">
        <w:t>ute d’appel de fonds, l’établissement n’était pas redevable de ces sommes conformément aux conventions signées par les partie</w:t>
      </w:r>
      <w:r w:rsidRPr="00C62E39">
        <w:t>s</w:t>
      </w:r>
      <w:r w:rsidR="00FF6784">
        <w:t> </w:t>
      </w:r>
      <w:r w:rsidR="001E238B" w:rsidRPr="00C62E39">
        <w:t xml:space="preserve">; que </w:t>
      </w:r>
      <w:r w:rsidR="00E5169D">
        <w:t>le</w:t>
      </w:r>
      <w:r w:rsidR="001E238B" w:rsidRPr="00C62E39">
        <w:t xml:space="preserve"> paiement de ces dépenses par le comptable porte un préjudice financier à l’établissement</w:t>
      </w:r>
      <w:r w:rsidR="00FF6784">
        <w:t> </w:t>
      </w:r>
      <w:r w:rsidR="001E238B" w:rsidRPr="00C62E39">
        <w:t>;</w:t>
      </w:r>
      <w:r w:rsidR="00DE1B0F">
        <w:t xml:space="preserve"> </w:t>
      </w:r>
      <w:r w:rsidR="001E238B" w:rsidRPr="00C62E39">
        <w:t>qu’en conséquence</w:t>
      </w:r>
      <w:r w:rsidR="00E5169D">
        <w:t>,</w:t>
      </w:r>
      <w:r w:rsidR="001E238B" w:rsidRPr="00C62E39">
        <w:t xml:space="preserve"> il est fait application des dispositions l’article </w:t>
      </w:r>
      <w:r w:rsidR="00DE1B0F">
        <w:t>60-VI, 3</w:t>
      </w:r>
      <w:r w:rsidR="00DE1B0F" w:rsidRPr="00DE1B0F">
        <w:rPr>
          <w:vertAlign w:val="superscript"/>
        </w:rPr>
        <w:t>ème</w:t>
      </w:r>
      <w:r w:rsidR="00DE1B0F">
        <w:t xml:space="preserve"> </w:t>
      </w:r>
      <w:r w:rsidR="001E238B" w:rsidRPr="00C62E39">
        <w:t xml:space="preserve">alinéa de la </w:t>
      </w:r>
      <w:r w:rsidR="00C51D37">
        <w:t>loi n° 63-156 du 23 février 1963</w:t>
      </w:r>
      <w:r w:rsidR="00FF6784">
        <w:t> </w:t>
      </w:r>
      <w:r w:rsidR="001E238B" w:rsidRPr="00C62E39">
        <w:t>;</w:t>
      </w:r>
    </w:p>
    <w:p w:rsidR="001A42D3" w:rsidRPr="00B4326D" w:rsidRDefault="001A42D3" w:rsidP="001A42D3">
      <w:pPr>
        <w:pStyle w:val="Corpsdetexte"/>
      </w:pPr>
      <w:r w:rsidRPr="00B4326D">
        <w:t>Attendu que</w:t>
      </w:r>
      <w:r w:rsidR="00BC57BF">
        <w:t xml:space="preserve"> pour l’application du 2</w:t>
      </w:r>
      <w:r w:rsidR="00BC57BF" w:rsidRPr="00A12E56">
        <w:rPr>
          <w:vertAlign w:val="superscript"/>
        </w:rPr>
        <w:t>ème</w:t>
      </w:r>
      <w:r w:rsidR="00BC57BF">
        <w:t xml:space="preserve"> alinéa du IX de l’article 60 modifié de la loi n° 63-156</w:t>
      </w:r>
      <w:r w:rsidR="00AF6756">
        <w:t>,</w:t>
      </w:r>
      <w:r w:rsidR="00BC57BF">
        <w:t xml:space="preserve"> </w:t>
      </w:r>
      <w:r w:rsidR="00BC57BF" w:rsidRPr="00B4326D">
        <w:t xml:space="preserve">mention </w:t>
      </w:r>
      <w:r w:rsidRPr="00B4326D">
        <w:t xml:space="preserve">est faite </w:t>
      </w:r>
      <w:r>
        <w:t>qu’aucun contrôle sélectif n’a été mis en place pour cette catégorie de dépenses</w:t>
      </w:r>
      <w:r w:rsidRPr="00B4326D">
        <w:t> ;</w:t>
      </w:r>
    </w:p>
    <w:p w:rsidR="001E238B" w:rsidRPr="00C62E39" w:rsidRDefault="001E238B" w:rsidP="00972D76">
      <w:pPr>
        <w:pStyle w:val="Corpsdetexte"/>
      </w:pPr>
      <w:r w:rsidRPr="00C62E39">
        <w:t>Par ces motifs,</w:t>
      </w:r>
    </w:p>
    <w:p w:rsidR="001E238B" w:rsidRPr="001A42D3" w:rsidRDefault="001E238B" w:rsidP="00972D76">
      <w:pPr>
        <w:pStyle w:val="Corpsdetexte"/>
      </w:pPr>
      <w:r w:rsidRPr="001A42D3">
        <w:t>-</w:t>
      </w:r>
      <w:r w:rsidR="00F711D0">
        <w:t> </w:t>
      </w:r>
      <w:r w:rsidRPr="001A42D3">
        <w:t>M.</w:t>
      </w:r>
      <w:r w:rsidR="00F711D0">
        <w:t> </w:t>
      </w:r>
      <w:r w:rsidR="00732062">
        <w:t>Y</w:t>
      </w:r>
      <w:r w:rsidRPr="001A42D3">
        <w:t xml:space="preserve"> est constitué débiteur envers l’</w:t>
      </w:r>
      <w:r w:rsidR="003F4391">
        <w:t>INRIA</w:t>
      </w:r>
      <w:r w:rsidRPr="001A42D3">
        <w:t xml:space="preserve">, au titre de </w:t>
      </w:r>
      <w:r w:rsidR="00DE1B0F">
        <w:t>s</w:t>
      </w:r>
      <w:r w:rsidRPr="001A42D3">
        <w:t>a gestion</w:t>
      </w:r>
      <w:r w:rsidR="00FF6784">
        <w:t xml:space="preserve"> </w:t>
      </w:r>
      <w:r w:rsidRPr="001A42D3">
        <w:t xml:space="preserve">2010, de la somme de </w:t>
      </w:r>
      <w:r w:rsidR="00C62E39" w:rsidRPr="001A42D3">
        <w:t>trois</w:t>
      </w:r>
      <w:r w:rsidRPr="001A42D3">
        <w:t xml:space="preserve"> mille euros (</w:t>
      </w:r>
      <w:r w:rsidR="00C62E39" w:rsidRPr="001A42D3">
        <w:t>3 000 </w:t>
      </w:r>
      <w:r w:rsidRPr="001A42D3">
        <w:t>€), augmentée des intérêts de droit à compter du 22 avril 2013 date de la réception du réquisitoire par le comptable ;</w:t>
      </w:r>
    </w:p>
    <w:p w:rsidR="00D97940" w:rsidRPr="001A42D3" w:rsidRDefault="001A42D3" w:rsidP="009A2935">
      <w:pPr>
        <w:pStyle w:val="Corpsdetexte"/>
        <w:spacing w:before="360"/>
        <w:rPr>
          <w:b/>
          <w:i/>
          <w:u w:val="single"/>
        </w:rPr>
      </w:pPr>
      <w:bookmarkStart w:id="19" w:name="_Toc370115394"/>
      <w:bookmarkStart w:id="20" w:name="_Toc362618107"/>
      <w:bookmarkStart w:id="21" w:name="_Toc370896983"/>
      <w:r w:rsidRPr="001A42D3">
        <w:rPr>
          <w:b/>
          <w:i/>
          <w:u w:val="single"/>
        </w:rPr>
        <w:t>C</w:t>
      </w:r>
      <w:r w:rsidR="00663AAB" w:rsidRPr="001A42D3">
        <w:rPr>
          <w:b/>
          <w:i/>
          <w:u w:val="single"/>
        </w:rPr>
        <w:t>harge n° 9</w:t>
      </w:r>
      <w:bookmarkEnd w:id="19"/>
      <w:bookmarkEnd w:id="20"/>
      <w:bookmarkEnd w:id="21"/>
    </w:p>
    <w:p w:rsidR="00D97940" w:rsidRPr="007E27CD" w:rsidRDefault="00663AAB" w:rsidP="00972D76">
      <w:pPr>
        <w:pStyle w:val="Corpsdetexte"/>
      </w:pPr>
      <w:r w:rsidRPr="007E27CD">
        <w:t xml:space="preserve">Attendu que </w:t>
      </w:r>
      <w:r w:rsidR="00732062">
        <w:t>M</w:t>
      </w:r>
      <w:r w:rsidR="00732062" w:rsidRPr="009A2935">
        <w:rPr>
          <w:vertAlign w:val="superscript"/>
        </w:rPr>
        <w:t>me</w:t>
      </w:r>
      <w:r w:rsidR="00732062">
        <w:t xml:space="preserve"> Z</w:t>
      </w:r>
      <w:r w:rsidRPr="007E27CD">
        <w:t xml:space="preserve">, agent comptable </w:t>
      </w:r>
      <w:r w:rsidR="00775A85" w:rsidRPr="007E27CD">
        <w:t>intérimaire</w:t>
      </w:r>
      <w:r w:rsidR="00782DD8" w:rsidRPr="007E27CD">
        <w:t xml:space="preserve"> </w:t>
      </w:r>
      <w:r w:rsidRPr="007E27CD">
        <w:t>de l’</w:t>
      </w:r>
      <w:r w:rsidR="003F4391">
        <w:t>INRIA</w:t>
      </w:r>
      <w:r w:rsidRPr="007E27CD">
        <w:t xml:space="preserve">, a mis en paiement </w:t>
      </w:r>
      <w:r w:rsidR="00782DD8" w:rsidRPr="007E27CD">
        <w:t>le</w:t>
      </w:r>
      <w:r w:rsidR="00D97940" w:rsidRPr="007E27CD">
        <w:t xml:space="preserve"> mandat n°</w:t>
      </w:r>
      <w:r w:rsidR="00F711D0">
        <w:t> </w:t>
      </w:r>
      <w:r w:rsidR="00D97940" w:rsidRPr="007E27CD">
        <w:t>28954, en date du 21 novembre 2011, pour un montan</w:t>
      </w:r>
      <w:r w:rsidR="001A42D3">
        <w:t>t de</w:t>
      </w:r>
      <w:r w:rsidR="009A2935">
        <w:t xml:space="preserve"> </w:t>
      </w:r>
      <w:r w:rsidR="001A42D3">
        <w:t>5 740,80</w:t>
      </w:r>
      <w:r w:rsidR="00F711D0">
        <w:t> </w:t>
      </w:r>
      <w:r w:rsidR="001A42D3">
        <w:t>€ au profit de l’u</w:t>
      </w:r>
      <w:r w:rsidR="00D97940" w:rsidRPr="007E27CD">
        <w:t>niversité de technologie de Troyes (UTT) et imputé sur le compte n° 6583 « </w:t>
      </w:r>
      <w:r w:rsidR="00D97940" w:rsidRPr="007E27CD">
        <w:rPr>
          <w:i/>
        </w:rPr>
        <w:t>charges de gestion courante provenant de l’annulation d’ordres de recettes des exercices antérieurs</w:t>
      </w:r>
      <w:r w:rsidR="00782DD8" w:rsidRPr="007E27CD">
        <w:t> » ;</w:t>
      </w:r>
    </w:p>
    <w:p w:rsidR="00F711D0" w:rsidRDefault="00F711D0">
      <w:pPr>
        <w:spacing w:before="0" w:after="0"/>
        <w:ind w:left="0" w:firstLine="0"/>
        <w:jc w:val="left"/>
      </w:pPr>
      <w:r>
        <w:br w:type="page"/>
      </w:r>
    </w:p>
    <w:p w:rsidR="00D97940" w:rsidRPr="007E27CD" w:rsidRDefault="00782DD8" w:rsidP="00442D13">
      <w:pPr>
        <w:pStyle w:val="Corpsdetexte"/>
      </w:pPr>
      <w:r w:rsidRPr="007E27CD">
        <w:t>Attendu que le réquisitoire du Procureur général</w:t>
      </w:r>
      <w:r w:rsidR="00A80682">
        <w:t xml:space="preserve"> retient comme élément à charge</w:t>
      </w:r>
      <w:r w:rsidRPr="007E27CD">
        <w:t xml:space="preserve"> </w:t>
      </w:r>
      <w:r w:rsidR="00D97940" w:rsidRPr="007E27CD">
        <w:t>le fait que les pièces justificatives à l’appui de l’ordre de payer indiquaient outre</w:t>
      </w:r>
      <w:r w:rsidR="001A42D3">
        <w:t xml:space="preserve"> les références bancaires de l’u</w:t>
      </w:r>
      <w:r w:rsidR="00D97940" w:rsidRPr="007E27CD">
        <w:t>niversité de Troyes, les références, sur une copie de facture,</w:t>
      </w:r>
      <w:r w:rsidRPr="007E27CD">
        <w:t xml:space="preserve"> d’une convention non jointe ; </w:t>
      </w:r>
      <w:r w:rsidR="00D97940" w:rsidRPr="007E27CD">
        <w:t>que l’agent comptable ne s’était pas assuré de l’</w:t>
      </w:r>
      <w:r w:rsidRPr="007E27CD">
        <w:t>exacte imputation de la dépense ;</w:t>
      </w:r>
    </w:p>
    <w:p w:rsidR="00C62E39" w:rsidRDefault="000259F0" w:rsidP="00442D13">
      <w:pPr>
        <w:pStyle w:val="Corpsdetexte"/>
      </w:pPr>
      <w:r>
        <w:t>Attendu qu’en réponse la</w:t>
      </w:r>
      <w:r w:rsidR="00782DD8" w:rsidRPr="007E27CD">
        <w:t xml:space="preserve"> comptable a </w:t>
      </w:r>
      <w:r w:rsidR="00D97940" w:rsidRPr="007E27CD">
        <w:t>justifié le paiement au compte n° 6583  « </w:t>
      </w:r>
      <w:r w:rsidR="00D97940" w:rsidRPr="007E27CD">
        <w:rPr>
          <w:i/>
        </w:rPr>
        <w:t>charges de gestion courante provenant de l’annulation d’ordres de recettes des exercices antérieurs</w:t>
      </w:r>
      <w:r w:rsidR="00D97940" w:rsidRPr="007E27CD">
        <w:t xml:space="preserve"> » </w:t>
      </w:r>
      <w:r w:rsidR="00782DD8" w:rsidRPr="007E27CD">
        <w:t xml:space="preserve">en se référant </w:t>
      </w:r>
      <w:r w:rsidR="00D97940" w:rsidRPr="007E27CD">
        <w:t>à l’instruction n°</w:t>
      </w:r>
      <w:r w:rsidR="00A80682">
        <w:t> </w:t>
      </w:r>
      <w:r w:rsidR="00D97940" w:rsidRPr="007E27CD">
        <w:t>10-031M</w:t>
      </w:r>
      <w:r w:rsidR="00F711D0">
        <w:t> </w:t>
      </w:r>
      <w:r w:rsidR="00D97940" w:rsidRPr="007E27CD">
        <w:t>91 du 21</w:t>
      </w:r>
      <w:r w:rsidR="009A2935">
        <w:t xml:space="preserve"> </w:t>
      </w:r>
      <w:r w:rsidR="00D97940" w:rsidRPr="007E27CD">
        <w:t>décembre</w:t>
      </w:r>
      <w:r w:rsidR="009A2935">
        <w:t xml:space="preserve"> </w:t>
      </w:r>
      <w:r w:rsidR="00D97940" w:rsidRPr="007E27CD">
        <w:t>2010</w:t>
      </w:r>
      <w:r w:rsidR="00782DD8" w:rsidRPr="007E27CD">
        <w:t> ; qu’</w:t>
      </w:r>
      <w:r w:rsidR="00D97940" w:rsidRPr="007E27CD">
        <w:t xml:space="preserve">il </w:t>
      </w:r>
      <w:r w:rsidR="00667784">
        <w:t>convenait</w:t>
      </w:r>
      <w:r w:rsidR="00D97940" w:rsidRPr="007E27CD">
        <w:t xml:space="preserve"> d’annuler en 2011 une recette comptabilisée à tort en</w:t>
      </w:r>
      <w:r w:rsidR="009A2935">
        <w:t xml:space="preserve"> </w:t>
      </w:r>
      <w:r w:rsidR="00D97940" w:rsidRPr="007E27CD">
        <w:t xml:space="preserve">2010, </w:t>
      </w:r>
      <w:r w:rsidR="00667784">
        <w:t>en application d’</w:t>
      </w:r>
      <w:r w:rsidR="00D97940" w:rsidRPr="007E27CD">
        <w:t>une convention de reversement de fonds n°</w:t>
      </w:r>
      <w:r w:rsidR="00F711D0">
        <w:t> </w:t>
      </w:r>
      <w:r w:rsidR="00D97940" w:rsidRPr="007E27CD">
        <w:t>2011-00536 passée entre l’</w:t>
      </w:r>
      <w:r w:rsidR="003F4391">
        <w:t>INRIA</w:t>
      </w:r>
      <w:r w:rsidR="00D97940" w:rsidRPr="007E27CD">
        <w:t xml:space="preserve"> et l’Université de technologie de Troyes et </w:t>
      </w:r>
      <w:r w:rsidR="00667784">
        <w:t xml:space="preserve">de </w:t>
      </w:r>
      <w:r w:rsidR="00D97940" w:rsidRPr="007E27CD">
        <w:t>son avenant</w:t>
      </w:r>
      <w:r w:rsidR="009A2935">
        <w:t> </w:t>
      </w:r>
      <w:r w:rsidR="00782DD8" w:rsidRPr="007E27CD">
        <w:t xml:space="preserve">; que le comptable </w:t>
      </w:r>
      <w:r w:rsidR="00D97940" w:rsidRPr="007E27CD">
        <w:t>précise que le mandat était bien app</w:t>
      </w:r>
      <w:r w:rsidR="00C62E39">
        <w:t>uyé de l’original ;</w:t>
      </w:r>
    </w:p>
    <w:p w:rsidR="00C62E39" w:rsidRDefault="00782DD8" w:rsidP="00442D13">
      <w:pPr>
        <w:pStyle w:val="Corpsdetexte"/>
      </w:pPr>
      <w:r w:rsidRPr="007E27CD">
        <w:t xml:space="preserve">Attendu que les </w:t>
      </w:r>
      <w:r w:rsidR="001A42D3">
        <w:t xml:space="preserve">pièces transmises, lors de l’instruction, </w:t>
      </w:r>
      <w:r w:rsidR="00D97940" w:rsidRPr="007E27CD">
        <w:t>confirment les engagements budgétaires nécessaires à la réduction du titre de recette sur l’exercice</w:t>
      </w:r>
      <w:r w:rsidR="009A2935">
        <w:t xml:space="preserve"> </w:t>
      </w:r>
      <w:r w:rsidR="00D97940" w:rsidRPr="007E27CD">
        <w:t>2010 e</w:t>
      </w:r>
      <w:r w:rsidR="001A42D3">
        <w:t>t au remboursement en 2011 à l’u</w:t>
      </w:r>
      <w:r w:rsidR="00D97940" w:rsidRPr="007E27CD">
        <w:t>niv</w:t>
      </w:r>
      <w:r w:rsidRPr="007E27CD">
        <w:t>ersité de technologie de Troyes ;</w:t>
      </w:r>
      <w:r w:rsidR="00C62E39">
        <w:t xml:space="preserve"> que la pièce originale a été fournie ;</w:t>
      </w:r>
      <w:r w:rsidR="001A42D3">
        <w:t xml:space="preserve"> </w:t>
      </w:r>
      <w:r w:rsidRPr="007E27CD">
        <w:t>que les</w:t>
      </w:r>
      <w:r w:rsidR="000E2FDD" w:rsidRPr="007E27CD">
        <w:t xml:space="preserve"> justifications produites</w:t>
      </w:r>
      <w:r w:rsidR="002675D0" w:rsidRPr="007E27CD">
        <w:t xml:space="preserve"> </w:t>
      </w:r>
      <w:r w:rsidR="00C62E39">
        <w:t xml:space="preserve">sont satisfaisantes et </w:t>
      </w:r>
      <w:r w:rsidR="00425C4E" w:rsidRPr="007E27CD">
        <w:t>peuvent être admises</w:t>
      </w:r>
      <w:r w:rsidR="002675D0" w:rsidRPr="007E27CD">
        <w:t xml:space="preserve"> ; </w:t>
      </w:r>
    </w:p>
    <w:p w:rsidR="00C62E39" w:rsidRDefault="00C62E39" w:rsidP="00442D13">
      <w:pPr>
        <w:pStyle w:val="Corpsdetexte"/>
      </w:pPr>
      <w:r>
        <w:t>Par ces motifs,</w:t>
      </w:r>
    </w:p>
    <w:p w:rsidR="00782DD8" w:rsidRPr="007E27CD" w:rsidRDefault="00C62E39" w:rsidP="00442D13">
      <w:pPr>
        <w:pStyle w:val="Corpsdetexte"/>
      </w:pPr>
      <w:r>
        <w:t>-</w:t>
      </w:r>
      <w:r w:rsidR="00F711D0">
        <w:t> </w:t>
      </w:r>
      <w:r w:rsidR="003D4FD9">
        <w:t>I</w:t>
      </w:r>
      <w:r w:rsidR="00782DD8" w:rsidRPr="007E27CD">
        <w:t xml:space="preserve">l n’y pas lieu de </w:t>
      </w:r>
      <w:r w:rsidR="00686716">
        <w:t xml:space="preserve">prononcer </w:t>
      </w:r>
      <w:r w:rsidR="000259F0">
        <w:t xml:space="preserve">de </w:t>
      </w:r>
      <w:r w:rsidR="00A80682">
        <w:t>charge</w:t>
      </w:r>
      <w:r w:rsidR="000259F0">
        <w:t xml:space="preserve"> à ce titre</w:t>
      </w:r>
      <w:r w:rsidR="00A80682">
        <w:t xml:space="preserve"> à l’encontre de</w:t>
      </w:r>
      <w:r w:rsidR="000259F0">
        <w:t xml:space="preserve"> </w:t>
      </w:r>
      <w:r w:rsidR="00732062">
        <w:t>M</w:t>
      </w:r>
      <w:r w:rsidR="00732062" w:rsidRPr="009A2935">
        <w:rPr>
          <w:vertAlign w:val="superscript"/>
        </w:rPr>
        <w:t>me</w:t>
      </w:r>
      <w:r w:rsidR="00732062">
        <w:t xml:space="preserve"> Z</w:t>
      </w:r>
      <w:r w:rsidR="00F04790">
        <w:t>, agent comptable intérimaire de l’</w:t>
      </w:r>
      <w:r w:rsidR="003F4391">
        <w:t>INRIA</w:t>
      </w:r>
      <w:r w:rsidR="00A80682">
        <w:t> ;</w:t>
      </w:r>
    </w:p>
    <w:p w:rsidR="001C2C8D" w:rsidRPr="001A42D3" w:rsidRDefault="001A42D3" w:rsidP="009A2935">
      <w:pPr>
        <w:pStyle w:val="Corpsdetexte"/>
        <w:keepNext/>
        <w:spacing w:before="360"/>
        <w:rPr>
          <w:b/>
          <w:i/>
          <w:u w:val="single"/>
        </w:rPr>
      </w:pPr>
      <w:bookmarkStart w:id="22" w:name="_Toc370115396"/>
      <w:bookmarkStart w:id="23" w:name="_Toc362618115"/>
      <w:bookmarkStart w:id="24" w:name="_Toc370896985"/>
      <w:r w:rsidRPr="001A42D3">
        <w:rPr>
          <w:b/>
          <w:i/>
          <w:u w:val="single"/>
        </w:rPr>
        <w:t>C</w:t>
      </w:r>
      <w:r w:rsidR="001C2C8D" w:rsidRPr="001A42D3">
        <w:rPr>
          <w:b/>
          <w:i/>
          <w:u w:val="single"/>
        </w:rPr>
        <w:t>harge n° 10</w:t>
      </w:r>
    </w:p>
    <w:p w:rsidR="001C2C8D" w:rsidRPr="004D0385" w:rsidRDefault="001C2C8D" w:rsidP="001A42D3">
      <w:pPr>
        <w:pStyle w:val="Corpsdetexte"/>
        <w:keepNext/>
      </w:pPr>
      <w:r w:rsidRPr="004D0385">
        <w:t xml:space="preserve">Attendu que </w:t>
      </w:r>
      <w:r w:rsidR="00732062">
        <w:t>M</w:t>
      </w:r>
      <w:r w:rsidR="00732062" w:rsidRPr="009A2935">
        <w:rPr>
          <w:vertAlign w:val="superscript"/>
        </w:rPr>
        <w:t>me</w:t>
      </w:r>
      <w:r w:rsidR="00732062">
        <w:t xml:space="preserve"> Z</w:t>
      </w:r>
      <w:r w:rsidRPr="004D0385">
        <w:t>, agent comptable intérimaire de l’</w:t>
      </w:r>
      <w:r w:rsidR="003F4391">
        <w:t>INRIA</w:t>
      </w:r>
      <w:r w:rsidRPr="004D0385">
        <w:t xml:space="preserve">, a </w:t>
      </w:r>
      <w:r w:rsidR="003C5445">
        <w:t>payé</w:t>
      </w:r>
      <w:r w:rsidRPr="004D0385">
        <w:t xml:space="preserve"> quatre mandats, au titre de l’exercice 2011, pour un montant total de 1 755 € imputés au compte n°</w:t>
      </w:r>
      <w:r w:rsidR="00F711D0">
        <w:t> </w:t>
      </w:r>
      <w:r w:rsidRPr="004D0385">
        <w:t xml:space="preserve">6378 « </w:t>
      </w:r>
      <w:r w:rsidRPr="004D0385">
        <w:rPr>
          <w:i/>
        </w:rPr>
        <w:t>taxes diverses</w:t>
      </w:r>
      <w:r w:rsidRPr="004D0385">
        <w:t xml:space="preserve"> » qui correspondaient au remboursement à des person</w:t>
      </w:r>
      <w:r w:rsidR="00E21CB1">
        <w:t>nes de nationalité étrangère de</w:t>
      </w:r>
      <w:r w:rsidRPr="004D0385">
        <w:t xml:space="preserve"> taxes dont elles s’étaient préalablement acquittées au titre des droits à payer sur les permis de séjour ;</w:t>
      </w:r>
    </w:p>
    <w:p w:rsidR="00E21CB1" w:rsidRPr="00A2171B" w:rsidRDefault="00E21CB1" w:rsidP="00E21CB1">
      <w:pPr>
        <w:pStyle w:val="Corpsdetexte"/>
      </w:pPr>
      <w:r w:rsidRPr="00A2171B">
        <w:t>Attendu que le réquisitoire du Procureur général retient comme élément à charge que le remboursement d’une dépense pe</w:t>
      </w:r>
      <w:r>
        <w:t>rsonnelle d’</w:t>
      </w:r>
      <w:r w:rsidRPr="00A2171B">
        <w:t>agents de l’établissement</w:t>
      </w:r>
      <w:r>
        <w:t xml:space="preserve"> public </w:t>
      </w:r>
      <w:r w:rsidRPr="00A2171B">
        <w:t xml:space="preserve">sur décision de son représentant légal et ordonnateur, ne présente pas le caractère de taxe, mais </w:t>
      </w:r>
      <w:r>
        <w:t xml:space="preserve">celui </w:t>
      </w:r>
      <w:r w:rsidRPr="00A2171B">
        <w:t xml:space="preserve">d’un avantage personnel </w:t>
      </w:r>
      <w:r>
        <w:t>ne relevant</w:t>
      </w:r>
      <w:r w:rsidRPr="00A2171B">
        <w:t xml:space="preserve"> pas de l’imputation budgétaire retenue ;</w:t>
      </w:r>
    </w:p>
    <w:p w:rsidR="00E21CB1" w:rsidRPr="00A2171B" w:rsidRDefault="00E21CB1" w:rsidP="00E21CB1">
      <w:pPr>
        <w:pStyle w:val="Corpsdetexte"/>
      </w:pPr>
      <w:r w:rsidRPr="00A2171B">
        <w:t>Attendu qu’en réponse le comptable se limite à justifier que les dépenses en cause étai</w:t>
      </w:r>
      <w:r>
        <w:t>en</w:t>
      </w:r>
      <w:r w:rsidRPr="00A2171B">
        <w:t>t imputable</w:t>
      </w:r>
      <w:r>
        <w:t>s</w:t>
      </w:r>
      <w:r w:rsidRPr="00A2171B">
        <w:t xml:space="preserve"> au budget d</w:t>
      </w:r>
      <w:r>
        <w:t>e l</w:t>
      </w:r>
      <w:r w:rsidRPr="00A2171B">
        <w:t>’</w:t>
      </w:r>
      <w:r>
        <w:t>INRIA</w:t>
      </w:r>
      <w:r w:rsidRPr="00A2171B">
        <w:t xml:space="preserve"> ; que le paiement de ces mandats </w:t>
      </w:r>
      <w:r>
        <w:t>résultait de</w:t>
      </w:r>
      <w:r w:rsidRPr="00A2171B">
        <w:t xml:space="preserve"> la décision n°</w:t>
      </w:r>
      <w:r w:rsidR="00F711D0">
        <w:t> </w:t>
      </w:r>
      <w:r w:rsidRPr="00A2171B">
        <w:t>6984 du directeur général de l’</w:t>
      </w:r>
      <w:r>
        <w:t>INRIA</w:t>
      </w:r>
      <w:r w:rsidRPr="00A2171B">
        <w:t xml:space="preserve"> autorisant le remboursement de la taxe de délivrance d’un titre de séjour et l’attestation du service fait sur les pièces justif</w:t>
      </w:r>
      <w:r>
        <w:t>icatives correspondantes ; que c</w:t>
      </w:r>
      <w:r w:rsidRPr="00A2171B">
        <w:t>es paiement</w:t>
      </w:r>
      <w:r>
        <w:t>s</w:t>
      </w:r>
      <w:r w:rsidRPr="00A2171B">
        <w:t xml:space="preserve"> n’ont pas causé de préjudice financier pour l’</w:t>
      </w:r>
      <w:r>
        <w:t>INRIA</w:t>
      </w:r>
      <w:r w:rsidRPr="00A2171B">
        <w:t> ;</w:t>
      </w:r>
      <w:r w:rsidRPr="00D95642">
        <w:t xml:space="preserve"> </w:t>
      </w:r>
      <w:r>
        <w:t xml:space="preserve">qu’il ajoute </w:t>
      </w:r>
      <w:r w:rsidRPr="00D95642">
        <w:t>que la mise en cause de la responsabilité personnelle et pécuniaire du comptable procurerait à l’</w:t>
      </w:r>
      <w:r>
        <w:t>INRIA</w:t>
      </w:r>
      <w:r w:rsidRPr="00D95642">
        <w:t xml:space="preserve"> un enrichissement sans</w:t>
      </w:r>
      <w:r w:rsidR="009A2935">
        <w:t xml:space="preserve"> </w:t>
      </w:r>
      <w:r w:rsidRPr="00D95642">
        <w:t>cause</w:t>
      </w:r>
      <w:r w:rsidR="009A2935">
        <w:t> </w:t>
      </w:r>
      <w:r w:rsidRPr="00D95642">
        <w:t>;</w:t>
      </w:r>
    </w:p>
    <w:p w:rsidR="00E21CB1" w:rsidRPr="00A2171B" w:rsidRDefault="00E21CB1" w:rsidP="00E21CB1">
      <w:pPr>
        <w:pStyle w:val="Corpsdetexte"/>
      </w:pPr>
      <w:r w:rsidRPr="00A2171B">
        <w:lastRenderedPageBreak/>
        <w:t xml:space="preserve">Attendu que les arguments du comptable ne répondent </w:t>
      </w:r>
      <w:r>
        <w:t xml:space="preserve">pas </w:t>
      </w:r>
      <w:r w:rsidRPr="00A2171B">
        <w:t>au moyen soulevé par réquisitoire du Procureur général</w:t>
      </w:r>
      <w:r w:rsidR="009A2935">
        <w:t xml:space="preserve">, </w:t>
      </w:r>
      <w:r w:rsidRPr="00A2171B">
        <w:t xml:space="preserve">à savoir l’imputation de la dépense ; qu’ils </w:t>
      </w:r>
      <w:r>
        <w:t>doivent de</w:t>
      </w:r>
      <w:r w:rsidRPr="00A2171B">
        <w:t xml:space="preserve"> ce fait </w:t>
      </w:r>
      <w:r>
        <w:t>être écartés</w:t>
      </w:r>
      <w:r w:rsidRPr="00A2171B">
        <w:t> ;</w:t>
      </w:r>
    </w:p>
    <w:p w:rsidR="00E21CB1" w:rsidRPr="00A2171B" w:rsidRDefault="00E21CB1" w:rsidP="00E21CB1">
      <w:pPr>
        <w:pStyle w:val="Corpsdetexte"/>
      </w:pPr>
      <w:r w:rsidRPr="00A2171B">
        <w:t>Attendu que la décision n° 6984 du direct</w:t>
      </w:r>
      <w:r>
        <w:t>eur général n’est pas en cause</w:t>
      </w:r>
      <w:r w:rsidR="009A2935">
        <w:t xml:space="preserve"> </w:t>
      </w:r>
      <w:r>
        <w:t>et</w:t>
      </w:r>
      <w:r w:rsidRPr="00A2171B">
        <w:t xml:space="preserve"> </w:t>
      </w:r>
      <w:r>
        <w:t>qu’</w:t>
      </w:r>
      <w:r w:rsidRPr="00A2171B">
        <w:t>il ne revenait pas au comptable d’en contester la régularité ;</w:t>
      </w:r>
    </w:p>
    <w:p w:rsidR="00E21CB1" w:rsidRPr="00C47E3B" w:rsidRDefault="00E21CB1" w:rsidP="00E21CB1">
      <w:pPr>
        <w:pStyle w:val="Corpsdetexte"/>
      </w:pPr>
      <w:r w:rsidRPr="00C47E3B">
        <w:t>Considérant que l’article L. 311-15 du code de l'entrée et du séjour des étrangers et du droit d'asile prévoit que les organismes de recherche publics sont exonérés de la taxe prévue au premier alinéa ; que le comptable public ne pouvait donc imputer sur le compte n° 6378 une taxe dont l’établissement est exonéré</w:t>
      </w:r>
      <w:r w:rsidR="009A2935">
        <w:t> </w:t>
      </w:r>
      <w:r w:rsidRPr="00C47E3B">
        <w:t xml:space="preserve">; que le </w:t>
      </w:r>
      <w:r>
        <w:t>remboursement d’une</w:t>
      </w:r>
      <w:r w:rsidRPr="00C47E3B">
        <w:t xml:space="preserve"> </w:t>
      </w:r>
      <w:r>
        <w:t>taxe due à titre personnel par des agents</w:t>
      </w:r>
      <w:r w:rsidRPr="00C47E3B">
        <w:t xml:space="preserve"> contractuel</w:t>
      </w:r>
      <w:r>
        <w:t>s</w:t>
      </w:r>
      <w:r w:rsidRPr="00C47E3B">
        <w:t xml:space="preserve"> étranger</w:t>
      </w:r>
      <w:r>
        <w:t>s n’érige pas</w:t>
      </w:r>
      <w:r w:rsidRPr="00C47E3B">
        <w:t xml:space="preserve"> pour autant cette dépense en taxe </w:t>
      </w:r>
      <w:r>
        <w:t>imputable à</w:t>
      </w:r>
      <w:r w:rsidRPr="00C47E3B">
        <w:t xml:space="preserve"> l’établissement ; </w:t>
      </w:r>
      <w:r>
        <w:t>qu’ainsi,</w:t>
      </w:r>
      <w:r w:rsidRPr="00C47E3B">
        <w:t xml:space="preserve"> l’imputation au compte n°</w:t>
      </w:r>
      <w:r w:rsidR="00F711D0">
        <w:t> </w:t>
      </w:r>
      <w:r w:rsidRPr="00C47E3B">
        <w:t xml:space="preserve">6378 « </w:t>
      </w:r>
      <w:r w:rsidRPr="00C47E3B">
        <w:rPr>
          <w:i/>
        </w:rPr>
        <w:t>taxes diverses</w:t>
      </w:r>
      <w:r w:rsidRPr="00C47E3B">
        <w:t xml:space="preserve"> » est erronée</w:t>
      </w:r>
      <w:r w:rsidR="009A2935">
        <w:t> ;</w:t>
      </w:r>
    </w:p>
    <w:p w:rsidR="00E21CB1" w:rsidRPr="00C47E3B" w:rsidRDefault="00E21CB1" w:rsidP="00E21CB1">
      <w:pPr>
        <w:pStyle w:val="Corpsdetexte"/>
      </w:pPr>
      <w:r w:rsidRPr="00C47E3B">
        <w:t>Considérant que conformément à l’article 12-B du décret du 29</w:t>
      </w:r>
      <w:r w:rsidR="009A2935">
        <w:t xml:space="preserve"> </w:t>
      </w:r>
      <w:r w:rsidRPr="00C47E3B">
        <w:t>décembre</w:t>
      </w:r>
      <w:r w:rsidR="009A2935">
        <w:t xml:space="preserve"> </w:t>
      </w:r>
      <w:r w:rsidRPr="00C47E3B">
        <w:t>1962</w:t>
      </w:r>
      <w:r w:rsidRPr="00DE1B0F">
        <w:t xml:space="preserve"> portant règlement général sur la comptabilité publique</w:t>
      </w:r>
      <w:r w:rsidRPr="00C47E3B">
        <w:t>, les comptables sont tenus d’assurer le contrôle de l’exacte imputation des dépenses aux chapitres qu’elles concernent</w:t>
      </w:r>
      <w:r w:rsidR="009A2935">
        <w:t> </w:t>
      </w:r>
      <w:r w:rsidRPr="00C47E3B">
        <w:t xml:space="preserve">; qu’en ne s’assurant pas de l’exacte imputation, le comptable a, de ce fait, manqué à ses obligations et engagé sa responsabilité au titre </w:t>
      </w:r>
      <w:r w:rsidR="00907AC6">
        <w:t xml:space="preserve">de </w:t>
      </w:r>
      <w:r w:rsidRPr="00C47E3B">
        <w:t xml:space="preserve">l’article 60 de la </w:t>
      </w:r>
      <w:r>
        <w:t>loi n° 63</w:t>
      </w:r>
      <w:r w:rsidR="009A2935">
        <w:t>-</w:t>
      </w:r>
      <w:r w:rsidRPr="00C47E3B">
        <w:t>156 du 23 février 1963 ;</w:t>
      </w:r>
    </w:p>
    <w:p w:rsidR="00E21CB1" w:rsidRPr="00732F65" w:rsidRDefault="00E21CB1" w:rsidP="00E21CB1">
      <w:pPr>
        <w:pStyle w:val="Corpsdetexte"/>
        <w:rPr>
          <w:rFonts w:eastAsia="Calibri"/>
        </w:rPr>
      </w:pPr>
      <w:r w:rsidRPr="00732F65">
        <w:rPr>
          <w:rFonts w:eastAsia="Calibri"/>
        </w:rPr>
        <w:t>Attendu que le moyen selon lequel la mise en cause de la responsabilité personnelle et pécuniaire du comptable procurerait à l’établissement un enrichissement sans cause n’est pas démontré</w:t>
      </w:r>
      <w:r w:rsidR="009A2935">
        <w:rPr>
          <w:rFonts w:eastAsia="Calibri"/>
        </w:rPr>
        <w:t> ;</w:t>
      </w:r>
    </w:p>
    <w:p w:rsidR="00E21CB1" w:rsidRPr="00C47E3B" w:rsidRDefault="00E21CB1" w:rsidP="00E21CB1">
      <w:pPr>
        <w:pStyle w:val="Corpsdetexte"/>
      </w:pPr>
      <w:r w:rsidRPr="00C47E3B">
        <w:t>Attendu qu’en l’espèce, le moyen tiré d’une éventuelle «</w:t>
      </w:r>
      <w:r w:rsidR="009A2935">
        <w:t> </w:t>
      </w:r>
      <w:r w:rsidRPr="00C47E3B">
        <w:t>force majeure</w:t>
      </w:r>
      <w:r w:rsidR="009A2935">
        <w:t> </w:t>
      </w:r>
      <w:r w:rsidRPr="00C47E3B">
        <w:t xml:space="preserve">» prévu par l’article 60-V de la loi n° 63-156 du 23 février 1963, n’est </w:t>
      </w:r>
      <w:r>
        <w:t xml:space="preserve">pas </w:t>
      </w:r>
      <w:r w:rsidRPr="00C47E3B">
        <w:t>allégué ;</w:t>
      </w:r>
    </w:p>
    <w:p w:rsidR="00E21CB1" w:rsidRDefault="00E21CB1" w:rsidP="00E21CB1">
      <w:pPr>
        <w:pStyle w:val="Corpsdetexte"/>
        <w:rPr>
          <w:i/>
        </w:rPr>
      </w:pPr>
      <w:r w:rsidRPr="00C47E3B">
        <w:t xml:space="preserve">Attendu </w:t>
      </w:r>
      <w:r>
        <w:t>qu’</w:t>
      </w:r>
      <w:r w:rsidRPr="00C47E3B">
        <w:t>au titre des articles L. 311-13 et L. 311-14 du code de l'entrée et du séjour des étrangers et du droit d'asile</w:t>
      </w:r>
      <w:r>
        <w:t>, ces</w:t>
      </w:r>
      <w:r w:rsidRPr="00C47E3B">
        <w:t xml:space="preserve"> dépense</w:t>
      </w:r>
      <w:r>
        <w:t>s</w:t>
      </w:r>
      <w:r w:rsidRPr="00C47E3B">
        <w:t xml:space="preserve"> </w:t>
      </w:r>
      <w:r>
        <w:t>incombaient</w:t>
      </w:r>
      <w:r w:rsidRPr="00C47E3B">
        <w:t xml:space="preserve"> personnellement </w:t>
      </w:r>
      <w:r>
        <w:t>aux agents auxquels elles ont été remboursées</w:t>
      </w:r>
      <w:r w:rsidR="009A2935">
        <w:t> </w:t>
      </w:r>
      <w:r w:rsidRPr="00C47E3B">
        <w:t xml:space="preserve">; </w:t>
      </w:r>
      <w:r>
        <w:t>qu’elles constituent donc</w:t>
      </w:r>
      <w:r w:rsidRPr="00C47E3B">
        <w:t xml:space="preserve"> des compléments de rémunération ; </w:t>
      </w:r>
      <w:r>
        <w:t>que l’</w:t>
      </w:r>
      <w:r w:rsidRPr="00C47E3B">
        <w:t xml:space="preserve">imputation </w:t>
      </w:r>
      <w:r>
        <w:t>faite par le comptable a abouti</w:t>
      </w:r>
      <w:r w:rsidRPr="00C47E3B">
        <w:t xml:space="preserve"> à une surévaluation du compte n°</w:t>
      </w:r>
      <w:r w:rsidR="00F711D0">
        <w:t> </w:t>
      </w:r>
      <w:r w:rsidRPr="00C47E3B">
        <w:t>6378 « taxes diverses</w:t>
      </w:r>
      <w:r w:rsidR="009A2935">
        <w:t> </w:t>
      </w:r>
      <w:r w:rsidRPr="00C47E3B">
        <w:t xml:space="preserve">» et </w:t>
      </w:r>
      <w:r>
        <w:t xml:space="preserve">à </w:t>
      </w:r>
      <w:r w:rsidRPr="00C47E3B">
        <w:t>une sous</w:t>
      </w:r>
      <w:r w:rsidR="009A2935">
        <w:t>-</w:t>
      </w:r>
      <w:r w:rsidRPr="00C47E3B">
        <w:t>évaluation des comptes relatifs aux charges de personnel</w:t>
      </w:r>
      <w:r w:rsidR="009A2935">
        <w:t xml:space="preserve"> </w:t>
      </w:r>
      <w:r>
        <w:t xml:space="preserve">devant </w:t>
      </w:r>
      <w:r w:rsidRPr="00C47E3B">
        <w:t>supporter des cotisations sociales ; que cette omission est susceptible de créer</w:t>
      </w:r>
      <w:r w:rsidR="00907AC6">
        <w:t xml:space="preserve"> un</w:t>
      </w:r>
      <w:r w:rsidRPr="00C47E3B">
        <w:t xml:space="preserve"> préjudice financier </w:t>
      </w:r>
      <w:r>
        <w:t xml:space="preserve">pour l’établissement, ce qui n’a cependant pas été </w:t>
      </w:r>
      <w:r w:rsidRPr="00C47E3B">
        <w:t xml:space="preserve">constaté </w:t>
      </w:r>
      <w:r>
        <w:t>lors</w:t>
      </w:r>
      <w:r w:rsidRPr="00C47E3B">
        <w:t xml:space="preserve"> de </w:t>
      </w:r>
      <w:r w:rsidRPr="00E21CB1">
        <w:t>l’instruction ;</w:t>
      </w:r>
    </w:p>
    <w:p w:rsidR="001C2C8D" w:rsidRPr="004D0385" w:rsidRDefault="001C2C8D" w:rsidP="00E21CB1">
      <w:pPr>
        <w:pStyle w:val="Corpsdetexte"/>
        <w:rPr>
          <w:i/>
        </w:rPr>
      </w:pPr>
      <w:r w:rsidRPr="004D0385">
        <w:rPr>
          <w:i/>
        </w:rPr>
        <w:t>-</w:t>
      </w:r>
      <w:r w:rsidR="00F711D0">
        <w:rPr>
          <w:i/>
        </w:rPr>
        <w:t> </w:t>
      </w:r>
      <w:r w:rsidRPr="004D0385">
        <w:rPr>
          <w:i/>
        </w:rPr>
        <w:t>Sur la somme non rémissible</w:t>
      </w:r>
      <w:r w:rsidR="00A80682">
        <w:rPr>
          <w:i/>
        </w:rPr>
        <w:t xml:space="preserve"> laissée à la charge d’un </w:t>
      </w:r>
      <w:r w:rsidRPr="004D0385">
        <w:rPr>
          <w:i/>
        </w:rPr>
        <w:t>comptable intérimaire</w:t>
      </w:r>
    </w:p>
    <w:p w:rsidR="001C2C8D" w:rsidRPr="004D0385" w:rsidRDefault="001C2C8D" w:rsidP="001C2C8D">
      <w:pPr>
        <w:pStyle w:val="Corpsdetexte"/>
      </w:pPr>
      <w:r w:rsidRPr="004D0385">
        <w:t xml:space="preserve">Attendu que l’article 1 du décret n° 2012-1386 du 10 décembre 2012 portant application du deuxième alinéa du VI de l’article 60 de la loi de finances de 1963 dispose que « </w:t>
      </w:r>
      <w:r w:rsidRPr="004D0385">
        <w:rPr>
          <w:i/>
        </w:rPr>
        <w:t xml:space="preserve">la somme maximale pouvant être mise à la charge du comptable […] est fixée à un millième et demi du montant du cautionnement prévu pour le poste comptable considéré. </w:t>
      </w:r>
      <w:r w:rsidRPr="004D0385">
        <w:t>» ; que le décret n°</w:t>
      </w:r>
      <w:r w:rsidR="00F711D0">
        <w:t> </w:t>
      </w:r>
      <w:r w:rsidRPr="004D0385">
        <w:t>64-685 du 2 juillet 1964 relatif à la constitution et à la libération du cautionnement précise que le comptable intérimaire n’est pas tenu de constituer des garanties ;</w:t>
      </w:r>
    </w:p>
    <w:p w:rsidR="001C2C8D" w:rsidRPr="004D0385" w:rsidRDefault="001C2C8D" w:rsidP="001C2C8D">
      <w:pPr>
        <w:pStyle w:val="Corpsdetexte"/>
      </w:pPr>
      <w:r w:rsidRPr="004D0385">
        <w:t>Considérant qu’en vertu des principaux textes relatifs à l’organisation du service des comptables publics, notamment, le décret n° 64-685 du 2 juillet 1964 relatif à la constitution et à la libération du cautionnement, l’instruction générale du 16</w:t>
      </w:r>
      <w:r w:rsidR="009A2935">
        <w:t xml:space="preserve"> </w:t>
      </w:r>
      <w:r w:rsidRPr="004D0385">
        <w:t>août</w:t>
      </w:r>
      <w:r w:rsidR="009A2935">
        <w:t xml:space="preserve"> </w:t>
      </w:r>
      <w:r w:rsidRPr="004D0385">
        <w:t>1966 et l’instruction M</w:t>
      </w:r>
      <w:r w:rsidR="009A2935">
        <w:t xml:space="preserve"> </w:t>
      </w:r>
      <w:r w:rsidRPr="004D0385">
        <w:t xml:space="preserve">91 relative à la réglementation financière et comptable des </w:t>
      </w:r>
      <w:r w:rsidRPr="004D0385">
        <w:lastRenderedPageBreak/>
        <w:t xml:space="preserve">établissements publics nationaux à caractère administratif, il ressort que l’intérim est présumé général si l’ordre </w:t>
      </w:r>
      <w:r w:rsidR="00E21CB1">
        <w:t>qui l’instaure</w:t>
      </w:r>
      <w:r w:rsidRPr="004D0385">
        <w:t xml:space="preserve"> ne restreint pas explicitement les attributions ; que « </w:t>
      </w:r>
      <w:r w:rsidRPr="004D0385">
        <w:rPr>
          <w:i/>
        </w:rPr>
        <w:t>les agents comptables intérimaires ont la qualité de comptable public. Ils encourent donc la même responsabilité que les agents comptables titulaires</w:t>
      </w:r>
      <w:r w:rsidR="00F711D0">
        <w:rPr>
          <w:i/>
        </w:rPr>
        <w:t> </w:t>
      </w:r>
      <w:r w:rsidRPr="004D0385">
        <w:t>»</w:t>
      </w:r>
      <w:r w:rsidR="00F711D0">
        <w:t> </w:t>
      </w:r>
      <w:r w:rsidRPr="004D0385">
        <w:t xml:space="preserve">; qu’ainsi le comptable intérimaire a tous les pouvoirs du comptable titulaire ; qu’en conséquence il en a aussi les obligations ; </w:t>
      </w:r>
    </w:p>
    <w:p w:rsidR="001C2C8D" w:rsidRPr="004D0385" w:rsidRDefault="001C2C8D" w:rsidP="001C2C8D">
      <w:pPr>
        <w:pStyle w:val="Corpsdetexte"/>
      </w:pPr>
      <w:r w:rsidRPr="004D0385">
        <w:t>Attendu que la jurisprudence constante du juge des comptes applique le principe de responsabilité personnelle et pécuniaire des comptables intérimaires sauf en matière de</w:t>
      </w:r>
      <w:r w:rsidR="00E21CB1">
        <w:t xml:space="preserve"> recouvrement où</w:t>
      </w:r>
      <w:r w:rsidRPr="004D0385">
        <w:t xml:space="preserve"> le juge des comptes écarte la responsabilité de l’intérimaire resté en fonctions moins de six mois faute de disposer du délai réglementaire imparti pour formuler d’éventuelles réserves ; qu’ainsi</w:t>
      </w:r>
      <w:r w:rsidR="00E21CB1">
        <w:t>,</w:t>
      </w:r>
      <w:r w:rsidRPr="004D0385">
        <w:t xml:space="preserve"> le fait d’être comptable intérimaire est sans effet sur la décision de débet ;</w:t>
      </w:r>
    </w:p>
    <w:p w:rsidR="001C2C8D" w:rsidRPr="004D0385" w:rsidRDefault="001C2C8D" w:rsidP="001C2C8D">
      <w:pPr>
        <w:pStyle w:val="Corpsdetexte"/>
      </w:pPr>
      <w:r w:rsidRPr="004D0385">
        <w:t>Attendu qu’en cas de manquement sans préjudice le montant maximal de la somme non rémissible est fixé par référence au cautionnement prévu pour le poste comptable considéré et non par référence au cautionnement du comptable ; que</w:t>
      </w:r>
      <w:r w:rsidR="009A2935">
        <w:t xml:space="preserve"> </w:t>
      </w:r>
      <w:r w:rsidRPr="004D0385">
        <w:t>l’absence de cautionnement n’est pas à même d’empêcher la mise en cause de la responsabilité personnelle et pécuniaire du comptable intérimaire dans le cadre de l’article 60-VI, 2</w:t>
      </w:r>
      <w:r w:rsidRPr="004D0385">
        <w:rPr>
          <w:vertAlign w:val="superscript"/>
        </w:rPr>
        <w:t>ème</w:t>
      </w:r>
      <w:r w:rsidRPr="004D0385">
        <w:t xml:space="preserve"> alinéa de la loi de finances de 1963 et du décret d’application n° 2012-1386 du 10 décembre 2012 ; qu’ainsi il est possible de procéder au calcul de cette somme ;</w:t>
      </w:r>
    </w:p>
    <w:p w:rsidR="001C2C8D" w:rsidRPr="004D0385" w:rsidRDefault="001C2C8D" w:rsidP="001C2C8D">
      <w:pPr>
        <w:pStyle w:val="Corpsdetexte"/>
      </w:pPr>
      <w:r w:rsidRPr="004D0385">
        <w:t>Attendu que, compte tenu de ces éléments, pour déterminer la somme maximale non rémissible, il sera fait référence au cautionnement du poste comptable défini lors de la gestion du comptable patent précédent ;</w:t>
      </w:r>
    </w:p>
    <w:p w:rsidR="001C2C8D" w:rsidRPr="004D0385" w:rsidRDefault="001C2C8D" w:rsidP="001C2C8D">
      <w:pPr>
        <w:pStyle w:val="Corpsdetexte"/>
      </w:pPr>
      <w:r w:rsidRPr="004D0385">
        <w:t>Considérant qu’en conséquence, il convient de faire application des dispositions de l’article 60-VI, 2</w:t>
      </w:r>
      <w:r w:rsidRPr="004D0385">
        <w:rPr>
          <w:vertAlign w:val="superscript"/>
        </w:rPr>
        <w:t>ème</w:t>
      </w:r>
      <w:r w:rsidRPr="004D0385">
        <w:t xml:space="preserve"> aliéna, de la </w:t>
      </w:r>
      <w:r w:rsidR="00C51D37">
        <w:t>loi n° 63-156 du 23 février 1963</w:t>
      </w:r>
      <w:r w:rsidRPr="004D0385">
        <w:t xml:space="preserve"> et de l’article 1 du décret n° 2012-1386 du 10 décembre 2012 ; que le cautionnement du poste comptable s’établissait à </w:t>
      </w:r>
      <w:r w:rsidR="00860B19">
        <w:t>199 600 € ;</w:t>
      </w:r>
    </w:p>
    <w:p w:rsidR="00A80682" w:rsidRPr="00860B19" w:rsidRDefault="00A80682" w:rsidP="00860B19">
      <w:pPr>
        <w:pStyle w:val="Corpsdetexte"/>
      </w:pPr>
      <w:r w:rsidRPr="00860B19">
        <w:t xml:space="preserve">Attendu qu’aucune circonstance de l’espèce ne peut être invoquée pour moduler la somme laissée à charge </w:t>
      </w:r>
      <w:r w:rsidR="000259F0">
        <w:t xml:space="preserve">de la </w:t>
      </w:r>
      <w:r w:rsidRPr="00860B19">
        <w:t xml:space="preserve">comptable ; que la répétition du manquement  ne saurait exonérer partiellement l’agent comptable </w:t>
      </w:r>
      <w:r w:rsidR="00F04790">
        <w:t xml:space="preserve">intérimaire </w:t>
      </w:r>
      <w:r w:rsidRPr="00860B19">
        <w:t>de sa responsabilité ;</w:t>
      </w:r>
    </w:p>
    <w:p w:rsidR="001C2C8D" w:rsidRPr="004D0385" w:rsidRDefault="001C2C8D" w:rsidP="001C2C8D">
      <w:pPr>
        <w:pStyle w:val="Corpsdetexte"/>
      </w:pPr>
      <w:r w:rsidRPr="004D0385">
        <w:t>Par ces motifs,</w:t>
      </w:r>
    </w:p>
    <w:p w:rsidR="001C2C8D" w:rsidRPr="004D0385" w:rsidRDefault="001C2C8D" w:rsidP="001C2C8D">
      <w:pPr>
        <w:pStyle w:val="Corpsdetexte"/>
      </w:pPr>
      <w:r w:rsidRPr="004D0385">
        <w:t>-</w:t>
      </w:r>
      <w:r w:rsidR="00F711D0">
        <w:t> </w:t>
      </w:r>
      <w:r w:rsidR="00A94EE6">
        <w:t>La somme de</w:t>
      </w:r>
      <w:r w:rsidRPr="004D0385">
        <w:t xml:space="preserve"> 299,40</w:t>
      </w:r>
      <w:r w:rsidR="00A94EE6">
        <w:t> </w:t>
      </w:r>
      <w:r w:rsidRPr="004D0385">
        <w:t xml:space="preserve">€ (199 600 € </w:t>
      </w:r>
      <w:r w:rsidR="009A2935">
        <w:t>×</w:t>
      </w:r>
      <w:r w:rsidRPr="004D0385">
        <w:t xml:space="preserve"> 0,0015 = 299,40</w:t>
      </w:r>
      <w:r w:rsidR="00C47E3B">
        <w:t xml:space="preserve"> €) </w:t>
      </w:r>
      <w:r w:rsidR="00A94EE6">
        <w:t xml:space="preserve">est mise à la charge de </w:t>
      </w:r>
      <w:r w:rsidR="00732062">
        <w:t>M</w:t>
      </w:r>
      <w:r w:rsidR="00732062" w:rsidRPr="009A2935">
        <w:rPr>
          <w:vertAlign w:val="superscript"/>
        </w:rPr>
        <w:t>me</w:t>
      </w:r>
      <w:r w:rsidR="00732062">
        <w:t xml:space="preserve"> Z</w:t>
      </w:r>
      <w:r w:rsidR="00A94EE6">
        <w:t xml:space="preserve"> </w:t>
      </w:r>
      <w:r w:rsidR="00C47E3B">
        <w:t>pour le manquement précité au titre de sa gestion</w:t>
      </w:r>
      <w:r w:rsidR="00A94EE6">
        <w:t> </w:t>
      </w:r>
      <w:r w:rsidR="00C47E3B">
        <w:t>2011 ;</w:t>
      </w:r>
    </w:p>
    <w:p w:rsidR="00D97940" w:rsidRPr="00C47E3B" w:rsidRDefault="00C47E3B" w:rsidP="009A2935">
      <w:pPr>
        <w:pStyle w:val="Corpsdetexte"/>
        <w:keepNext/>
        <w:spacing w:before="360"/>
        <w:rPr>
          <w:b/>
          <w:i/>
          <w:u w:val="single"/>
        </w:rPr>
      </w:pPr>
      <w:r w:rsidRPr="00C47E3B">
        <w:rPr>
          <w:b/>
          <w:i/>
          <w:u w:val="single"/>
        </w:rPr>
        <w:t>C</w:t>
      </w:r>
      <w:r w:rsidR="00D97940" w:rsidRPr="00C47E3B">
        <w:rPr>
          <w:b/>
          <w:i/>
          <w:u w:val="single"/>
        </w:rPr>
        <w:t>harge</w:t>
      </w:r>
      <w:r w:rsidR="004608C4" w:rsidRPr="00C47E3B">
        <w:rPr>
          <w:b/>
          <w:i/>
          <w:u w:val="single"/>
        </w:rPr>
        <w:t xml:space="preserve"> n°</w:t>
      </w:r>
      <w:r w:rsidR="00F711D0">
        <w:rPr>
          <w:b/>
          <w:i/>
          <w:u w:val="single"/>
        </w:rPr>
        <w:t> </w:t>
      </w:r>
      <w:r w:rsidR="004608C4" w:rsidRPr="00C47E3B">
        <w:rPr>
          <w:b/>
          <w:i/>
          <w:u w:val="single"/>
        </w:rPr>
        <w:t>11</w:t>
      </w:r>
      <w:bookmarkEnd w:id="22"/>
      <w:bookmarkEnd w:id="23"/>
      <w:bookmarkEnd w:id="24"/>
    </w:p>
    <w:p w:rsidR="00D97940" w:rsidRPr="007E27CD" w:rsidRDefault="00CD3531" w:rsidP="00860B19">
      <w:pPr>
        <w:pStyle w:val="Corpsdetexte"/>
        <w:keepNext/>
      </w:pPr>
      <w:r w:rsidRPr="007E27CD">
        <w:t xml:space="preserve">Attendu que </w:t>
      </w:r>
      <w:r w:rsidR="00732062">
        <w:t>M</w:t>
      </w:r>
      <w:r w:rsidR="00732062" w:rsidRPr="009A2935">
        <w:rPr>
          <w:vertAlign w:val="superscript"/>
        </w:rPr>
        <w:t>me</w:t>
      </w:r>
      <w:r w:rsidR="00732062">
        <w:t xml:space="preserve"> Z</w:t>
      </w:r>
      <w:r w:rsidRPr="007E27CD">
        <w:t>, agent comptable intérimaire de l’</w:t>
      </w:r>
      <w:r w:rsidR="003F4391">
        <w:t>INRIA</w:t>
      </w:r>
      <w:r w:rsidRPr="007E27CD">
        <w:t xml:space="preserve">, a mis en paiement le </w:t>
      </w:r>
      <w:r w:rsidR="00D97940" w:rsidRPr="007E27CD">
        <w:t>mandat n° 2</w:t>
      </w:r>
      <w:r w:rsidRPr="007E27CD">
        <w:t xml:space="preserve">7360 en date du 26 octobre 2011, </w:t>
      </w:r>
      <w:r w:rsidR="00D97940" w:rsidRPr="007E27CD">
        <w:t>d’un montant de 6 000 € au profit de l’</w:t>
      </w:r>
      <w:r w:rsidR="008C0629">
        <w:t>u</w:t>
      </w:r>
      <w:r w:rsidR="00D97940" w:rsidRPr="007E27CD">
        <w:t>niversité de Provence sur le compte n° 611 consacré aux dépenses de « </w:t>
      </w:r>
      <w:r w:rsidR="00D97940" w:rsidRPr="007E27CD">
        <w:rPr>
          <w:i/>
        </w:rPr>
        <w:t>sous-traitance générale</w:t>
      </w:r>
      <w:r w:rsidRPr="007E27CD">
        <w:t> » ;</w:t>
      </w:r>
    </w:p>
    <w:p w:rsidR="00D97940" w:rsidRPr="007E27CD" w:rsidRDefault="00CD3531" w:rsidP="00442D13">
      <w:pPr>
        <w:pStyle w:val="Corpsdetexte"/>
      </w:pPr>
      <w:r w:rsidRPr="007E27CD">
        <w:t>Attendu que le réquisitoire du Procureur général</w:t>
      </w:r>
      <w:r w:rsidR="00860B19">
        <w:t xml:space="preserve"> retient comme élément à charge</w:t>
      </w:r>
      <w:r w:rsidRPr="007E27CD">
        <w:t xml:space="preserve"> le fait </w:t>
      </w:r>
      <w:r w:rsidR="00D97940" w:rsidRPr="007E27CD">
        <w:t>que le compte n° 611 n’est pas adapté au paiement d’une dépense de sous</w:t>
      </w:r>
      <w:r w:rsidR="009A2935">
        <w:t>-</w:t>
      </w:r>
      <w:r w:rsidR="00D97940" w:rsidRPr="007E27CD">
        <w:t>traitance et que les</w:t>
      </w:r>
      <w:r w:rsidR="00907AC6">
        <w:t xml:space="preserve"> </w:t>
      </w:r>
      <w:r w:rsidR="00D97940" w:rsidRPr="007E27CD">
        <w:t xml:space="preserve">dites dépenses auraient dû être justifiées par des pièces se rapportant </w:t>
      </w:r>
      <w:r w:rsidR="00D97940" w:rsidRPr="007E27CD">
        <w:lastRenderedPageBreak/>
        <w:t xml:space="preserve">directement aux prestations sous-traitées et aux conventions </w:t>
      </w:r>
      <w:r w:rsidRPr="007E27CD">
        <w:t>liées au marché qui les prévoit ;</w:t>
      </w:r>
    </w:p>
    <w:p w:rsidR="00D97940" w:rsidRPr="007E27CD" w:rsidRDefault="00860B19" w:rsidP="00442D13">
      <w:pPr>
        <w:pStyle w:val="Corpsdetexte"/>
      </w:pPr>
      <w:r>
        <w:t>Attendu qu’en réponse la</w:t>
      </w:r>
      <w:r w:rsidR="00CD3531" w:rsidRPr="007E27CD">
        <w:t xml:space="preserve"> comptable </w:t>
      </w:r>
      <w:r w:rsidR="00D97940" w:rsidRPr="007E27CD">
        <w:t>justifie le paiement de ce mandat à l’</w:t>
      </w:r>
      <w:r w:rsidR="008C0629">
        <w:t>u</w:t>
      </w:r>
      <w:r w:rsidR="00D97940" w:rsidRPr="007E27CD">
        <w:t>niversité de Provence par la production d’une convention de partenaria</w:t>
      </w:r>
      <w:r w:rsidR="00CD3531" w:rsidRPr="007E27CD">
        <w:t xml:space="preserve">t </w:t>
      </w:r>
      <w:r w:rsidR="008C0629">
        <w:t xml:space="preserve">signée </w:t>
      </w:r>
      <w:r w:rsidR="00CD3531" w:rsidRPr="007E27CD">
        <w:t>entre l’</w:t>
      </w:r>
      <w:r w:rsidR="003F4391">
        <w:t>INRIA</w:t>
      </w:r>
      <w:r w:rsidR="00CD3531" w:rsidRPr="007E27CD">
        <w:t xml:space="preserve"> et l’Université ;</w:t>
      </w:r>
      <w:r w:rsidR="00D95642" w:rsidRPr="00D95642">
        <w:t xml:space="preserve"> </w:t>
      </w:r>
      <w:r w:rsidR="008C0629">
        <w:t>que la décision attributive prévoyait la participation de l’</w:t>
      </w:r>
      <w:r w:rsidR="003F4391">
        <w:t>INRIA</w:t>
      </w:r>
      <w:r w:rsidR="008C0629">
        <w:t xml:space="preserve"> au budget de fonctionnement de l’école doctorale ; que la comptable disposait ainsi des pièces permettant d’effectuer les contrôles ; </w:t>
      </w:r>
      <w:r w:rsidR="000259F0">
        <w:t xml:space="preserve">qu’elle ajoute </w:t>
      </w:r>
      <w:r w:rsidR="00D95642" w:rsidRPr="00D95642">
        <w:t>que la mise en cause de la responsabilité personnelle et pécuniaire du comptable procurerait à l’</w:t>
      </w:r>
      <w:r w:rsidR="003F4391">
        <w:t>INRIA</w:t>
      </w:r>
      <w:r w:rsidR="00D95642" w:rsidRPr="00D95642">
        <w:t xml:space="preserve"> un enrichissement sans cause</w:t>
      </w:r>
      <w:r w:rsidR="009A2935">
        <w:t> </w:t>
      </w:r>
      <w:r w:rsidR="00D95642" w:rsidRPr="00D95642">
        <w:t>;</w:t>
      </w:r>
    </w:p>
    <w:p w:rsidR="00D97940" w:rsidRPr="007E27CD" w:rsidRDefault="00CD3531" w:rsidP="00442D13">
      <w:pPr>
        <w:pStyle w:val="Corpsdetexte"/>
      </w:pPr>
      <w:r w:rsidRPr="007E27CD">
        <w:t>Attendu que l</w:t>
      </w:r>
      <w:r w:rsidR="00F711D0">
        <w:t>a</w:t>
      </w:r>
      <w:r w:rsidRPr="007E27CD">
        <w:t xml:space="preserve"> </w:t>
      </w:r>
      <w:r w:rsidR="00D97940" w:rsidRPr="007E27CD">
        <w:t>comptable n’a pas justifié le paiement de cette dépense au compte n° 611  « </w:t>
      </w:r>
      <w:r w:rsidR="00D97940" w:rsidRPr="007E27CD">
        <w:rPr>
          <w:i/>
        </w:rPr>
        <w:t>sous-traitance générale</w:t>
      </w:r>
      <w:r w:rsidRPr="007E27CD">
        <w:t> » ; que l</w:t>
      </w:r>
      <w:r w:rsidR="00D97940" w:rsidRPr="007E27CD">
        <w:t>a production d’une convention de partenariat entre l’</w:t>
      </w:r>
      <w:r w:rsidR="003F4391">
        <w:t>INRIA</w:t>
      </w:r>
      <w:r w:rsidR="00D97940" w:rsidRPr="007E27CD">
        <w:t xml:space="preserve"> et l’Université ne justifie pas le paiement d’une dépense de sous-traitance</w:t>
      </w:r>
      <w:r w:rsidR="00E21CB1">
        <w:t> ; que le paiement</w:t>
      </w:r>
      <w:r w:rsidR="00D97940" w:rsidRPr="007E27CD">
        <w:t xml:space="preserve"> aurait dû être </w:t>
      </w:r>
      <w:r w:rsidR="00E21CB1">
        <w:t>documenté</w:t>
      </w:r>
      <w:r w:rsidR="00D97940" w:rsidRPr="007E27CD">
        <w:t xml:space="preserve"> par des pièces se rapportant directement aux prestations sous-traitées et aux conventions </w:t>
      </w:r>
      <w:r w:rsidRPr="007E27CD">
        <w:t>liées au marché qui les prévoit ;</w:t>
      </w:r>
    </w:p>
    <w:p w:rsidR="00D97940" w:rsidRPr="007E27CD" w:rsidRDefault="008C0629" w:rsidP="00442D13">
      <w:pPr>
        <w:pStyle w:val="Corpsdetexte"/>
      </w:pPr>
      <w:r>
        <w:t xml:space="preserve">Attendu que, par ailleurs, </w:t>
      </w:r>
      <w:r w:rsidR="00D97940" w:rsidRPr="007E27CD">
        <w:t>la convention de partenariat n’est pas une prestation de sous-traitance liée à un marché comme l’indique</w:t>
      </w:r>
      <w:r w:rsidR="006332B7" w:rsidRPr="007E27CD">
        <w:t>nt</w:t>
      </w:r>
      <w:r w:rsidR="00D97940" w:rsidRPr="007E27CD">
        <w:t xml:space="preserve"> la convention e</w:t>
      </w:r>
      <w:r w:rsidR="00CD3531" w:rsidRPr="007E27CD">
        <w:t>t son avenant</w:t>
      </w:r>
      <w:r w:rsidR="009A2935">
        <w:t xml:space="preserve"> </w:t>
      </w:r>
      <w:r w:rsidR="00CD3531" w:rsidRPr="007E27CD">
        <w:t>qui précisent</w:t>
      </w:r>
      <w:r w:rsidR="009A2935">
        <w:t xml:space="preserve"> </w:t>
      </w:r>
      <w:r w:rsidR="00CD3531" w:rsidRPr="007E27CD">
        <w:rPr>
          <w:spacing w:val="4"/>
        </w:rPr>
        <w:t>que « </w:t>
      </w:r>
      <w:r w:rsidR="00D97940" w:rsidRPr="007E27CD">
        <w:rPr>
          <w:i/>
          <w:spacing w:val="4"/>
        </w:rPr>
        <w:t>l’</w:t>
      </w:r>
      <w:r w:rsidR="003F4391">
        <w:rPr>
          <w:i/>
          <w:spacing w:val="4"/>
        </w:rPr>
        <w:t>INRIA</w:t>
      </w:r>
      <w:r w:rsidR="00D97940" w:rsidRPr="007E27CD">
        <w:rPr>
          <w:i/>
          <w:spacing w:val="4"/>
        </w:rPr>
        <w:t xml:space="preserve"> s’engage […] à participer au budget de fonctionnement de cette école doctorale </w:t>
      </w:r>
      <w:r w:rsidR="00CD3531" w:rsidRPr="007E27CD">
        <w:rPr>
          <w:i/>
          <w:spacing w:val="4"/>
        </w:rPr>
        <w:t>[…]</w:t>
      </w:r>
      <w:r w:rsidR="00D97940" w:rsidRPr="007E27CD">
        <w:rPr>
          <w:i/>
          <w:spacing w:val="4"/>
        </w:rPr>
        <w:t xml:space="preserve"> pour la somme de 6</w:t>
      </w:r>
      <w:r w:rsidR="00F711D0">
        <w:rPr>
          <w:i/>
          <w:spacing w:val="4"/>
        </w:rPr>
        <w:t> </w:t>
      </w:r>
      <w:r w:rsidR="00D97940" w:rsidRPr="007E27CD">
        <w:rPr>
          <w:i/>
          <w:spacing w:val="4"/>
        </w:rPr>
        <w:t>000</w:t>
      </w:r>
      <w:r w:rsidR="00F711D0">
        <w:rPr>
          <w:i/>
          <w:spacing w:val="4"/>
        </w:rPr>
        <w:t> </w:t>
      </w:r>
      <w:r w:rsidR="00D97940" w:rsidRPr="007E27CD">
        <w:rPr>
          <w:i/>
          <w:spacing w:val="4"/>
        </w:rPr>
        <w:t>€ HT</w:t>
      </w:r>
      <w:r w:rsidR="006332B7" w:rsidRPr="007E27CD">
        <w:rPr>
          <w:spacing w:val="4"/>
        </w:rPr>
        <w:t> » ; qu’i</w:t>
      </w:r>
      <w:r w:rsidR="00D97940" w:rsidRPr="007E27CD">
        <w:t xml:space="preserve">l s’agit </w:t>
      </w:r>
      <w:r w:rsidR="00E21CB1">
        <w:t xml:space="preserve">en fait </w:t>
      </w:r>
      <w:r w:rsidR="00D97940" w:rsidRPr="007E27CD">
        <w:t>d’une subvention de fonctionnement qui</w:t>
      </w:r>
      <w:r w:rsidR="00E21CB1">
        <w:t xml:space="preserve"> </w:t>
      </w:r>
      <w:r w:rsidR="00D97940" w:rsidRPr="007E27CD">
        <w:t>devait être imputée au compte n° 6715 « </w:t>
      </w:r>
      <w:r w:rsidR="00D97940" w:rsidRPr="007E27CD">
        <w:rPr>
          <w:i/>
        </w:rPr>
        <w:t>subventions accordées </w:t>
      </w:r>
      <w:r w:rsidR="006332B7" w:rsidRPr="007E27CD">
        <w:t>» ;</w:t>
      </w:r>
    </w:p>
    <w:p w:rsidR="00D97940" w:rsidRPr="007E27CD" w:rsidRDefault="006332B7" w:rsidP="00442D13">
      <w:pPr>
        <w:pStyle w:val="Corpsdetexte"/>
      </w:pPr>
      <w:r w:rsidRPr="007E27CD">
        <w:t>Attendu qu’en</w:t>
      </w:r>
      <w:r w:rsidR="00D97940" w:rsidRPr="007E27CD">
        <w:t xml:space="preserve"> tout état de cause l</w:t>
      </w:r>
      <w:r w:rsidR="000259F0">
        <w:t>a</w:t>
      </w:r>
      <w:r w:rsidR="00D97940" w:rsidRPr="007E27CD">
        <w:t xml:space="preserve"> comptable a procédé au paiement </w:t>
      </w:r>
      <w:r w:rsidRPr="007E27CD">
        <w:t>soit</w:t>
      </w:r>
      <w:r w:rsidR="00D97940" w:rsidRPr="007E27CD">
        <w:t xml:space="preserve"> sans vérifier la validité de la créance, notamment en matière de production des justifications nécessaires</w:t>
      </w:r>
      <w:r w:rsidR="00E21CB1">
        <w:t>,</w:t>
      </w:r>
      <w:r w:rsidR="00D97940" w:rsidRPr="007E27CD">
        <w:t xml:space="preserve"> soit </w:t>
      </w:r>
      <w:r w:rsidR="00E21CB1">
        <w:t>sans s’être</w:t>
      </w:r>
      <w:r w:rsidR="00D97940" w:rsidRPr="007E27CD">
        <w:t xml:space="preserve"> assuré</w:t>
      </w:r>
      <w:r w:rsidR="00E21CB1">
        <w:t>e</w:t>
      </w:r>
      <w:r w:rsidR="00D97940" w:rsidRPr="007E27CD">
        <w:t xml:space="preserve"> de l’</w:t>
      </w:r>
      <w:r w:rsidRPr="007E27CD">
        <w:t>exacte imputation de la dépense ;</w:t>
      </w:r>
    </w:p>
    <w:p w:rsidR="00D97940" w:rsidRDefault="006332B7" w:rsidP="00442D13">
      <w:pPr>
        <w:pStyle w:val="Corpsdetexte"/>
      </w:pPr>
      <w:r w:rsidRPr="007E27CD">
        <w:t>Considérant que l</w:t>
      </w:r>
      <w:r w:rsidR="000259F0">
        <w:t>a</w:t>
      </w:r>
      <w:r w:rsidRPr="007E27CD">
        <w:t xml:space="preserve"> </w:t>
      </w:r>
      <w:r w:rsidR="00D97940" w:rsidRPr="007E27CD">
        <w:t xml:space="preserve">comptable a manqué </w:t>
      </w:r>
      <w:r w:rsidR="00E21CB1">
        <w:t>aux</w:t>
      </w:r>
      <w:r w:rsidR="00860B19">
        <w:t xml:space="preserve"> </w:t>
      </w:r>
      <w:r w:rsidR="00D97940" w:rsidRPr="007E27CD">
        <w:t xml:space="preserve">obligations </w:t>
      </w:r>
      <w:r w:rsidR="008C0629">
        <w:t xml:space="preserve">que lui imposent les </w:t>
      </w:r>
      <w:r w:rsidR="00D97940" w:rsidRPr="007E27CD">
        <w:t>articles 12 et 13 du décret du 29 décembre 1962 portant règlement général sur la comptabilité publique et a de c</w:t>
      </w:r>
      <w:r w:rsidRPr="007E27CD">
        <w:t>e fait engagé sa responsabilité au titre</w:t>
      </w:r>
      <w:r w:rsidR="00907AC6">
        <w:t xml:space="preserve"> de </w:t>
      </w:r>
      <w:r w:rsidR="00860B19">
        <w:t xml:space="preserve">l’article 60 </w:t>
      </w:r>
      <w:r w:rsidR="00860B19" w:rsidRPr="00860B19">
        <w:t xml:space="preserve">de la </w:t>
      </w:r>
      <w:r w:rsidR="00C51D37">
        <w:t>loi n° 63-156 du 23 février 1963</w:t>
      </w:r>
      <w:r w:rsidR="00860B19">
        <w:t> ;</w:t>
      </w:r>
    </w:p>
    <w:p w:rsidR="00D95642" w:rsidRPr="00732F65" w:rsidRDefault="00D95642" w:rsidP="00D95642">
      <w:pPr>
        <w:spacing w:after="120"/>
        <w:rPr>
          <w:rFonts w:eastAsia="Calibri"/>
        </w:rPr>
      </w:pPr>
      <w:r w:rsidRPr="00732F65">
        <w:rPr>
          <w:rFonts w:eastAsia="Calibri"/>
        </w:rPr>
        <w:t xml:space="preserve">Attendu que le moyen selon lequel la mise en cause de la responsabilité personnelle et pécuniaire du comptable procurerait à l’établissement un enrichissement sans cause n’est pas </w:t>
      </w:r>
      <w:r w:rsidR="00E21CB1" w:rsidRPr="00732F65">
        <w:rPr>
          <w:rFonts w:eastAsia="Calibri"/>
        </w:rPr>
        <w:t>démontré</w:t>
      </w:r>
      <w:r w:rsidRPr="00732F65">
        <w:rPr>
          <w:rFonts w:eastAsia="Calibri"/>
        </w:rPr>
        <w:t xml:space="preserve"> ;</w:t>
      </w:r>
    </w:p>
    <w:p w:rsidR="006332B7" w:rsidRPr="007E27CD" w:rsidRDefault="006332B7" w:rsidP="00442D13">
      <w:pPr>
        <w:pStyle w:val="Corpsdetexte"/>
      </w:pPr>
      <w:r w:rsidRPr="007E27CD">
        <w:t>Attendu qu’en l’espèce, le moyen tiré d’une éventuelle «</w:t>
      </w:r>
      <w:r w:rsidR="009A2935">
        <w:t> </w:t>
      </w:r>
      <w:r w:rsidRPr="007E27CD">
        <w:t>force majeure</w:t>
      </w:r>
      <w:r w:rsidR="009A2935">
        <w:t> </w:t>
      </w:r>
      <w:r w:rsidRPr="007E27CD">
        <w:t xml:space="preserve">» prévu par l’article 60-V de la </w:t>
      </w:r>
      <w:r w:rsidR="00C51D37">
        <w:t>loi n° 63-156 du 23 février 1963</w:t>
      </w:r>
      <w:r w:rsidRPr="007E27CD">
        <w:t xml:space="preserve">, n’est </w:t>
      </w:r>
      <w:r w:rsidR="00B66D08">
        <w:t>pas</w:t>
      </w:r>
      <w:r w:rsidR="00E21CB1">
        <w:t xml:space="preserve"> </w:t>
      </w:r>
      <w:r w:rsidRPr="007E27CD">
        <w:t>allégué ;</w:t>
      </w:r>
    </w:p>
    <w:p w:rsidR="00D97940" w:rsidRPr="008C0629" w:rsidRDefault="006332B7" w:rsidP="00E21CB1">
      <w:pPr>
        <w:pStyle w:val="Corpsdetexte"/>
      </w:pPr>
      <w:r w:rsidRPr="008C0629">
        <w:t xml:space="preserve">Attendu </w:t>
      </w:r>
      <w:r w:rsidR="008C0629" w:rsidRPr="008C0629">
        <w:t xml:space="preserve">que les sommes étaient dues ; que la mauvaise imputation n’a pas causé </w:t>
      </w:r>
      <w:r w:rsidR="00D97940" w:rsidRPr="008C0629">
        <w:t>de préjudice f</w:t>
      </w:r>
      <w:r w:rsidRPr="008C0629">
        <w:t xml:space="preserve">inancier pour l’établissement ; </w:t>
      </w:r>
      <w:r w:rsidR="00D97940" w:rsidRPr="008C0629">
        <w:t>qu’aucune circonstance de l’espèce ne peut être invoquée pour moduler la somm</w:t>
      </w:r>
      <w:r w:rsidRPr="008C0629">
        <w:t>e laissée à charge du comptable ;</w:t>
      </w:r>
    </w:p>
    <w:p w:rsidR="00860B19" w:rsidRPr="008C0629" w:rsidRDefault="00860B19" w:rsidP="00972D76">
      <w:pPr>
        <w:pStyle w:val="Corpsdetexte"/>
        <w:keepNext/>
      </w:pPr>
      <w:r w:rsidRPr="008C0629">
        <w:t>Par ces motifs,</w:t>
      </w:r>
    </w:p>
    <w:p w:rsidR="00D97940" w:rsidRPr="008C0629" w:rsidRDefault="00860B19" w:rsidP="00972D76">
      <w:pPr>
        <w:pStyle w:val="Corpsdetexte"/>
        <w:keepNext/>
      </w:pPr>
      <w:r w:rsidRPr="008C0629">
        <w:t>-</w:t>
      </w:r>
      <w:r w:rsidR="00F114D0">
        <w:t> </w:t>
      </w:r>
      <w:r w:rsidR="00A94EE6">
        <w:t xml:space="preserve">La somme de </w:t>
      </w:r>
      <w:r w:rsidR="006332B7" w:rsidRPr="008C0629">
        <w:t>299,40</w:t>
      </w:r>
      <w:r w:rsidR="00A94EE6">
        <w:t> </w:t>
      </w:r>
      <w:r w:rsidR="006332B7" w:rsidRPr="008C0629">
        <w:t>€ (199</w:t>
      </w:r>
      <w:r w:rsidR="00A94EE6">
        <w:t> </w:t>
      </w:r>
      <w:r w:rsidR="006332B7" w:rsidRPr="008C0629">
        <w:t>600</w:t>
      </w:r>
      <w:r w:rsidR="00A94EE6">
        <w:t> </w:t>
      </w:r>
      <w:r w:rsidRPr="008C0629">
        <w:t xml:space="preserve">€ </w:t>
      </w:r>
      <w:r w:rsidR="009A2935">
        <w:t>×</w:t>
      </w:r>
      <w:r w:rsidRPr="008C0629">
        <w:t xml:space="preserve"> 0,0015 = 299,40 €) </w:t>
      </w:r>
      <w:r w:rsidR="00A94EE6">
        <w:t xml:space="preserve">est mise à la charge de </w:t>
      </w:r>
      <w:r w:rsidR="00732062">
        <w:t>M</w:t>
      </w:r>
      <w:r w:rsidR="00732062" w:rsidRPr="009A2935">
        <w:rPr>
          <w:vertAlign w:val="superscript"/>
        </w:rPr>
        <w:t>me</w:t>
      </w:r>
      <w:r w:rsidR="00732062">
        <w:t xml:space="preserve"> Z</w:t>
      </w:r>
      <w:r w:rsidR="00A94EE6">
        <w:t xml:space="preserve">, </w:t>
      </w:r>
      <w:r w:rsidRPr="008C0629">
        <w:t>pour le manquement précité</w:t>
      </w:r>
      <w:r w:rsidR="008C0629">
        <w:t xml:space="preserve"> au titre de sa gestion</w:t>
      </w:r>
      <w:r w:rsidR="009A2935">
        <w:t xml:space="preserve"> </w:t>
      </w:r>
      <w:r w:rsidR="008C0629">
        <w:t>2011 ;</w:t>
      </w:r>
    </w:p>
    <w:p w:rsidR="00A94EE6" w:rsidRDefault="00A94EE6">
      <w:pPr>
        <w:spacing w:before="0" w:after="0"/>
        <w:ind w:left="0" w:firstLine="0"/>
        <w:jc w:val="left"/>
        <w:rPr>
          <w:b/>
          <w:i/>
          <w:u w:val="single"/>
        </w:rPr>
      </w:pPr>
      <w:bookmarkStart w:id="25" w:name="_Toc370115397"/>
      <w:bookmarkStart w:id="26" w:name="_Toc362618119"/>
      <w:bookmarkStart w:id="27" w:name="_Toc370896986"/>
      <w:r>
        <w:rPr>
          <w:b/>
          <w:i/>
          <w:u w:val="single"/>
        </w:rPr>
        <w:br w:type="page"/>
      </w:r>
    </w:p>
    <w:p w:rsidR="00D97940" w:rsidRPr="008C0629" w:rsidRDefault="008C0629" w:rsidP="00A94EE6">
      <w:pPr>
        <w:spacing w:before="0" w:after="0"/>
        <w:ind w:left="1701" w:firstLine="0"/>
        <w:jc w:val="left"/>
        <w:rPr>
          <w:b/>
          <w:i/>
          <w:u w:val="single"/>
        </w:rPr>
      </w:pPr>
      <w:r w:rsidRPr="008C0629">
        <w:rPr>
          <w:b/>
          <w:i/>
          <w:u w:val="single"/>
        </w:rPr>
        <w:t>C</w:t>
      </w:r>
      <w:r w:rsidR="006332B7" w:rsidRPr="008C0629">
        <w:rPr>
          <w:b/>
          <w:i/>
          <w:u w:val="single"/>
        </w:rPr>
        <w:t>harge n° 12</w:t>
      </w:r>
      <w:bookmarkEnd w:id="25"/>
      <w:bookmarkEnd w:id="26"/>
      <w:bookmarkEnd w:id="27"/>
    </w:p>
    <w:p w:rsidR="00D97940" w:rsidRPr="007E27CD" w:rsidRDefault="006332B7" w:rsidP="00860B19">
      <w:pPr>
        <w:pStyle w:val="Corpsdetexte"/>
        <w:keepNext/>
      </w:pPr>
      <w:r w:rsidRPr="00F114D0">
        <w:t>Attendu que M. </w:t>
      </w:r>
      <w:r w:rsidR="00732062">
        <w:t>A</w:t>
      </w:r>
      <w:r w:rsidRPr="00F114D0">
        <w:t>, agent comptable de l’</w:t>
      </w:r>
      <w:r w:rsidR="003F4391" w:rsidRPr="00F114D0">
        <w:t>INRIA</w:t>
      </w:r>
      <w:r w:rsidRPr="00F114D0">
        <w:t xml:space="preserve">, a mis en paiement </w:t>
      </w:r>
      <w:r w:rsidR="00D97940" w:rsidRPr="00F114D0">
        <w:t>deux mandats n° 33855</w:t>
      </w:r>
      <w:r w:rsidR="00D97940" w:rsidRPr="007E27CD">
        <w:t xml:space="preserve"> et n° 33856 (bordereau n°</w:t>
      </w:r>
      <w:r w:rsidR="00F711D0">
        <w:t> </w:t>
      </w:r>
      <w:r w:rsidR="00D97940" w:rsidRPr="007E27CD">
        <w:t>2097 en date du 23 décembre 2011) au profit de MM.</w:t>
      </w:r>
      <w:r w:rsidR="00F711D0">
        <w:t> </w:t>
      </w:r>
      <w:r w:rsidR="00732062">
        <w:t>B</w:t>
      </w:r>
      <w:r w:rsidR="00D97940" w:rsidRPr="007E27CD">
        <w:t xml:space="preserve"> et </w:t>
      </w:r>
      <w:r w:rsidR="00732062">
        <w:t>C</w:t>
      </w:r>
      <w:r w:rsidR="00D97940" w:rsidRPr="007E27CD">
        <w:t xml:space="preserve"> pour un montant total de 642,07 €</w:t>
      </w:r>
      <w:r w:rsidRPr="007E27CD">
        <w:t xml:space="preserve">, </w:t>
      </w:r>
      <w:r w:rsidR="00D97940" w:rsidRPr="007E27CD">
        <w:t>corresp</w:t>
      </w:r>
      <w:r w:rsidRPr="007E27CD">
        <w:t>ondants à des frais de mission ;</w:t>
      </w:r>
    </w:p>
    <w:p w:rsidR="00D97940" w:rsidRPr="007E27CD" w:rsidRDefault="006332B7" w:rsidP="00442D13">
      <w:pPr>
        <w:pStyle w:val="Corpsdetexte"/>
      </w:pPr>
      <w:r w:rsidRPr="007E27CD">
        <w:t>Attendu que le réquisitoire du Procureur général</w:t>
      </w:r>
      <w:r w:rsidR="00860B19">
        <w:t xml:space="preserve"> retient comme élément à charge</w:t>
      </w:r>
      <w:r w:rsidRPr="007E27CD">
        <w:t xml:space="preserve"> le fait </w:t>
      </w:r>
      <w:r w:rsidR="00D97940" w:rsidRPr="007E27CD">
        <w:t xml:space="preserve">que les mandatements ne sont pas signés, que les conditions dans lesquelles ces ordres de payer ont été </w:t>
      </w:r>
      <w:r w:rsidR="005749EA">
        <w:t>émis</w:t>
      </w:r>
      <w:r w:rsidR="00D97940" w:rsidRPr="007E27CD">
        <w:t xml:space="preserve"> ne permett</w:t>
      </w:r>
      <w:r w:rsidR="005749EA">
        <w:t>e</w:t>
      </w:r>
      <w:r w:rsidR="00D97940" w:rsidRPr="007E27CD">
        <w:t>nt pas de s’assurer que le comptable a eu la possibilité de vérif</w:t>
      </w:r>
      <w:r w:rsidR="00332421">
        <w:t>ier que l</w:t>
      </w:r>
      <w:r w:rsidR="00332421" w:rsidRPr="007E27CD">
        <w:t>es personnes à l’origine de ces ordres de payer</w:t>
      </w:r>
      <w:r w:rsidR="00332421">
        <w:t xml:space="preserve"> avaient bien la qualité d’ordonnateur</w:t>
      </w:r>
      <w:r w:rsidR="00D97940" w:rsidRPr="007E27CD">
        <w:t xml:space="preserve"> ou de délégué de l’ordonnateur</w:t>
      </w:r>
      <w:r w:rsidR="009A2935">
        <w:t> ;</w:t>
      </w:r>
      <w:r w:rsidR="00D97940" w:rsidRPr="007E27CD">
        <w:t xml:space="preserve"> que le visa qui figure seulement sur les ordres de mission joints, ne fait p</w:t>
      </w:r>
      <w:r w:rsidRPr="007E27CD">
        <w:t>as mention du nom du signataire ;</w:t>
      </w:r>
    </w:p>
    <w:p w:rsidR="00D97940" w:rsidRPr="007E27CD" w:rsidRDefault="006332B7" w:rsidP="00442D13">
      <w:pPr>
        <w:pStyle w:val="Corpsdetexte"/>
      </w:pPr>
      <w:r w:rsidRPr="007E27CD">
        <w:t xml:space="preserve">Attendu qu’en réponse le comptable justifie </w:t>
      </w:r>
      <w:r w:rsidR="00D97940" w:rsidRPr="007E27CD">
        <w:t xml:space="preserve">l’absence de contrôle de la signature de l’ordonnateur par </w:t>
      </w:r>
      <w:r w:rsidR="00332421">
        <w:t>le nombre</w:t>
      </w:r>
      <w:r w:rsidR="00D97940" w:rsidRPr="007E27CD">
        <w:t xml:space="preserve"> de mandats à traiter </w:t>
      </w:r>
      <w:r w:rsidR="00332421" w:rsidRPr="007E27CD">
        <w:t>dans un délai limité</w:t>
      </w:r>
      <w:r w:rsidR="009A2935">
        <w:t xml:space="preserve"> </w:t>
      </w:r>
      <w:r w:rsidR="00D97940" w:rsidRPr="007E27CD">
        <w:t>en période de clôture comptable</w:t>
      </w:r>
      <w:r w:rsidR="009A2935">
        <w:t> </w:t>
      </w:r>
      <w:r w:rsidRPr="007E27CD">
        <w:t xml:space="preserve">; que </w:t>
      </w:r>
      <w:r w:rsidR="00D97940" w:rsidRPr="007E27CD">
        <w:t>ces dépenses correspondaient à des engagements budgétaires de l’ordonnateur conformément aux ordres de missions jo</w:t>
      </w:r>
      <w:r w:rsidRPr="007E27CD">
        <w:t>ints au paiement de ces mandats ;</w:t>
      </w:r>
      <w:r w:rsidR="00D95642" w:rsidRPr="00D95642">
        <w:t xml:space="preserve"> </w:t>
      </w:r>
      <w:r w:rsidR="000259F0">
        <w:t xml:space="preserve">qu’il ajoute </w:t>
      </w:r>
      <w:r w:rsidR="00D95642" w:rsidRPr="00D95642">
        <w:t>que la mise en cause de la responsabilité personnelle et pécuniaire du comptable procurerait à l’</w:t>
      </w:r>
      <w:r w:rsidR="003F4391">
        <w:t>INRIA</w:t>
      </w:r>
      <w:r w:rsidR="00D95642" w:rsidRPr="00D95642">
        <w:t xml:space="preserve"> un enrichissement sans cause</w:t>
      </w:r>
      <w:r w:rsidR="009A2935">
        <w:t> </w:t>
      </w:r>
      <w:r w:rsidR="00D95642" w:rsidRPr="00D95642">
        <w:t>;</w:t>
      </w:r>
    </w:p>
    <w:p w:rsidR="000E6A10" w:rsidRPr="007B3593" w:rsidRDefault="000E6A10" w:rsidP="007B3593">
      <w:pPr>
        <w:pStyle w:val="Corpsdetexte"/>
      </w:pPr>
      <w:r w:rsidRPr="007B3593">
        <w:t>Considérant qu’en dépenses</w:t>
      </w:r>
      <w:r w:rsidR="00332421">
        <w:t>,</w:t>
      </w:r>
      <w:r w:rsidRPr="007B3593">
        <w:t xml:space="preserve"> le comptable est tenu d’exercer les contrôles prescrits par le décret du 29 décembre 1962 portant règlement général sur la comptabilité publique notamment à l’article 11 qui  précise que les comptables publics sont seuls chargés du paiement des dépenses notamment sur ordres émanant des ordonnateurs accrédités ; que l’article 28 précise qu’avant d’être payées, les dépenses sont engagées, liquidées et, le cas échéant, ordonnancées ; que l’article 32 prévoit que l’ordonnancement des dépenses est prescrit soit directement par les ordonnateurs principaux, soit par les ordonnateurs secondaires ; que l’article 170 dispose que les ordres de dépenses, établis par l’ordonnateur sont transmis, accompagnés des pièces justificatives à l’agent comptable qui les prend en charge et procède à leur règlement ;</w:t>
      </w:r>
    </w:p>
    <w:p w:rsidR="000E6A10" w:rsidRPr="007B3593" w:rsidRDefault="000E6A10" w:rsidP="007B3593">
      <w:pPr>
        <w:pStyle w:val="Corpsdetexte"/>
      </w:pPr>
      <w:r w:rsidRPr="007B3593">
        <w:t>Considérant que l’instruction de la direction générale des finances publiques n° 03</w:t>
      </w:r>
      <w:r w:rsidR="009A2935">
        <w:t>-</w:t>
      </w:r>
      <w:r w:rsidRPr="007B3593">
        <w:t>043</w:t>
      </w:r>
      <w:r w:rsidR="009A2935">
        <w:t>-</w:t>
      </w:r>
      <w:r w:rsidRPr="007B3593">
        <w:t>M9 du 25 juillet 2003, en vigueur à l’époque des paiements, précisait explicitement que la signature de l’ordonnateur sur le bordereau d’émission des ordres de dépenses, vaut ordre de payer et certification du service fait ; qu’elle précisait par ailleurs qu’en application des articles 12 et 13 du décret du 29 décembre 1962, le comptable ne contrôlera plus que la seule signature de l’ordonnateur accompagnée de la mention « pour valoir certification du service fait et ordre de payer » sur le bordereau ;</w:t>
      </w:r>
    </w:p>
    <w:p w:rsidR="000E6A10" w:rsidRDefault="000E6A10" w:rsidP="007B3593">
      <w:pPr>
        <w:pStyle w:val="Corpsdetexte"/>
      </w:pPr>
      <w:r w:rsidRPr="007B3593">
        <w:t xml:space="preserve">Considérant que le comptable, ne disposant pas de la signature de l’ordonnateur, n’a pas procédé au contrôle auquel il </w:t>
      </w:r>
      <w:r w:rsidR="00332421">
        <w:t>était</w:t>
      </w:r>
      <w:r w:rsidRPr="007B3593">
        <w:t xml:space="preserve"> tenu en vertu de l’article 12</w:t>
      </w:r>
      <w:r w:rsidR="009A2935">
        <w:t xml:space="preserve"> </w:t>
      </w:r>
      <w:r w:rsidRPr="007B3593">
        <w:t>B du décret du 29 décembre 1962 portant règlement général sur la comptabilité publique ; qu’il a de ce fait manqué à ses obligations et engagé sa responsabilité</w:t>
      </w:r>
      <w:r w:rsidR="009A2935">
        <w:t xml:space="preserve"> </w:t>
      </w:r>
      <w:r w:rsidRPr="007B3593">
        <w:t xml:space="preserve">au titre de l’article 60 de la </w:t>
      </w:r>
      <w:r w:rsidR="00C51D37">
        <w:t>loi n° 63-156 du 23 février 1963</w:t>
      </w:r>
      <w:r w:rsidRPr="007B3593">
        <w:t> ;</w:t>
      </w:r>
    </w:p>
    <w:p w:rsidR="00D95642" w:rsidRPr="00732F65" w:rsidRDefault="00D95642" w:rsidP="00D95642">
      <w:pPr>
        <w:spacing w:after="120"/>
        <w:rPr>
          <w:rFonts w:eastAsia="Calibri"/>
        </w:rPr>
      </w:pPr>
      <w:r w:rsidRPr="00732F65">
        <w:rPr>
          <w:rFonts w:eastAsia="Calibri"/>
        </w:rPr>
        <w:t xml:space="preserve">Attendu que le moyen selon lequel la mise en cause de la responsabilité personnelle et pécuniaire du comptable procurerait à l’établissement un enrichissement sans cause n’est pas </w:t>
      </w:r>
      <w:r w:rsidR="00332421" w:rsidRPr="00732F65">
        <w:rPr>
          <w:rFonts w:eastAsia="Calibri"/>
        </w:rPr>
        <w:t>démontré</w:t>
      </w:r>
      <w:r w:rsidR="009A2935">
        <w:rPr>
          <w:rFonts w:eastAsia="Calibri"/>
        </w:rPr>
        <w:t> ;</w:t>
      </w:r>
    </w:p>
    <w:p w:rsidR="000E6A10" w:rsidRPr="007B3593" w:rsidRDefault="000E6A10" w:rsidP="007B3593">
      <w:pPr>
        <w:pStyle w:val="Corpsdetexte"/>
      </w:pPr>
      <w:r w:rsidRPr="007B3593">
        <w:lastRenderedPageBreak/>
        <w:t>Attendu qu’en l’espèce, le moyen tiré d’une éventuelle «</w:t>
      </w:r>
      <w:r w:rsidR="00C1668E">
        <w:t> </w:t>
      </w:r>
      <w:r w:rsidRPr="007B3593">
        <w:t>force majeure</w:t>
      </w:r>
      <w:r w:rsidR="00C1668E">
        <w:t> </w:t>
      </w:r>
      <w:r w:rsidRPr="007B3593">
        <w:t xml:space="preserve">» prévu par l’article 60-V de la </w:t>
      </w:r>
      <w:r w:rsidR="00C51D37">
        <w:t>loi n° 63-156 du 23 février 1963</w:t>
      </w:r>
      <w:r w:rsidRPr="007B3593">
        <w:t xml:space="preserve">, n’est </w:t>
      </w:r>
      <w:r w:rsidR="00B66D08">
        <w:t>pas</w:t>
      </w:r>
      <w:r w:rsidR="00332421">
        <w:t xml:space="preserve"> </w:t>
      </w:r>
      <w:r w:rsidRPr="007B3593">
        <w:t>allégué ;</w:t>
      </w:r>
    </w:p>
    <w:p w:rsidR="000E6A10" w:rsidRPr="007B3593" w:rsidRDefault="000E6A10" w:rsidP="007B3593">
      <w:pPr>
        <w:pStyle w:val="Corpsdetexte"/>
      </w:pPr>
      <w:r w:rsidRPr="007B3593">
        <w:t>Attendu que faute de signature de l’ordonnateur, le comptable ne disposait pas d’ordre de payer ; qu’ainsi l’établissement n’était pa</w:t>
      </w:r>
      <w:r w:rsidR="00332421">
        <w:t>s redevable des sommes en cause</w:t>
      </w:r>
      <w:r w:rsidRPr="007B3593">
        <w:t xml:space="preserve"> ; que la mise en paiement de ces dépenses par le comptable porte un préjudice financier à l’établissement ; qu’en conséquence il est fait application des dispositions l’article 60-VI, 3ème alinéa de la </w:t>
      </w:r>
      <w:r w:rsidR="00C51D37">
        <w:t>loi n° 63-156 du 23 février 1963</w:t>
      </w:r>
      <w:r w:rsidRPr="007B3593">
        <w:t xml:space="preserve"> ;</w:t>
      </w:r>
    </w:p>
    <w:p w:rsidR="008C0629" w:rsidRPr="008C0629" w:rsidRDefault="008C0629" w:rsidP="008C0629">
      <w:pPr>
        <w:spacing w:after="120"/>
      </w:pPr>
      <w:r w:rsidRPr="008C0629">
        <w:t>Attendu que</w:t>
      </w:r>
      <w:r w:rsidR="00F711D0">
        <w:t xml:space="preserve"> pour l’application du 2</w:t>
      </w:r>
      <w:r w:rsidR="00F711D0" w:rsidRPr="00A12E56">
        <w:rPr>
          <w:vertAlign w:val="superscript"/>
        </w:rPr>
        <w:t>ème</w:t>
      </w:r>
      <w:r w:rsidR="00F711D0">
        <w:t xml:space="preserve"> alinéa du IX de l’article</w:t>
      </w:r>
      <w:r w:rsidR="00C1668E">
        <w:t xml:space="preserve"> </w:t>
      </w:r>
      <w:r w:rsidR="00F711D0">
        <w:t>60 modifié de la loi n° 63-156</w:t>
      </w:r>
      <w:r w:rsidR="00E721C2">
        <w:t>,</w:t>
      </w:r>
      <w:r w:rsidR="00F711D0">
        <w:t xml:space="preserve"> </w:t>
      </w:r>
      <w:r w:rsidRPr="008C0629">
        <w:t>mention est faite qu’un contrôle sélectif a été mis en place pour cette catégorie de dépenses ;</w:t>
      </w:r>
    </w:p>
    <w:p w:rsidR="000E6A10" w:rsidRPr="007B3593" w:rsidRDefault="000E6A10" w:rsidP="007B3593">
      <w:pPr>
        <w:pStyle w:val="Corpsdetexte"/>
      </w:pPr>
      <w:r w:rsidRPr="007B3593">
        <w:t>Par ces motifs,</w:t>
      </w:r>
    </w:p>
    <w:p w:rsidR="000E6A10" w:rsidRPr="008C0629" w:rsidRDefault="000E6A10" w:rsidP="008C0629">
      <w:pPr>
        <w:pStyle w:val="Corpsdetexte"/>
      </w:pPr>
      <w:r w:rsidRPr="008C0629">
        <w:t>-</w:t>
      </w:r>
      <w:r w:rsidR="00F711D0">
        <w:t> </w:t>
      </w:r>
      <w:r w:rsidRPr="008C0629">
        <w:t>M.</w:t>
      </w:r>
      <w:r w:rsidR="00F711D0">
        <w:t> </w:t>
      </w:r>
      <w:r w:rsidR="00732062">
        <w:t>A</w:t>
      </w:r>
      <w:r w:rsidRPr="008C0629">
        <w:t xml:space="preserve"> est constitué débiteur envers l’</w:t>
      </w:r>
      <w:r w:rsidR="003F4391">
        <w:t>INRIA</w:t>
      </w:r>
      <w:r w:rsidRPr="008C0629">
        <w:t xml:space="preserve">, au titre de </w:t>
      </w:r>
      <w:r w:rsidR="000259F0">
        <w:t>s</w:t>
      </w:r>
      <w:r w:rsidRPr="008C0629">
        <w:t>a gestion 201</w:t>
      </w:r>
      <w:r w:rsidR="007B3593" w:rsidRPr="008C0629">
        <w:t>1</w:t>
      </w:r>
      <w:r w:rsidRPr="008C0629">
        <w:t xml:space="preserve">, de la somme de </w:t>
      </w:r>
      <w:r w:rsidR="007B3593" w:rsidRPr="008C0629">
        <w:t xml:space="preserve">six cent quarante-deux euros et sept centimes </w:t>
      </w:r>
      <w:r w:rsidRPr="008C0629">
        <w:t>(</w:t>
      </w:r>
      <w:r w:rsidR="007B3593" w:rsidRPr="008C0629">
        <w:t>642,07</w:t>
      </w:r>
      <w:r w:rsidR="00F711D0">
        <w:t> </w:t>
      </w:r>
      <w:r w:rsidR="007B3593" w:rsidRPr="008C0629">
        <w:t>€</w:t>
      </w:r>
      <w:r w:rsidRPr="008C0629">
        <w:t xml:space="preserve">), augmentée des intérêts de droit à compter du </w:t>
      </w:r>
      <w:r w:rsidR="008C0629">
        <w:t xml:space="preserve">20 avril 2013 </w:t>
      </w:r>
      <w:r w:rsidRPr="008C0629">
        <w:t>date de la réception du réquisitoire par le comptable ;</w:t>
      </w:r>
    </w:p>
    <w:p w:rsidR="00D97940" w:rsidRPr="00830236" w:rsidRDefault="008C0629" w:rsidP="00C1668E">
      <w:pPr>
        <w:pStyle w:val="Corpsdetexte"/>
        <w:spacing w:before="360"/>
        <w:rPr>
          <w:b/>
          <w:i/>
          <w:u w:val="single"/>
        </w:rPr>
      </w:pPr>
      <w:bookmarkStart w:id="28" w:name="_Toc370115398"/>
      <w:bookmarkStart w:id="29" w:name="_Toc362618123"/>
      <w:bookmarkStart w:id="30" w:name="_Toc370896987"/>
      <w:r w:rsidRPr="00830236">
        <w:rPr>
          <w:b/>
          <w:i/>
          <w:u w:val="single"/>
        </w:rPr>
        <w:t>C</w:t>
      </w:r>
      <w:r w:rsidR="007F1C48" w:rsidRPr="00830236">
        <w:rPr>
          <w:b/>
          <w:i/>
          <w:u w:val="single"/>
        </w:rPr>
        <w:t>harge n° 13</w:t>
      </w:r>
      <w:bookmarkEnd w:id="28"/>
      <w:bookmarkEnd w:id="29"/>
      <w:bookmarkEnd w:id="30"/>
    </w:p>
    <w:p w:rsidR="00D97940" w:rsidRPr="007E27CD" w:rsidRDefault="007F1C48" w:rsidP="00442D13">
      <w:pPr>
        <w:pStyle w:val="Corpsdetexte"/>
      </w:pPr>
      <w:r w:rsidRPr="007E27CD">
        <w:t xml:space="preserve">Attendu que </w:t>
      </w:r>
      <w:r w:rsidR="00732062">
        <w:t>M. A</w:t>
      </w:r>
      <w:r w:rsidRPr="007E27CD">
        <w:t>, agent comptable de l’</w:t>
      </w:r>
      <w:r w:rsidR="003F4391">
        <w:t>INRIA</w:t>
      </w:r>
      <w:r w:rsidRPr="007E27CD">
        <w:t xml:space="preserve">, a mis en paiement </w:t>
      </w:r>
      <w:r w:rsidR="00D97940" w:rsidRPr="007E27CD">
        <w:t>deux mandats imputés au compte n° 6378  « taxes diverse</w:t>
      </w:r>
      <w:r w:rsidRPr="007E27CD">
        <w:t>s</w:t>
      </w:r>
      <w:r w:rsidR="00D97940" w:rsidRPr="007E27CD">
        <w:t> » au cours de l’exer</w:t>
      </w:r>
      <w:r w:rsidRPr="007E27CD">
        <w:t>cice</w:t>
      </w:r>
      <w:r w:rsidR="00C1668E">
        <w:t xml:space="preserve"> </w:t>
      </w:r>
      <w:r w:rsidRPr="007E27CD">
        <w:t>2011 d’un montant de 195 €, correspondant</w:t>
      </w:r>
      <w:r w:rsidR="00D97940" w:rsidRPr="007E27CD">
        <w:t xml:space="preserve"> au remboursement</w:t>
      </w:r>
      <w:r w:rsidR="003674CE">
        <w:t xml:space="preserve"> à des personnes de nationalité étrangère</w:t>
      </w:r>
      <w:r w:rsidR="00D97940" w:rsidRPr="007E27CD">
        <w:t xml:space="preserve"> de taxes dont celles-ci s’étaient déjà acquittées au titre des droits à</w:t>
      </w:r>
      <w:r w:rsidRPr="007E27CD">
        <w:t xml:space="preserve"> payer sur les permis de séjour ;</w:t>
      </w:r>
    </w:p>
    <w:p w:rsidR="003674CE" w:rsidRPr="00A2171B" w:rsidRDefault="003674CE" w:rsidP="003674CE">
      <w:pPr>
        <w:pStyle w:val="Corpsdetexte"/>
      </w:pPr>
      <w:r w:rsidRPr="00A2171B">
        <w:t>Attendu que le réquisitoire du Procureur général retient comme élément à charge que le remboursement d’une dépense pe</w:t>
      </w:r>
      <w:r>
        <w:t>rsonnelle d’</w:t>
      </w:r>
      <w:r w:rsidRPr="00A2171B">
        <w:t>agents de l’établissement</w:t>
      </w:r>
      <w:r>
        <w:t xml:space="preserve"> public </w:t>
      </w:r>
      <w:r w:rsidRPr="00A2171B">
        <w:t xml:space="preserve">sur décision de son représentant légal et ordonnateur, ne présente pas le caractère de taxe, mais </w:t>
      </w:r>
      <w:r>
        <w:t xml:space="preserve">celui </w:t>
      </w:r>
      <w:r w:rsidRPr="00A2171B">
        <w:t xml:space="preserve">d’un avantage personnel </w:t>
      </w:r>
      <w:r>
        <w:t>ne relevant</w:t>
      </w:r>
      <w:r w:rsidRPr="00A2171B">
        <w:t xml:space="preserve"> pas de l’imputation budgétaire retenue ;</w:t>
      </w:r>
    </w:p>
    <w:p w:rsidR="003674CE" w:rsidRPr="00A2171B" w:rsidRDefault="003674CE" w:rsidP="003674CE">
      <w:pPr>
        <w:pStyle w:val="Corpsdetexte"/>
      </w:pPr>
      <w:r w:rsidRPr="00A2171B">
        <w:t>Attendu qu’en réponse le comptable se limite à justifier que les dépenses en cause étai</w:t>
      </w:r>
      <w:r>
        <w:t>en</w:t>
      </w:r>
      <w:r w:rsidRPr="00A2171B">
        <w:t>t imputable</w:t>
      </w:r>
      <w:r>
        <w:t>s</w:t>
      </w:r>
      <w:r w:rsidRPr="00A2171B">
        <w:t xml:space="preserve"> au budget d</w:t>
      </w:r>
      <w:r>
        <w:t>e l</w:t>
      </w:r>
      <w:r w:rsidRPr="00A2171B">
        <w:t>’</w:t>
      </w:r>
      <w:r>
        <w:t>INRIA</w:t>
      </w:r>
      <w:r w:rsidRPr="00A2171B">
        <w:t xml:space="preserve"> ; que le paiement de ces mandats </w:t>
      </w:r>
      <w:r>
        <w:t>résultait de</w:t>
      </w:r>
      <w:r w:rsidRPr="00A2171B">
        <w:t xml:space="preserve"> la décision n° 6984 du directeur général de l’</w:t>
      </w:r>
      <w:r>
        <w:t>INRIA</w:t>
      </w:r>
      <w:r w:rsidRPr="00A2171B">
        <w:t xml:space="preserve"> autorisant le remboursement de la taxe de délivrance d’un titre de séjour et l’attestation du service fait sur les pièces justif</w:t>
      </w:r>
      <w:r>
        <w:t>icatives correspondantes ; que c</w:t>
      </w:r>
      <w:r w:rsidRPr="00A2171B">
        <w:t>es paiement</w:t>
      </w:r>
      <w:r>
        <w:t>s</w:t>
      </w:r>
      <w:r w:rsidRPr="00A2171B">
        <w:t xml:space="preserve"> n’ont pas causé de préjudice financier pour l’</w:t>
      </w:r>
      <w:r>
        <w:t>INRIA</w:t>
      </w:r>
      <w:r w:rsidRPr="00A2171B">
        <w:t> ;</w:t>
      </w:r>
      <w:r w:rsidRPr="00D95642">
        <w:t xml:space="preserve"> </w:t>
      </w:r>
      <w:r>
        <w:t xml:space="preserve">qu’il ajoute </w:t>
      </w:r>
      <w:r w:rsidRPr="00D95642">
        <w:t>que la mise en cause de la responsabilité personnelle et pécuniaire du comptable procurerait à l’</w:t>
      </w:r>
      <w:r>
        <w:t>INRIA</w:t>
      </w:r>
      <w:r w:rsidRPr="00D95642">
        <w:t xml:space="preserve"> un enrichissement sans cause</w:t>
      </w:r>
      <w:r w:rsidR="00C1668E">
        <w:t> ;</w:t>
      </w:r>
    </w:p>
    <w:p w:rsidR="003674CE" w:rsidRPr="00A2171B" w:rsidRDefault="003674CE" w:rsidP="003674CE">
      <w:pPr>
        <w:pStyle w:val="Corpsdetexte"/>
      </w:pPr>
      <w:r w:rsidRPr="00A2171B">
        <w:t xml:space="preserve">Attendu que les arguments du comptable ne répondent </w:t>
      </w:r>
      <w:r>
        <w:t xml:space="preserve">pas </w:t>
      </w:r>
      <w:r w:rsidRPr="00A2171B">
        <w:t>au moyen soulevé par réquisitoire du Procureur général</w:t>
      </w:r>
      <w:r w:rsidR="00C1668E">
        <w:t>,</w:t>
      </w:r>
      <w:r w:rsidRPr="00A2171B">
        <w:t xml:space="preserve"> à savoir l’imputation de la dépense ; qu’ils </w:t>
      </w:r>
      <w:r>
        <w:t>doivent de</w:t>
      </w:r>
      <w:r w:rsidRPr="00A2171B">
        <w:t xml:space="preserve"> ce fait </w:t>
      </w:r>
      <w:r>
        <w:t>être écartés</w:t>
      </w:r>
      <w:r w:rsidRPr="00A2171B">
        <w:t> ;</w:t>
      </w:r>
    </w:p>
    <w:p w:rsidR="003674CE" w:rsidRPr="00A2171B" w:rsidRDefault="003674CE" w:rsidP="003674CE">
      <w:pPr>
        <w:pStyle w:val="Corpsdetexte"/>
      </w:pPr>
      <w:r w:rsidRPr="00A2171B">
        <w:t>Attendu que la décision n° 6984 du direct</w:t>
      </w:r>
      <w:r>
        <w:t>eur général n’est pas en cause et</w:t>
      </w:r>
      <w:r w:rsidRPr="00A2171B">
        <w:t xml:space="preserve"> </w:t>
      </w:r>
      <w:r>
        <w:t>qu’</w:t>
      </w:r>
      <w:r w:rsidRPr="00A2171B">
        <w:t>il ne revenait pas au comptable d’en contester la régularité ;</w:t>
      </w:r>
    </w:p>
    <w:p w:rsidR="003674CE" w:rsidRPr="00C47E3B" w:rsidRDefault="003674CE" w:rsidP="003674CE">
      <w:pPr>
        <w:pStyle w:val="Corpsdetexte"/>
      </w:pPr>
      <w:r w:rsidRPr="00C47E3B">
        <w:t xml:space="preserve">Considérant que l’article L. 311-15 du code de l'entrée et du séjour des étrangers et du droit d'asile prévoit que les organismes de recherche publics sont exonérés de la taxe prévue au premier alinéa ; que le comptable public ne pouvait donc </w:t>
      </w:r>
      <w:r w:rsidRPr="00C47E3B">
        <w:lastRenderedPageBreak/>
        <w:t>imputer sur le compte n°</w:t>
      </w:r>
      <w:r w:rsidR="001F5796">
        <w:t> </w:t>
      </w:r>
      <w:r w:rsidRPr="00C47E3B">
        <w:t>6378 une taxe dont l’établissement est exonéré</w:t>
      </w:r>
      <w:r w:rsidR="00C1668E">
        <w:t> </w:t>
      </w:r>
      <w:r w:rsidRPr="00C47E3B">
        <w:t xml:space="preserve">; que le </w:t>
      </w:r>
      <w:r>
        <w:t>remboursement d’une</w:t>
      </w:r>
      <w:r w:rsidRPr="00C47E3B">
        <w:t xml:space="preserve"> </w:t>
      </w:r>
      <w:r>
        <w:t>taxe due à titre personnel par des agents</w:t>
      </w:r>
      <w:r w:rsidRPr="00C47E3B">
        <w:t xml:space="preserve"> contractuel</w:t>
      </w:r>
      <w:r>
        <w:t>s</w:t>
      </w:r>
      <w:r w:rsidRPr="00C47E3B">
        <w:t xml:space="preserve"> étranger</w:t>
      </w:r>
      <w:r>
        <w:t>s n’érige pas</w:t>
      </w:r>
      <w:r w:rsidRPr="00C47E3B">
        <w:t xml:space="preserve"> pour autant, cette dépense en taxe </w:t>
      </w:r>
      <w:r>
        <w:t>imputable à</w:t>
      </w:r>
      <w:r w:rsidRPr="00C47E3B">
        <w:t xml:space="preserve"> l’établissement ; </w:t>
      </w:r>
      <w:r>
        <w:t>qu’ainsi,</w:t>
      </w:r>
      <w:r w:rsidRPr="00C47E3B">
        <w:t xml:space="preserve"> l’imputation au compte n°</w:t>
      </w:r>
      <w:r w:rsidR="001F5796">
        <w:t> </w:t>
      </w:r>
      <w:r w:rsidRPr="00C47E3B">
        <w:t xml:space="preserve">6378 « </w:t>
      </w:r>
      <w:r w:rsidRPr="00C47E3B">
        <w:rPr>
          <w:i/>
        </w:rPr>
        <w:t>taxes diverses</w:t>
      </w:r>
      <w:r w:rsidRPr="00C47E3B">
        <w:t xml:space="preserve"> » est erronée</w:t>
      </w:r>
      <w:r w:rsidR="00C1668E">
        <w:t> ;</w:t>
      </w:r>
    </w:p>
    <w:p w:rsidR="003674CE" w:rsidRPr="00C47E3B" w:rsidRDefault="003674CE" w:rsidP="003674CE">
      <w:pPr>
        <w:pStyle w:val="Corpsdetexte"/>
      </w:pPr>
      <w:r w:rsidRPr="00C47E3B">
        <w:t>Considérant que conformément à l’article 12-B du décret du 29</w:t>
      </w:r>
      <w:r w:rsidR="00C1668E">
        <w:t xml:space="preserve"> </w:t>
      </w:r>
      <w:r w:rsidRPr="00C47E3B">
        <w:t>décembre 1962</w:t>
      </w:r>
      <w:r w:rsidRPr="00DE1B0F">
        <w:t xml:space="preserve"> portant règlement général sur la comptabilité publique</w:t>
      </w:r>
      <w:r w:rsidRPr="00C47E3B">
        <w:t>, les comptables sont tenus d’assurer le contrôle de l’exacte imputation des dépenses aux chapitres qu’elles concernent</w:t>
      </w:r>
      <w:r w:rsidR="00C1668E">
        <w:t> </w:t>
      </w:r>
      <w:r w:rsidRPr="00C47E3B">
        <w:t>; qu’en ne s’assurant pas de l’exacte imputation, le comptable a, de ce fait, manqué à ses obligations et engagé sa responsabilité au titre</w:t>
      </w:r>
      <w:r w:rsidR="00907AC6">
        <w:t xml:space="preserve"> de</w:t>
      </w:r>
      <w:r w:rsidRPr="00C47E3B">
        <w:t xml:space="preserve"> l’article 60 de la </w:t>
      </w:r>
      <w:r>
        <w:t>loi n° 63</w:t>
      </w:r>
      <w:r w:rsidR="00C1668E">
        <w:t>-</w:t>
      </w:r>
      <w:r w:rsidRPr="00C47E3B">
        <w:t>156 du 23 février 1963 ;</w:t>
      </w:r>
    </w:p>
    <w:p w:rsidR="003674CE" w:rsidRPr="00732F65" w:rsidRDefault="003674CE" w:rsidP="003674CE">
      <w:pPr>
        <w:pStyle w:val="Corpsdetexte"/>
        <w:rPr>
          <w:rFonts w:eastAsia="Calibri"/>
        </w:rPr>
      </w:pPr>
      <w:r w:rsidRPr="00732F65">
        <w:rPr>
          <w:rFonts w:eastAsia="Calibri"/>
        </w:rPr>
        <w:t>Attendu que le moyen selon lequel la mise en cause de la responsabilité personnelle et pécuniaire du comptable procurerait à l’établissement un enrichissement</w:t>
      </w:r>
      <w:r w:rsidR="00C1668E">
        <w:rPr>
          <w:rFonts w:eastAsia="Calibri"/>
        </w:rPr>
        <w:t xml:space="preserve"> sans cause n’est pas démontré ;</w:t>
      </w:r>
    </w:p>
    <w:p w:rsidR="003674CE" w:rsidRPr="00C47E3B" w:rsidRDefault="003674CE" w:rsidP="003674CE">
      <w:pPr>
        <w:pStyle w:val="Corpsdetexte"/>
      </w:pPr>
      <w:r w:rsidRPr="00C47E3B">
        <w:t xml:space="preserve">Attendu qu’en l’espèce, le moyen tiré d’une éventuelle </w:t>
      </w:r>
      <w:r w:rsidR="00C1668E">
        <w:t>« </w:t>
      </w:r>
      <w:r w:rsidRPr="00C47E3B">
        <w:t>force majeure</w:t>
      </w:r>
      <w:r w:rsidR="00C1668E">
        <w:t> »</w:t>
      </w:r>
      <w:r w:rsidRPr="00C47E3B">
        <w:t xml:space="preserve"> prévu par l’article 60-V de la loi n° 63-156 du 23 février 1963, n’est </w:t>
      </w:r>
      <w:r>
        <w:t xml:space="preserve">pas </w:t>
      </w:r>
      <w:r w:rsidRPr="00C47E3B">
        <w:t>allégué</w:t>
      </w:r>
      <w:r w:rsidR="00C1668E">
        <w:t> ;</w:t>
      </w:r>
    </w:p>
    <w:p w:rsidR="003674CE" w:rsidRDefault="003674CE" w:rsidP="003674CE">
      <w:pPr>
        <w:pStyle w:val="Corpsdetexte"/>
        <w:rPr>
          <w:i/>
        </w:rPr>
      </w:pPr>
      <w:r w:rsidRPr="00C47E3B">
        <w:t xml:space="preserve">Attendu </w:t>
      </w:r>
      <w:r>
        <w:t>qu’</w:t>
      </w:r>
      <w:r w:rsidRPr="00C47E3B">
        <w:t>au titre des articles L. 311-13 et L. 311-14 du code de l'entrée et du séjour des étrangers et du droit d'asile</w:t>
      </w:r>
      <w:r>
        <w:t>, ces</w:t>
      </w:r>
      <w:r w:rsidRPr="00C47E3B">
        <w:t xml:space="preserve"> dépense</w:t>
      </w:r>
      <w:r>
        <w:t>s</w:t>
      </w:r>
      <w:r w:rsidRPr="00C47E3B">
        <w:t xml:space="preserve"> </w:t>
      </w:r>
      <w:r>
        <w:t>incombaient</w:t>
      </w:r>
      <w:r w:rsidRPr="00C47E3B">
        <w:t xml:space="preserve"> personnellement </w:t>
      </w:r>
      <w:r>
        <w:t>aux agents auxquels elles ont été remboursées</w:t>
      </w:r>
      <w:r w:rsidR="00C1668E">
        <w:t> </w:t>
      </w:r>
      <w:r w:rsidRPr="00C47E3B">
        <w:t xml:space="preserve">; </w:t>
      </w:r>
      <w:r>
        <w:t>qu’elles constituent donc</w:t>
      </w:r>
      <w:r w:rsidRPr="00C47E3B">
        <w:t xml:space="preserve"> des compléments de rémunération ; </w:t>
      </w:r>
      <w:r>
        <w:t>que l’</w:t>
      </w:r>
      <w:r w:rsidRPr="00C47E3B">
        <w:t xml:space="preserve">imputation </w:t>
      </w:r>
      <w:r>
        <w:t>faite par le comptable a abouti</w:t>
      </w:r>
      <w:r w:rsidRPr="00C47E3B">
        <w:t xml:space="preserve"> à une surévaluation du compte n° 6378 « taxes diverses » et </w:t>
      </w:r>
      <w:r>
        <w:t xml:space="preserve">à </w:t>
      </w:r>
      <w:r w:rsidRPr="00C47E3B">
        <w:t>une sous</w:t>
      </w:r>
      <w:r w:rsidR="00C1668E">
        <w:t>-</w:t>
      </w:r>
      <w:r w:rsidRPr="00C47E3B">
        <w:t>évaluation des comptes relatifs aux charges de personnel</w:t>
      </w:r>
      <w:r w:rsidR="00C1668E">
        <w:t xml:space="preserve"> </w:t>
      </w:r>
      <w:r>
        <w:t xml:space="preserve">devant </w:t>
      </w:r>
      <w:r w:rsidRPr="00C47E3B">
        <w:t xml:space="preserve">supporter des cotisations sociales ; que cette omission est susceptible de créer </w:t>
      </w:r>
      <w:r w:rsidR="00907AC6">
        <w:t xml:space="preserve">un </w:t>
      </w:r>
      <w:r w:rsidRPr="00C47E3B">
        <w:t xml:space="preserve">préjudice financier </w:t>
      </w:r>
      <w:r>
        <w:t xml:space="preserve">pour l’établissement, ce qui n’a cependant pas été </w:t>
      </w:r>
      <w:r w:rsidRPr="00C47E3B">
        <w:t xml:space="preserve">constaté </w:t>
      </w:r>
      <w:r>
        <w:t>lors</w:t>
      </w:r>
      <w:r w:rsidRPr="00C47E3B">
        <w:t xml:space="preserve"> de </w:t>
      </w:r>
      <w:r w:rsidRPr="00E21CB1">
        <w:t>l’instruction ;</w:t>
      </w:r>
    </w:p>
    <w:p w:rsidR="008E0650" w:rsidRPr="00A2171B" w:rsidRDefault="008E0650" w:rsidP="00A2171B">
      <w:pPr>
        <w:pStyle w:val="Corpsdetexte"/>
      </w:pPr>
      <w:r w:rsidRPr="00A2171B">
        <w:t>Considérant qu’en conséquence, il convient de faire application des dispositions de l’art</w:t>
      </w:r>
      <w:r w:rsidR="00185981">
        <w:t>icle 60-VI, 2</w:t>
      </w:r>
      <w:r w:rsidR="00185981" w:rsidRPr="00185981">
        <w:rPr>
          <w:vertAlign w:val="superscript"/>
        </w:rPr>
        <w:t>ème</w:t>
      </w:r>
      <w:r w:rsidR="00185981">
        <w:t xml:space="preserve"> </w:t>
      </w:r>
      <w:r w:rsidRPr="00A2171B">
        <w:t xml:space="preserve">aliéna, de la </w:t>
      </w:r>
      <w:r w:rsidR="00C51D37">
        <w:t>loi n° 63-156 du 23 février 1963</w:t>
      </w:r>
      <w:r w:rsidRPr="00A2171B">
        <w:t xml:space="preserve"> et de l’article 1 du décret n° 2012-1386 du 10 décembre 2012 ; que le cautionnement du poste comptable s’établissait </w:t>
      </w:r>
      <w:r w:rsidR="00A2171B" w:rsidRPr="00A2171B">
        <w:t>à</w:t>
      </w:r>
      <w:r w:rsidRPr="00A2171B">
        <w:t xml:space="preserve"> 19</w:t>
      </w:r>
      <w:r w:rsidR="003674CE">
        <w:t xml:space="preserve">9 600 </w:t>
      </w:r>
      <w:r w:rsidRPr="00A2171B">
        <w:t>€ ;</w:t>
      </w:r>
    </w:p>
    <w:p w:rsidR="00A2171B" w:rsidRPr="00A2171B" w:rsidRDefault="008E0650" w:rsidP="00A2171B">
      <w:pPr>
        <w:pStyle w:val="Corpsdetexte"/>
      </w:pPr>
      <w:r w:rsidRPr="00A2171B">
        <w:t>Attendu</w:t>
      </w:r>
      <w:r w:rsidR="00A2171B" w:rsidRPr="00A2171B">
        <w:t xml:space="preserve"> que le calcul de la somme non rémissible aboutit à un montant supérieur au manquement en cause ; qu’il peut être considéré qu’il s’agit là </w:t>
      </w:r>
      <w:r w:rsidR="00185981">
        <w:t>d’une circonstance de l’espèce</w:t>
      </w:r>
      <w:r w:rsidR="00C1668E">
        <w:t xml:space="preserve"> </w:t>
      </w:r>
      <w:r w:rsidR="00185981">
        <w:t>pour limiter le montant de cette somme à 195 € ;</w:t>
      </w:r>
    </w:p>
    <w:p w:rsidR="007B3593" w:rsidRDefault="007B3593" w:rsidP="00442D13">
      <w:pPr>
        <w:pStyle w:val="Corpsdetexte"/>
      </w:pPr>
      <w:r>
        <w:t>Par ces motifs,</w:t>
      </w:r>
    </w:p>
    <w:p w:rsidR="00637AF6" w:rsidRDefault="00A2171B" w:rsidP="00442D13">
      <w:pPr>
        <w:pStyle w:val="Corpsdetexte"/>
      </w:pPr>
      <w:r>
        <w:t>-</w:t>
      </w:r>
      <w:r w:rsidR="001F5796">
        <w:t xml:space="preserve"> La somme de 195 € est mise à la </w:t>
      </w:r>
      <w:r>
        <w:t>charge de M. </w:t>
      </w:r>
      <w:r w:rsidR="00732062">
        <w:t>A</w:t>
      </w:r>
      <w:r>
        <w:t xml:space="preserve"> pour le manquement précité</w:t>
      </w:r>
      <w:r w:rsidR="00C1668E">
        <w:t xml:space="preserve"> </w:t>
      </w:r>
      <w:r w:rsidR="008C0629">
        <w:t>au titre de sa gestion 2011 ;</w:t>
      </w:r>
    </w:p>
    <w:p w:rsidR="00185981" w:rsidRPr="007E27CD" w:rsidRDefault="00185981" w:rsidP="00185981">
      <w:pPr>
        <w:pStyle w:val="Corpsdetexte"/>
        <w:ind w:firstLine="0"/>
        <w:jc w:val="center"/>
      </w:pPr>
      <w:r w:rsidRPr="007E27CD">
        <w:t>----------</w:t>
      </w:r>
    </w:p>
    <w:p w:rsidR="00185981" w:rsidRPr="00185981" w:rsidRDefault="00185981" w:rsidP="00442D13">
      <w:pPr>
        <w:pStyle w:val="Corpsdetexte"/>
        <w:rPr>
          <w:b/>
          <w:i/>
          <w:u w:val="single"/>
        </w:rPr>
      </w:pPr>
      <w:r w:rsidRPr="00185981">
        <w:rPr>
          <w:b/>
          <w:i/>
          <w:u w:val="single"/>
        </w:rPr>
        <w:t>Décharge</w:t>
      </w:r>
    </w:p>
    <w:p w:rsidR="00185981" w:rsidRDefault="00185981" w:rsidP="00442D13">
      <w:pPr>
        <w:pStyle w:val="Corpsdetexte"/>
      </w:pPr>
      <w:r>
        <w:t xml:space="preserve">Attendu qu’aucune charge n’a été constaté sur l’exercice 2007 ; qu’il y a ainsi lieu de décharger </w:t>
      </w:r>
      <w:r w:rsidR="00732062">
        <w:t>M. X</w:t>
      </w:r>
      <w:r>
        <w:t xml:space="preserve"> de sa gestion 2007 ;</w:t>
      </w:r>
    </w:p>
    <w:p w:rsidR="00185981" w:rsidRDefault="00185981" w:rsidP="00442D13">
      <w:pPr>
        <w:pStyle w:val="Corpsdetexte"/>
      </w:pPr>
      <w:r w:rsidRPr="00185981">
        <w:t>Attendu qu’</w:t>
      </w:r>
      <w:r>
        <w:t xml:space="preserve">il n’a pas été </w:t>
      </w:r>
      <w:r w:rsidRPr="00185981">
        <w:t xml:space="preserve">constaté </w:t>
      </w:r>
      <w:r>
        <w:t>de charge sur l</w:t>
      </w:r>
      <w:r w:rsidR="00972D76">
        <w:t>a</w:t>
      </w:r>
      <w:r>
        <w:t xml:space="preserve"> gestion de</w:t>
      </w:r>
      <w:r w:rsidR="001F5796">
        <w:t> </w:t>
      </w:r>
      <w:r>
        <w:t>M. </w:t>
      </w:r>
      <w:r w:rsidR="00732062">
        <w:t>Y</w:t>
      </w:r>
      <w:r>
        <w:t xml:space="preserve"> du 3 mars 2008 au 31 décembre 2009</w:t>
      </w:r>
      <w:r w:rsidRPr="00185981">
        <w:t xml:space="preserve"> ; qu’il y a ainsi lieu de </w:t>
      </w:r>
      <w:r>
        <w:t xml:space="preserve">le </w:t>
      </w:r>
      <w:r w:rsidRPr="00185981">
        <w:t xml:space="preserve">décharger </w:t>
      </w:r>
      <w:r>
        <w:t>pour cette période ;</w:t>
      </w:r>
    </w:p>
    <w:p w:rsidR="001F5796" w:rsidRDefault="001F5796">
      <w:pPr>
        <w:spacing w:before="0" w:after="0"/>
        <w:ind w:left="0" w:firstLine="0"/>
        <w:jc w:val="left"/>
      </w:pPr>
      <w:r>
        <w:br w:type="page"/>
      </w:r>
    </w:p>
    <w:p w:rsidR="003D1478" w:rsidRDefault="003D1478" w:rsidP="00442D13">
      <w:pPr>
        <w:pStyle w:val="Corpsdetexte"/>
      </w:pPr>
      <w:r>
        <w:t>Par ces motifs,</w:t>
      </w:r>
    </w:p>
    <w:p w:rsidR="00972D76" w:rsidRDefault="003D1478" w:rsidP="003D1478">
      <w:pPr>
        <w:pStyle w:val="Corpsdetexte"/>
        <w:ind w:left="992" w:firstLine="709"/>
      </w:pPr>
      <w:r>
        <w:t>-</w:t>
      </w:r>
      <w:r w:rsidR="001F5796">
        <w:t> </w:t>
      </w:r>
      <w:r w:rsidR="00972D76">
        <w:t>M.</w:t>
      </w:r>
      <w:r w:rsidR="001F5796">
        <w:t> </w:t>
      </w:r>
      <w:r w:rsidR="00732062">
        <w:t>X</w:t>
      </w:r>
      <w:r w:rsidR="00972D76">
        <w:t xml:space="preserve"> est déchargé de sa gestion pour l’exercice 2007 ;</w:t>
      </w:r>
    </w:p>
    <w:p w:rsidR="00972D76" w:rsidRDefault="003D1478" w:rsidP="003D1478">
      <w:pPr>
        <w:pStyle w:val="Corpsdetexte"/>
        <w:ind w:left="992" w:firstLine="709"/>
      </w:pPr>
      <w:r>
        <w:t>-</w:t>
      </w:r>
      <w:r w:rsidR="001F5796">
        <w:t> </w:t>
      </w:r>
      <w:r>
        <w:t>M.</w:t>
      </w:r>
      <w:r w:rsidR="001F5796">
        <w:t> </w:t>
      </w:r>
      <w:r w:rsidR="00732062">
        <w:t>Y</w:t>
      </w:r>
      <w:r w:rsidR="00972D76">
        <w:t xml:space="preserve"> </w:t>
      </w:r>
      <w:r w:rsidR="00972D76" w:rsidRPr="00972D76">
        <w:t>est déchargé de sa gestion</w:t>
      </w:r>
      <w:r w:rsidR="00AF6756">
        <w:t xml:space="preserve"> du</w:t>
      </w:r>
      <w:r>
        <w:t xml:space="preserve"> 3 mars 2008 au 31 </w:t>
      </w:r>
      <w:r w:rsidR="00972D76" w:rsidRPr="00972D76">
        <w:t>décembre 2009</w:t>
      </w:r>
      <w:r w:rsidR="00E80037">
        <w:t>.</w:t>
      </w:r>
    </w:p>
    <w:p w:rsidR="00E354DC" w:rsidRPr="007E27CD" w:rsidRDefault="00E354DC" w:rsidP="008148FA">
      <w:pPr>
        <w:pStyle w:val="Corpsdetexte"/>
        <w:spacing w:after="240"/>
        <w:ind w:firstLine="0"/>
        <w:jc w:val="center"/>
      </w:pPr>
      <w:r w:rsidRPr="007E27CD">
        <w:t>----------</w:t>
      </w:r>
    </w:p>
    <w:p w:rsidR="00E354DC" w:rsidRPr="007E27CD" w:rsidRDefault="00E354DC" w:rsidP="00442D13">
      <w:pPr>
        <w:pStyle w:val="Corpsdetexte"/>
      </w:pPr>
      <w:r w:rsidRPr="007E27CD">
        <w:t>Fait et jugé en la Cour des comptes, troisième chambre, qu</w:t>
      </w:r>
      <w:r w:rsidR="00BB1A42" w:rsidRPr="007E27CD">
        <w:t>a</w:t>
      </w:r>
      <w:r w:rsidRPr="007E27CD">
        <w:t xml:space="preserve">trième section, le </w:t>
      </w:r>
      <w:r w:rsidR="007B3593">
        <w:t>vingt-neuf</w:t>
      </w:r>
      <w:r w:rsidR="00044D8A">
        <w:t xml:space="preserve"> novembre</w:t>
      </w:r>
      <w:r w:rsidR="00966745" w:rsidRPr="007E27CD">
        <w:t xml:space="preserve"> </w:t>
      </w:r>
      <w:r w:rsidRPr="007E27CD">
        <w:t xml:space="preserve">deux mil </w:t>
      </w:r>
      <w:r w:rsidR="00044D8A">
        <w:t>treize</w:t>
      </w:r>
      <w:r w:rsidR="001F5796">
        <w:t>.</w:t>
      </w:r>
      <w:r w:rsidRPr="007E27CD">
        <w:t xml:space="preserve"> </w:t>
      </w:r>
      <w:r w:rsidR="001F5796">
        <w:t>P</w:t>
      </w:r>
      <w:r w:rsidRPr="007E27CD">
        <w:t>résents : M</w:t>
      </w:r>
      <w:bookmarkStart w:id="31" w:name="_GoBack"/>
      <w:r w:rsidR="001F5796" w:rsidRPr="00C1668E">
        <w:rPr>
          <w:vertAlign w:val="superscript"/>
        </w:rPr>
        <w:t>me</w:t>
      </w:r>
      <w:bookmarkEnd w:id="31"/>
      <w:r w:rsidR="00966745" w:rsidRPr="007E27CD">
        <w:t> </w:t>
      </w:r>
      <w:proofErr w:type="spellStart"/>
      <w:r w:rsidR="007F1C48" w:rsidRPr="007E27CD">
        <w:t>Moati</w:t>
      </w:r>
      <w:proofErr w:type="spellEnd"/>
      <w:r w:rsidR="007F1C48" w:rsidRPr="007E27CD">
        <w:t>, présidente de section</w:t>
      </w:r>
      <w:r w:rsidRPr="007E27CD">
        <w:t xml:space="preserve">, </w:t>
      </w:r>
      <w:r w:rsidR="00AF6756">
        <w:t>président</w:t>
      </w:r>
      <w:r w:rsidR="00E80037">
        <w:t>e de</w:t>
      </w:r>
      <w:r w:rsidR="001F5796">
        <w:t xml:space="preserve"> séance, </w:t>
      </w:r>
      <w:r w:rsidR="00966745" w:rsidRPr="007E27CD">
        <w:t>MM. </w:t>
      </w:r>
      <w:proofErr w:type="spellStart"/>
      <w:r w:rsidR="00966745" w:rsidRPr="007E27CD">
        <w:t>Sabbe</w:t>
      </w:r>
      <w:proofErr w:type="spellEnd"/>
      <w:r w:rsidR="00E80037">
        <w:t xml:space="preserve"> et</w:t>
      </w:r>
      <w:r w:rsidR="00966745" w:rsidRPr="007E27CD">
        <w:t xml:space="preserve"> </w:t>
      </w:r>
      <w:proofErr w:type="spellStart"/>
      <w:r w:rsidR="00775A85" w:rsidRPr="007E27CD">
        <w:t>Saudubray</w:t>
      </w:r>
      <w:proofErr w:type="spellEnd"/>
      <w:r w:rsidR="00966745" w:rsidRPr="007E27CD">
        <w:t xml:space="preserve">, </w:t>
      </w:r>
      <w:r w:rsidRPr="007E27CD">
        <w:t>conseillers maîtres.</w:t>
      </w:r>
    </w:p>
    <w:p w:rsidR="00E354DC" w:rsidRPr="007E27CD" w:rsidRDefault="00E354DC" w:rsidP="001F5796">
      <w:pPr>
        <w:pStyle w:val="Corpsdetexte"/>
        <w:spacing w:after="240"/>
      </w:pPr>
      <w:r w:rsidRPr="007E27CD">
        <w:t xml:space="preserve">Signé : </w:t>
      </w:r>
      <w:proofErr w:type="spellStart"/>
      <w:r w:rsidR="001F5796">
        <w:t>Moati</w:t>
      </w:r>
      <w:proofErr w:type="spellEnd"/>
      <w:r w:rsidR="001F5796">
        <w:t xml:space="preserve">, </w:t>
      </w:r>
      <w:r w:rsidRPr="007E27CD">
        <w:t>président</w:t>
      </w:r>
      <w:r w:rsidR="001F5796">
        <w:t>e de séance</w:t>
      </w:r>
      <w:r w:rsidRPr="007E27CD">
        <w:t>, et</w:t>
      </w:r>
      <w:r w:rsidR="001F5796">
        <w:t xml:space="preserve"> Le Baron</w:t>
      </w:r>
      <w:r w:rsidRPr="007E27CD">
        <w:t>, greffier.</w:t>
      </w:r>
    </w:p>
    <w:p w:rsidR="00E354DC" w:rsidRPr="007E27CD" w:rsidRDefault="00E354DC" w:rsidP="001F5796">
      <w:pPr>
        <w:pStyle w:val="Corpsdetexte"/>
        <w:spacing w:after="240"/>
      </w:pPr>
      <w:r w:rsidRPr="007E27CD">
        <w:t>Collationné, certifié conforme à la minute étant au greffe de la Cour des comptes.</w:t>
      </w:r>
    </w:p>
    <w:p w:rsidR="00B467B8" w:rsidRDefault="00B467B8" w:rsidP="00B467B8">
      <w:pPr>
        <w:pStyle w:val="PS"/>
        <w:spacing w:after="240"/>
        <w:ind w:left="567"/>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467B8" w:rsidRDefault="00B467B8" w:rsidP="00C03D03">
      <w:pPr>
        <w:pStyle w:val="PS"/>
        <w:ind w:firstLine="0"/>
      </w:pPr>
      <w:r>
        <w:t>Délivré par moi, secrétaire général.</w:t>
      </w:r>
    </w:p>
    <w:p w:rsidR="00B467B8" w:rsidRPr="002C4257" w:rsidRDefault="00B467B8" w:rsidP="00B467B8">
      <w:pPr>
        <w:pStyle w:val="PS"/>
        <w:spacing w:after="0"/>
        <w:ind w:firstLine="2835"/>
        <w:jc w:val="center"/>
        <w:rPr>
          <w:b/>
          <w:bCs/>
        </w:rPr>
      </w:pPr>
      <w:r>
        <w:rPr>
          <w:b/>
          <w:bCs/>
        </w:rPr>
        <w:t>Pour le s</w:t>
      </w:r>
      <w:r w:rsidRPr="002C4257">
        <w:rPr>
          <w:b/>
          <w:bCs/>
        </w:rPr>
        <w:t>ecrétaire général</w:t>
      </w:r>
    </w:p>
    <w:p w:rsidR="00B467B8" w:rsidRPr="002C4257" w:rsidRDefault="00B467B8" w:rsidP="00B467B8">
      <w:pPr>
        <w:pStyle w:val="PS"/>
        <w:spacing w:after="0"/>
        <w:ind w:firstLine="2835"/>
        <w:jc w:val="center"/>
        <w:rPr>
          <w:b/>
          <w:bCs/>
        </w:rPr>
      </w:pPr>
      <w:proofErr w:type="gramStart"/>
      <w:r w:rsidRPr="002C4257">
        <w:rPr>
          <w:b/>
          <w:bCs/>
        </w:rPr>
        <w:t>et</w:t>
      </w:r>
      <w:proofErr w:type="gramEnd"/>
      <w:r w:rsidRPr="002C4257">
        <w:rPr>
          <w:b/>
          <w:bCs/>
        </w:rPr>
        <w:t xml:space="preserve"> par délégation,</w:t>
      </w:r>
    </w:p>
    <w:p w:rsidR="00B467B8" w:rsidRPr="002C4257" w:rsidRDefault="00B467B8" w:rsidP="00B467B8">
      <w:pPr>
        <w:pStyle w:val="PS"/>
        <w:spacing w:after="1920"/>
        <w:ind w:firstLine="2835"/>
        <w:jc w:val="center"/>
        <w:rPr>
          <w:b/>
          <w:bCs/>
        </w:rPr>
      </w:pPr>
      <w:proofErr w:type="gramStart"/>
      <w:r w:rsidRPr="002C4257">
        <w:rPr>
          <w:b/>
          <w:bCs/>
        </w:rPr>
        <w:t>le</w:t>
      </w:r>
      <w:proofErr w:type="gramEnd"/>
      <w:r w:rsidRPr="002C4257">
        <w:rPr>
          <w:b/>
          <w:bCs/>
        </w:rPr>
        <w:t xml:space="preserve"> </w:t>
      </w:r>
      <w:r>
        <w:rPr>
          <w:b/>
          <w:bCs/>
        </w:rPr>
        <w:t>c</w:t>
      </w:r>
      <w:r w:rsidRPr="002C4257">
        <w:rPr>
          <w:b/>
          <w:bCs/>
        </w:rPr>
        <w:t xml:space="preserve">hef du </w:t>
      </w:r>
      <w:r>
        <w:rPr>
          <w:b/>
          <w:bCs/>
        </w:rPr>
        <w:t>g</w:t>
      </w:r>
      <w:r w:rsidRPr="002C4257">
        <w:rPr>
          <w:b/>
          <w:bCs/>
        </w:rPr>
        <w:t>reffe contentieux</w:t>
      </w:r>
    </w:p>
    <w:p w:rsidR="00B467B8" w:rsidRPr="002C4257" w:rsidRDefault="00B467B8" w:rsidP="00B467B8">
      <w:pPr>
        <w:pStyle w:val="PS"/>
        <w:spacing w:after="600"/>
        <w:ind w:firstLine="2835"/>
        <w:jc w:val="center"/>
        <w:rPr>
          <w:b/>
          <w:bCs/>
        </w:rPr>
      </w:pPr>
      <w:r w:rsidRPr="002C4257">
        <w:rPr>
          <w:b/>
          <w:bCs/>
        </w:rPr>
        <w:t>Daniel F</w:t>
      </w:r>
      <w:r>
        <w:rPr>
          <w:b/>
          <w:bCs/>
        </w:rPr>
        <w:t>É</w:t>
      </w:r>
      <w:r w:rsidRPr="002C4257">
        <w:rPr>
          <w:b/>
          <w:bCs/>
        </w:rPr>
        <w:t>REZ</w:t>
      </w:r>
    </w:p>
    <w:p w:rsidR="00EB7BEB" w:rsidRDefault="00EB7BEB" w:rsidP="00B467B8">
      <w:pPr>
        <w:pStyle w:val="Corpsdetexte"/>
        <w:spacing w:after="240"/>
        <w:rPr>
          <w:b/>
        </w:rPr>
      </w:pPr>
    </w:p>
    <w:sectPr w:rsidR="00EB7BEB" w:rsidSect="004E2EEC">
      <w:footerReference w:type="even" r:id="rId8"/>
      <w:footerReference w:type="default" r:id="rId9"/>
      <w:pgSz w:w="11906" w:h="16838" w:code="9"/>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39F" w:rsidRDefault="004B739F">
      <w:pPr>
        <w:spacing w:before="0" w:after="0"/>
      </w:pPr>
      <w:r>
        <w:separator/>
      </w:r>
    </w:p>
  </w:endnote>
  <w:endnote w:type="continuationSeparator" w:id="0">
    <w:p w:rsidR="004B739F" w:rsidRDefault="004B73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935" w:rsidRDefault="009A293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9A2935" w:rsidRDefault="009A2935">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935" w:rsidRDefault="009A2935" w:rsidP="00A22CC3">
    <w:pPr>
      <w:pStyle w:val="Pieddepage"/>
      <w:ind w:right="-2" w:firstLine="0"/>
    </w:pPr>
    <w:r>
      <w:rPr>
        <w:rStyle w:val="Numrodepage"/>
      </w:rPr>
      <w:fldChar w:fldCharType="begin"/>
    </w:r>
    <w:r>
      <w:rPr>
        <w:rStyle w:val="Numrodepage"/>
      </w:rPr>
      <w:instrText xml:space="preserve"> PAGE </w:instrText>
    </w:r>
    <w:r>
      <w:rPr>
        <w:rStyle w:val="Numrodepage"/>
      </w:rPr>
      <w:fldChar w:fldCharType="separate"/>
    </w:r>
    <w:r w:rsidR="00C1668E">
      <w:rPr>
        <w:rStyle w:val="Numrodepage"/>
        <w:noProof/>
      </w:rPr>
      <w:t>22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39F" w:rsidRDefault="004B739F">
      <w:pPr>
        <w:spacing w:before="0" w:after="0"/>
      </w:pPr>
      <w:r>
        <w:separator/>
      </w:r>
    </w:p>
  </w:footnote>
  <w:footnote w:type="continuationSeparator" w:id="0">
    <w:p w:rsidR="004B739F" w:rsidRDefault="004B739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A600C"/>
    <w:multiLevelType w:val="singleLevel"/>
    <w:tmpl w:val="416AEF2A"/>
    <w:lvl w:ilvl="0">
      <w:start w:val="1"/>
      <w:numFmt w:val="bullet"/>
      <w:pStyle w:val="enumration1"/>
      <w:lvlText w:val=""/>
      <w:lvlJc w:val="left"/>
      <w:pPr>
        <w:tabs>
          <w:tab w:val="num" w:pos="907"/>
        </w:tabs>
        <w:ind w:left="907" w:hanging="340"/>
      </w:pPr>
      <w:rPr>
        <w:rFonts w:ascii="Symbol" w:hAnsi="Symbol" w:hint="default"/>
      </w:rPr>
    </w:lvl>
  </w:abstractNum>
  <w:abstractNum w:abstractNumId="1">
    <w:nsid w:val="11EF22ED"/>
    <w:multiLevelType w:val="hybridMultilevel"/>
    <w:tmpl w:val="14C4EAAC"/>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
    <w:nsid w:val="12494042"/>
    <w:multiLevelType w:val="hybridMultilevel"/>
    <w:tmpl w:val="49CEE2DC"/>
    <w:lvl w:ilvl="0" w:tplc="848A27F4">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3">
    <w:nsid w:val="12B439D1"/>
    <w:multiLevelType w:val="singleLevel"/>
    <w:tmpl w:val="9F6EA62C"/>
    <w:lvl w:ilvl="0">
      <w:start w:val="1"/>
      <w:numFmt w:val="bullet"/>
      <w:pStyle w:val="enumration2"/>
      <w:lvlText w:val="−"/>
      <w:lvlJc w:val="left"/>
      <w:pPr>
        <w:tabs>
          <w:tab w:val="num" w:pos="435"/>
        </w:tabs>
        <w:ind w:left="1155" w:hanging="248"/>
      </w:pPr>
      <w:rPr>
        <w:rFonts w:ascii="Verdana" w:hAnsi="Verdana" w:hint="default"/>
      </w:rPr>
    </w:lvl>
  </w:abstractNum>
  <w:abstractNum w:abstractNumId="4">
    <w:nsid w:val="267939EC"/>
    <w:multiLevelType w:val="hybridMultilevel"/>
    <w:tmpl w:val="2494CAA4"/>
    <w:lvl w:ilvl="0" w:tplc="2EB2EDE6">
      <w:start w:val="13"/>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5">
    <w:nsid w:val="291416A6"/>
    <w:multiLevelType w:val="hybridMultilevel"/>
    <w:tmpl w:val="DA0447AA"/>
    <w:lvl w:ilvl="0" w:tplc="428C7632">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6">
    <w:nsid w:val="2AB5108D"/>
    <w:multiLevelType w:val="multilevel"/>
    <w:tmpl w:val="23FCECD8"/>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firstLine="0"/>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30026B27"/>
    <w:multiLevelType w:val="singleLevel"/>
    <w:tmpl w:val="CD1AD4F0"/>
    <w:lvl w:ilvl="0">
      <w:start w:val="1"/>
      <w:numFmt w:val="bullet"/>
      <w:pStyle w:val="Enumrationcarr"/>
      <w:lvlText w:val=""/>
      <w:lvlJc w:val="left"/>
      <w:pPr>
        <w:tabs>
          <w:tab w:val="num" w:pos="360"/>
        </w:tabs>
        <w:ind w:left="340" w:hanging="340"/>
      </w:pPr>
      <w:rPr>
        <w:rFonts w:ascii="Wingdings" w:hAnsi="Wingdings" w:hint="default"/>
        <w:sz w:val="22"/>
      </w:rPr>
    </w:lvl>
  </w:abstractNum>
  <w:abstractNum w:abstractNumId="8">
    <w:nsid w:val="30DD5033"/>
    <w:multiLevelType w:val="hybridMultilevel"/>
    <w:tmpl w:val="CCC8A84A"/>
    <w:lvl w:ilvl="0" w:tplc="79FAE834">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9">
    <w:nsid w:val="39511091"/>
    <w:multiLevelType w:val="singleLevel"/>
    <w:tmpl w:val="959AAF4C"/>
    <w:lvl w:ilvl="0">
      <w:start w:val="1"/>
      <w:numFmt w:val="decimal"/>
      <w:lvlText w:val="Observation n° %1 "/>
      <w:lvlJc w:val="left"/>
      <w:pPr>
        <w:ind w:left="-491" w:hanging="360"/>
      </w:pPr>
    </w:lvl>
  </w:abstractNum>
  <w:abstractNum w:abstractNumId="10">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hint="default"/>
        <w:b/>
        <w:i w:val="0"/>
        <w:sz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C733D92"/>
    <w:multiLevelType w:val="hybridMultilevel"/>
    <w:tmpl w:val="70BA27EE"/>
    <w:lvl w:ilvl="0" w:tplc="A23C580E">
      <w:start w:val="200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427C58"/>
    <w:multiLevelType w:val="hybridMultilevel"/>
    <w:tmpl w:val="DC369558"/>
    <w:lvl w:ilvl="0" w:tplc="0DC20A98">
      <w:numFmt w:val="bullet"/>
      <w:lvlText w:val="−"/>
      <w:lvlJc w:val="left"/>
      <w:pPr>
        <w:ind w:left="3261" w:hanging="15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13">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abstractNum w:abstractNumId="15">
    <w:nsid w:val="613C11F1"/>
    <w:multiLevelType w:val="hybridMultilevel"/>
    <w:tmpl w:val="F6D020D4"/>
    <w:lvl w:ilvl="0" w:tplc="51A21A3C">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631A24DC"/>
    <w:multiLevelType w:val="singleLevel"/>
    <w:tmpl w:val="7E3893B6"/>
    <w:lvl w:ilvl="0">
      <w:numFmt w:val="bullet"/>
      <w:lvlText w:val="-"/>
      <w:lvlJc w:val="left"/>
      <w:pPr>
        <w:tabs>
          <w:tab w:val="num" w:pos="4046"/>
        </w:tabs>
        <w:ind w:left="4046" w:hanging="360"/>
      </w:pPr>
      <w:rPr>
        <w:rFonts w:ascii="Times New Roman" w:hAnsi="Times New Roman" w:hint="default"/>
      </w:rPr>
    </w:lvl>
  </w:abstractNum>
  <w:abstractNum w:abstractNumId="17">
    <w:nsid w:val="66B166A2"/>
    <w:multiLevelType w:val="singleLevel"/>
    <w:tmpl w:val="5DBA24BA"/>
    <w:lvl w:ilvl="0">
      <w:start w:val="1"/>
      <w:numFmt w:val="decimal"/>
      <w:pStyle w:val="Enumrationliste"/>
      <w:lvlText w:val="%1."/>
      <w:lvlJc w:val="left"/>
      <w:pPr>
        <w:tabs>
          <w:tab w:val="num" w:pos="927"/>
        </w:tabs>
        <w:ind w:left="907" w:hanging="340"/>
      </w:pPr>
    </w:lvl>
  </w:abstractNum>
  <w:abstractNum w:abstractNumId="18">
    <w:nsid w:val="671D078A"/>
    <w:multiLevelType w:val="hybridMultilevel"/>
    <w:tmpl w:val="077A3C74"/>
    <w:lvl w:ilvl="0" w:tplc="3AC04360">
      <w:numFmt w:val="bullet"/>
      <w:lvlText w:val="-"/>
      <w:lvlJc w:val="left"/>
      <w:pPr>
        <w:ind w:left="1080" w:hanging="360"/>
      </w:pPr>
      <w:rPr>
        <w:rFonts w:ascii="Calibri" w:eastAsia="Times New Roman"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9">
    <w:nsid w:val="70361CC8"/>
    <w:multiLevelType w:val="singleLevel"/>
    <w:tmpl w:val="F2762564"/>
    <w:lvl w:ilvl="0">
      <w:start w:val="1"/>
      <w:numFmt w:val="bullet"/>
      <w:pStyle w:val="numration1"/>
      <w:lvlText w:val=""/>
      <w:lvlJc w:val="left"/>
      <w:pPr>
        <w:tabs>
          <w:tab w:val="num" w:pos="360"/>
        </w:tabs>
        <w:ind w:left="360" w:hanging="360"/>
      </w:pPr>
      <w:rPr>
        <w:rFonts w:ascii="Symbol" w:hAnsi="Symbol" w:hint="default"/>
        <w:sz w:val="24"/>
      </w:rPr>
    </w:lvl>
  </w:abstractNum>
  <w:num w:numId="1">
    <w:abstractNumId w:val="13"/>
  </w:num>
  <w:num w:numId="2">
    <w:abstractNumId w:val="10"/>
  </w:num>
  <w:num w:numId="3">
    <w:abstractNumId w:val="6"/>
  </w:num>
  <w:num w:numId="4">
    <w:abstractNumId w:val="14"/>
  </w:num>
  <w:num w:numId="5">
    <w:abstractNumId w:val="4"/>
  </w:num>
  <w:num w:numId="6">
    <w:abstractNumId w:val="1"/>
  </w:num>
  <w:num w:numId="7">
    <w:abstractNumId w:val="12"/>
  </w:num>
  <w:num w:numId="8">
    <w:abstractNumId w:val="5"/>
  </w:num>
  <w:num w:numId="9">
    <w:abstractNumId w:val="2"/>
  </w:num>
  <w:num w:numId="10">
    <w:abstractNumId w:val="8"/>
  </w:num>
  <w:num w:numId="11">
    <w:abstractNumId w:val="0"/>
  </w:num>
  <w:num w:numId="12">
    <w:abstractNumId w:val="3"/>
  </w:num>
  <w:num w:numId="13">
    <w:abstractNumId w:val="17"/>
  </w:num>
  <w:num w:numId="14">
    <w:abstractNumId w:val="7"/>
  </w:num>
  <w:num w:numId="15">
    <w:abstractNumId w:val="19"/>
  </w:num>
  <w:num w:numId="16">
    <w:abstractNumId w:val="9"/>
    <w:lvlOverride w:ilvl="0">
      <w:startOverride w:val="1"/>
    </w:lvlOverride>
  </w:num>
  <w:num w:numId="17">
    <w:abstractNumId w:val="18"/>
  </w:num>
  <w:num w:numId="18">
    <w:abstractNumId w:val="15"/>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activeWritingStyle w:appName="MSWord" w:lang="fr-FR" w:vendorID="9" w:dllVersion="512" w:checkStyle="1"/>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inkAnnotation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992"/>
    <w:rsid w:val="00000B86"/>
    <w:rsid w:val="000014D9"/>
    <w:rsid w:val="00006A4C"/>
    <w:rsid w:val="000259F0"/>
    <w:rsid w:val="00031EB6"/>
    <w:rsid w:val="00041EDB"/>
    <w:rsid w:val="00042178"/>
    <w:rsid w:val="00043E0F"/>
    <w:rsid w:val="00044D8A"/>
    <w:rsid w:val="000533C7"/>
    <w:rsid w:val="000621A1"/>
    <w:rsid w:val="00066244"/>
    <w:rsid w:val="00067F87"/>
    <w:rsid w:val="0007635D"/>
    <w:rsid w:val="00085149"/>
    <w:rsid w:val="00085992"/>
    <w:rsid w:val="00087E49"/>
    <w:rsid w:val="00091F61"/>
    <w:rsid w:val="00092B96"/>
    <w:rsid w:val="000933AC"/>
    <w:rsid w:val="000939C1"/>
    <w:rsid w:val="00097100"/>
    <w:rsid w:val="00097D11"/>
    <w:rsid w:val="000A2D3D"/>
    <w:rsid w:val="000A53B5"/>
    <w:rsid w:val="000B022A"/>
    <w:rsid w:val="000B717F"/>
    <w:rsid w:val="000C31C2"/>
    <w:rsid w:val="000C3C77"/>
    <w:rsid w:val="000D2BEE"/>
    <w:rsid w:val="000D2E32"/>
    <w:rsid w:val="000D3183"/>
    <w:rsid w:val="000D4AC6"/>
    <w:rsid w:val="000D56E9"/>
    <w:rsid w:val="000E0495"/>
    <w:rsid w:val="000E2FDD"/>
    <w:rsid w:val="000E6A10"/>
    <w:rsid w:val="000F01E0"/>
    <w:rsid w:val="000F481B"/>
    <w:rsid w:val="000F4A42"/>
    <w:rsid w:val="00100735"/>
    <w:rsid w:val="00101DB5"/>
    <w:rsid w:val="00105E5C"/>
    <w:rsid w:val="001210F2"/>
    <w:rsid w:val="00130CB5"/>
    <w:rsid w:val="001344A9"/>
    <w:rsid w:val="001549E6"/>
    <w:rsid w:val="0016102A"/>
    <w:rsid w:val="00161493"/>
    <w:rsid w:val="001631AD"/>
    <w:rsid w:val="00167F20"/>
    <w:rsid w:val="001732E8"/>
    <w:rsid w:val="001808E2"/>
    <w:rsid w:val="00185981"/>
    <w:rsid w:val="001867C1"/>
    <w:rsid w:val="00193D18"/>
    <w:rsid w:val="00195205"/>
    <w:rsid w:val="00197280"/>
    <w:rsid w:val="001975AA"/>
    <w:rsid w:val="001A42D3"/>
    <w:rsid w:val="001A5894"/>
    <w:rsid w:val="001B1D82"/>
    <w:rsid w:val="001C2C8D"/>
    <w:rsid w:val="001D185F"/>
    <w:rsid w:val="001D685B"/>
    <w:rsid w:val="001E238B"/>
    <w:rsid w:val="001E7BDA"/>
    <w:rsid w:val="001F0BB4"/>
    <w:rsid w:val="001F2D4A"/>
    <w:rsid w:val="001F4841"/>
    <w:rsid w:val="001F5238"/>
    <w:rsid w:val="001F5796"/>
    <w:rsid w:val="00212C33"/>
    <w:rsid w:val="0021488B"/>
    <w:rsid w:val="00216481"/>
    <w:rsid w:val="00217DB3"/>
    <w:rsid w:val="0022234F"/>
    <w:rsid w:val="00230538"/>
    <w:rsid w:val="002361BC"/>
    <w:rsid w:val="0024422B"/>
    <w:rsid w:val="002523FC"/>
    <w:rsid w:val="0026728D"/>
    <w:rsid w:val="002675D0"/>
    <w:rsid w:val="00275C12"/>
    <w:rsid w:val="00276598"/>
    <w:rsid w:val="002768F1"/>
    <w:rsid w:val="002846CD"/>
    <w:rsid w:val="00285C10"/>
    <w:rsid w:val="00291E95"/>
    <w:rsid w:val="002920A1"/>
    <w:rsid w:val="002952FD"/>
    <w:rsid w:val="002A0AFD"/>
    <w:rsid w:val="002A1F36"/>
    <w:rsid w:val="002A24BF"/>
    <w:rsid w:val="002A3835"/>
    <w:rsid w:val="002B01CF"/>
    <w:rsid w:val="002B79AA"/>
    <w:rsid w:val="002C3915"/>
    <w:rsid w:val="002C6B93"/>
    <w:rsid w:val="002D1F9A"/>
    <w:rsid w:val="002D54D5"/>
    <w:rsid w:val="002E0349"/>
    <w:rsid w:val="002E31A7"/>
    <w:rsid w:val="002E36B2"/>
    <w:rsid w:val="002E4705"/>
    <w:rsid w:val="002E56BE"/>
    <w:rsid w:val="002E5C5B"/>
    <w:rsid w:val="002F1F15"/>
    <w:rsid w:val="00302A1F"/>
    <w:rsid w:val="0030386B"/>
    <w:rsid w:val="003057E5"/>
    <w:rsid w:val="00311F01"/>
    <w:rsid w:val="003176B4"/>
    <w:rsid w:val="00320787"/>
    <w:rsid w:val="00327FBA"/>
    <w:rsid w:val="00332421"/>
    <w:rsid w:val="00332511"/>
    <w:rsid w:val="00342499"/>
    <w:rsid w:val="0034389B"/>
    <w:rsid w:val="00346D34"/>
    <w:rsid w:val="00351D53"/>
    <w:rsid w:val="003532A8"/>
    <w:rsid w:val="003546F3"/>
    <w:rsid w:val="003674CE"/>
    <w:rsid w:val="003804A4"/>
    <w:rsid w:val="0038162D"/>
    <w:rsid w:val="003969AE"/>
    <w:rsid w:val="003A19BD"/>
    <w:rsid w:val="003A1A0E"/>
    <w:rsid w:val="003A4E1A"/>
    <w:rsid w:val="003B08CD"/>
    <w:rsid w:val="003B3BCE"/>
    <w:rsid w:val="003B46B4"/>
    <w:rsid w:val="003C5445"/>
    <w:rsid w:val="003D1478"/>
    <w:rsid w:val="003D4FD9"/>
    <w:rsid w:val="003F1A9D"/>
    <w:rsid w:val="003F1DB8"/>
    <w:rsid w:val="003F4391"/>
    <w:rsid w:val="00407DDB"/>
    <w:rsid w:val="00411486"/>
    <w:rsid w:val="00413F70"/>
    <w:rsid w:val="00425C4E"/>
    <w:rsid w:val="00427BFF"/>
    <w:rsid w:val="004319A8"/>
    <w:rsid w:val="00433044"/>
    <w:rsid w:val="004366FE"/>
    <w:rsid w:val="00442740"/>
    <w:rsid w:val="00442D13"/>
    <w:rsid w:val="00454260"/>
    <w:rsid w:val="00455CC1"/>
    <w:rsid w:val="004608C4"/>
    <w:rsid w:val="00467F0E"/>
    <w:rsid w:val="0047598D"/>
    <w:rsid w:val="00480568"/>
    <w:rsid w:val="004833F6"/>
    <w:rsid w:val="00484FB9"/>
    <w:rsid w:val="0048642E"/>
    <w:rsid w:val="004879D3"/>
    <w:rsid w:val="004A0899"/>
    <w:rsid w:val="004A6549"/>
    <w:rsid w:val="004B4083"/>
    <w:rsid w:val="004B739F"/>
    <w:rsid w:val="004B7489"/>
    <w:rsid w:val="004C0300"/>
    <w:rsid w:val="004C2CD5"/>
    <w:rsid w:val="004C6274"/>
    <w:rsid w:val="004D4A11"/>
    <w:rsid w:val="004D74D2"/>
    <w:rsid w:val="004E14E3"/>
    <w:rsid w:val="004E2EEC"/>
    <w:rsid w:val="004F2C98"/>
    <w:rsid w:val="004F376A"/>
    <w:rsid w:val="004F513F"/>
    <w:rsid w:val="004F5207"/>
    <w:rsid w:val="00500399"/>
    <w:rsid w:val="00510150"/>
    <w:rsid w:val="005379E6"/>
    <w:rsid w:val="00542817"/>
    <w:rsid w:val="005441DA"/>
    <w:rsid w:val="00545A7A"/>
    <w:rsid w:val="00546477"/>
    <w:rsid w:val="00555985"/>
    <w:rsid w:val="0056364B"/>
    <w:rsid w:val="005671F6"/>
    <w:rsid w:val="005730AE"/>
    <w:rsid w:val="005749EA"/>
    <w:rsid w:val="00574E81"/>
    <w:rsid w:val="00582FC0"/>
    <w:rsid w:val="00591A98"/>
    <w:rsid w:val="0059335A"/>
    <w:rsid w:val="00596BE6"/>
    <w:rsid w:val="005A1A72"/>
    <w:rsid w:val="005A6968"/>
    <w:rsid w:val="005A7CA3"/>
    <w:rsid w:val="005B0345"/>
    <w:rsid w:val="005B11D6"/>
    <w:rsid w:val="005B284A"/>
    <w:rsid w:val="005C0545"/>
    <w:rsid w:val="005D4176"/>
    <w:rsid w:val="005E5571"/>
    <w:rsid w:val="005E6DCF"/>
    <w:rsid w:val="005E6FA5"/>
    <w:rsid w:val="005F1151"/>
    <w:rsid w:val="005F66F0"/>
    <w:rsid w:val="00600939"/>
    <w:rsid w:val="00600A0E"/>
    <w:rsid w:val="00601755"/>
    <w:rsid w:val="00602011"/>
    <w:rsid w:val="00605CDE"/>
    <w:rsid w:val="00612567"/>
    <w:rsid w:val="0062561B"/>
    <w:rsid w:val="00631F61"/>
    <w:rsid w:val="006332B7"/>
    <w:rsid w:val="0063778F"/>
    <w:rsid w:val="00637AF6"/>
    <w:rsid w:val="006411AC"/>
    <w:rsid w:val="0064552C"/>
    <w:rsid w:val="00655051"/>
    <w:rsid w:val="00660CF2"/>
    <w:rsid w:val="00663AAB"/>
    <w:rsid w:val="00663DF7"/>
    <w:rsid w:val="00667784"/>
    <w:rsid w:val="00673057"/>
    <w:rsid w:val="00673739"/>
    <w:rsid w:val="00686716"/>
    <w:rsid w:val="00687C09"/>
    <w:rsid w:val="00692455"/>
    <w:rsid w:val="00694B4B"/>
    <w:rsid w:val="00695EED"/>
    <w:rsid w:val="006A6421"/>
    <w:rsid w:val="006B350D"/>
    <w:rsid w:val="006B4B77"/>
    <w:rsid w:val="006C2155"/>
    <w:rsid w:val="006D12BD"/>
    <w:rsid w:val="006D6C11"/>
    <w:rsid w:val="006E0DC6"/>
    <w:rsid w:val="006E5A4D"/>
    <w:rsid w:val="006F2195"/>
    <w:rsid w:val="006F335B"/>
    <w:rsid w:val="006F336A"/>
    <w:rsid w:val="007129E5"/>
    <w:rsid w:val="00727784"/>
    <w:rsid w:val="00732062"/>
    <w:rsid w:val="00732336"/>
    <w:rsid w:val="00732F65"/>
    <w:rsid w:val="00733F35"/>
    <w:rsid w:val="00736E11"/>
    <w:rsid w:val="00740B14"/>
    <w:rsid w:val="00740B64"/>
    <w:rsid w:val="0074254C"/>
    <w:rsid w:val="00746B1B"/>
    <w:rsid w:val="007512F6"/>
    <w:rsid w:val="0075763A"/>
    <w:rsid w:val="0076453C"/>
    <w:rsid w:val="00775A85"/>
    <w:rsid w:val="00780098"/>
    <w:rsid w:val="0078290A"/>
    <w:rsid w:val="00782DD8"/>
    <w:rsid w:val="00791D85"/>
    <w:rsid w:val="00793B7E"/>
    <w:rsid w:val="00795768"/>
    <w:rsid w:val="00795913"/>
    <w:rsid w:val="007A678F"/>
    <w:rsid w:val="007A6CA2"/>
    <w:rsid w:val="007B2075"/>
    <w:rsid w:val="007B3593"/>
    <w:rsid w:val="007C16BF"/>
    <w:rsid w:val="007C512F"/>
    <w:rsid w:val="007D1BCA"/>
    <w:rsid w:val="007D28DB"/>
    <w:rsid w:val="007D4A17"/>
    <w:rsid w:val="007D662C"/>
    <w:rsid w:val="007D7E72"/>
    <w:rsid w:val="007E27CD"/>
    <w:rsid w:val="007E62DA"/>
    <w:rsid w:val="007E6CD3"/>
    <w:rsid w:val="007F1C48"/>
    <w:rsid w:val="007F6A68"/>
    <w:rsid w:val="008051E1"/>
    <w:rsid w:val="00811000"/>
    <w:rsid w:val="00813CC9"/>
    <w:rsid w:val="008148FA"/>
    <w:rsid w:val="008151AC"/>
    <w:rsid w:val="00815BEF"/>
    <w:rsid w:val="00816BA9"/>
    <w:rsid w:val="00830236"/>
    <w:rsid w:val="00835046"/>
    <w:rsid w:val="00837502"/>
    <w:rsid w:val="00845234"/>
    <w:rsid w:val="008512F6"/>
    <w:rsid w:val="00852085"/>
    <w:rsid w:val="00857C86"/>
    <w:rsid w:val="00860B19"/>
    <w:rsid w:val="00874928"/>
    <w:rsid w:val="00876831"/>
    <w:rsid w:val="0088193B"/>
    <w:rsid w:val="008819DA"/>
    <w:rsid w:val="00885684"/>
    <w:rsid w:val="00886287"/>
    <w:rsid w:val="008934A8"/>
    <w:rsid w:val="008A4CE2"/>
    <w:rsid w:val="008A7CEA"/>
    <w:rsid w:val="008B1693"/>
    <w:rsid w:val="008B3244"/>
    <w:rsid w:val="008B588E"/>
    <w:rsid w:val="008B6591"/>
    <w:rsid w:val="008C0629"/>
    <w:rsid w:val="008D7091"/>
    <w:rsid w:val="008D7911"/>
    <w:rsid w:val="008E0650"/>
    <w:rsid w:val="008E56F6"/>
    <w:rsid w:val="008F0084"/>
    <w:rsid w:val="008F122E"/>
    <w:rsid w:val="0090228D"/>
    <w:rsid w:val="00906219"/>
    <w:rsid w:val="00907AC6"/>
    <w:rsid w:val="00915493"/>
    <w:rsid w:val="00930DD8"/>
    <w:rsid w:val="0093160E"/>
    <w:rsid w:val="00942C10"/>
    <w:rsid w:val="00945C60"/>
    <w:rsid w:val="00946BC8"/>
    <w:rsid w:val="0094790E"/>
    <w:rsid w:val="0095211A"/>
    <w:rsid w:val="0096136B"/>
    <w:rsid w:val="00966745"/>
    <w:rsid w:val="00966D28"/>
    <w:rsid w:val="00970086"/>
    <w:rsid w:val="00972D76"/>
    <w:rsid w:val="00976B68"/>
    <w:rsid w:val="00987FEE"/>
    <w:rsid w:val="009A2935"/>
    <w:rsid w:val="009B0304"/>
    <w:rsid w:val="009B5183"/>
    <w:rsid w:val="009B5533"/>
    <w:rsid w:val="009C1FAD"/>
    <w:rsid w:val="009C36CA"/>
    <w:rsid w:val="009C5235"/>
    <w:rsid w:val="009C7D2F"/>
    <w:rsid w:val="009E39C5"/>
    <w:rsid w:val="009E4A35"/>
    <w:rsid w:val="009E607D"/>
    <w:rsid w:val="00A1038B"/>
    <w:rsid w:val="00A11F5F"/>
    <w:rsid w:val="00A12E56"/>
    <w:rsid w:val="00A20764"/>
    <w:rsid w:val="00A2171B"/>
    <w:rsid w:val="00A21C44"/>
    <w:rsid w:val="00A22CC3"/>
    <w:rsid w:val="00A35D6D"/>
    <w:rsid w:val="00A464DD"/>
    <w:rsid w:val="00A61F30"/>
    <w:rsid w:val="00A6208F"/>
    <w:rsid w:val="00A621FD"/>
    <w:rsid w:val="00A65B60"/>
    <w:rsid w:val="00A71663"/>
    <w:rsid w:val="00A80682"/>
    <w:rsid w:val="00A80B76"/>
    <w:rsid w:val="00A86C07"/>
    <w:rsid w:val="00A94EE6"/>
    <w:rsid w:val="00A96676"/>
    <w:rsid w:val="00AA5EA6"/>
    <w:rsid w:val="00AB16AE"/>
    <w:rsid w:val="00AB488B"/>
    <w:rsid w:val="00AB6609"/>
    <w:rsid w:val="00AC028A"/>
    <w:rsid w:val="00AD5E2A"/>
    <w:rsid w:val="00AD7F66"/>
    <w:rsid w:val="00AE6022"/>
    <w:rsid w:val="00AF6756"/>
    <w:rsid w:val="00B050D6"/>
    <w:rsid w:val="00B051E6"/>
    <w:rsid w:val="00B055FA"/>
    <w:rsid w:val="00B07E4C"/>
    <w:rsid w:val="00B273B9"/>
    <w:rsid w:val="00B31423"/>
    <w:rsid w:val="00B321EE"/>
    <w:rsid w:val="00B4326D"/>
    <w:rsid w:val="00B432A7"/>
    <w:rsid w:val="00B4397C"/>
    <w:rsid w:val="00B467B8"/>
    <w:rsid w:val="00B472EF"/>
    <w:rsid w:val="00B50C23"/>
    <w:rsid w:val="00B51F4A"/>
    <w:rsid w:val="00B55A11"/>
    <w:rsid w:val="00B561D3"/>
    <w:rsid w:val="00B625DD"/>
    <w:rsid w:val="00B6395B"/>
    <w:rsid w:val="00B6426F"/>
    <w:rsid w:val="00B66D08"/>
    <w:rsid w:val="00B70A3F"/>
    <w:rsid w:val="00B7437B"/>
    <w:rsid w:val="00B75748"/>
    <w:rsid w:val="00B76405"/>
    <w:rsid w:val="00B81833"/>
    <w:rsid w:val="00B87008"/>
    <w:rsid w:val="00BA4F26"/>
    <w:rsid w:val="00BA7285"/>
    <w:rsid w:val="00BA7916"/>
    <w:rsid w:val="00BB1A42"/>
    <w:rsid w:val="00BB3C79"/>
    <w:rsid w:val="00BB4633"/>
    <w:rsid w:val="00BB5A21"/>
    <w:rsid w:val="00BB65C8"/>
    <w:rsid w:val="00BC2078"/>
    <w:rsid w:val="00BC539F"/>
    <w:rsid w:val="00BC57BF"/>
    <w:rsid w:val="00BC745F"/>
    <w:rsid w:val="00BD4373"/>
    <w:rsid w:val="00BE51C1"/>
    <w:rsid w:val="00BE53B6"/>
    <w:rsid w:val="00BE5875"/>
    <w:rsid w:val="00BE663D"/>
    <w:rsid w:val="00BE69A2"/>
    <w:rsid w:val="00BF123A"/>
    <w:rsid w:val="00BF1B3B"/>
    <w:rsid w:val="00C02E1F"/>
    <w:rsid w:val="00C03D03"/>
    <w:rsid w:val="00C06269"/>
    <w:rsid w:val="00C1668E"/>
    <w:rsid w:val="00C176ED"/>
    <w:rsid w:val="00C1774F"/>
    <w:rsid w:val="00C36BF1"/>
    <w:rsid w:val="00C42290"/>
    <w:rsid w:val="00C44D87"/>
    <w:rsid w:val="00C47A9E"/>
    <w:rsid w:val="00C47E3B"/>
    <w:rsid w:val="00C51D37"/>
    <w:rsid w:val="00C5465D"/>
    <w:rsid w:val="00C620BF"/>
    <w:rsid w:val="00C62E39"/>
    <w:rsid w:val="00C65243"/>
    <w:rsid w:val="00C70883"/>
    <w:rsid w:val="00C73832"/>
    <w:rsid w:val="00C73F9F"/>
    <w:rsid w:val="00C76468"/>
    <w:rsid w:val="00C77A66"/>
    <w:rsid w:val="00C801B7"/>
    <w:rsid w:val="00C817EA"/>
    <w:rsid w:val="00C87F7B"/>
    <w:rsid w:val="00C93935"/>
    <w:rsid w:val="00C93F21"/>
    <w:rsid w:val="00C947E1"/>
    <w:rsid w:val="00CA300A"/>
    <w:rsid w:val="00CA740D"/>
    <w:rsid w:val="00CD0316"/>
    <w:rsid w:val="00CD3531"/>
    <w:rsid w:val="00CD6483"/>
    <w:rsid w:val="00CE05F8"/>
    <w:rsid w:val="00CE0652"/>
    <w:rsid w:val="00D0518E"/>
    <w:rsid w:val="00D120A1"/>
    <w:rsid w:val="00D1363C"/>
    <w:rsid w:val="00D211BB"/>
    <w:rsid w:val="00D236EF"/>
    <w:rsid w:val="00D24862"/>
    <w:rsid w:val="00D25DC8"/>
    <w:rsid w:val="00D26EF9"/>
    <w:rsid w:val="00D30EFD"/>
    <w:rsid w:val="00D34E4A"/>
    <w:rsid w:val="00D4514C"/>
    <w:rsid w:val="00D51DCD"/>
    <w:rsid w:val="00D54B47"/>
    <w:rsid w:val="00D574A4"/>
    <w:rsid w:val="00D64C6D"/>
    <w:rsid w:val="00D72A7F"/>
    <w:rsid w:val="00D72C47"/>
    <w:rsid w:val="00D731CB"/>
    <w:rsid w:val="00D74415"/>
    <w:rsid w:val="00D76465"/>
    <w:rsid w:val="00D80AC6"/>
    <w:rsid w:val="00D87108"/>
    <w:rsid w:val="00D95642"/>
    <w:rsid w:val="00D95A88"/>
    <w:rsid w:val="00D96204"/>
    <w:rsid w:val="00D97940"/>
    <w:rsid w:val="00DA117D"/>
    <w:rsid w:val="00DA1EDF"/>
    <w:rsid w:val="00DA6E59"/>
    <w:rsid w:val="00DB1136"/>
    <w:rsid w:val="00DB2454"/>
    <w:rsid w:val="00DB41BA"/>
    <w:rsid w:val="00DB5243"/>
    <w:rsid w:val="00DC4AF1"/>
    <w:rsid w:val="00DC57B4"/>
    <w:rsid w:val="00DD7183"/>
    <w:rsid w:val="00DD73AC"/>
    <w:rsid w:val="00DD743C"/>
    <w:rsid w:val="00DE066D"/>
    <w:rsid w:val="00DE169F"/>
    <w:rsid w:val="00DE1B0F"/>
    <w:rsid w:val="00DE374B"/>
    <w:rsid w:val="00E01570"/>
    <w:rsid w:val="00E02B81"/>
    <w:rsid w:val="00E05DB0"/>
    <w:rsid w:val="00E130DB"/>
    <w:rsid w:val="00E14CDD"/>
    <w:rsid w:val="00E21CB1"/>
    <w:rsid w:val="00E352E0"/>
    <w:rsid w:val="00E354DC"/>
    <w:rsid w:val="00E40E76"/>
    <w:rsid w:val="00E42395"/>
    <w:rsid w:val="00E5169D"/>
    <w:rsid w:val="00E63F27"/>
    <w:rsid w:val="00E6649B"/>
    <w:rsid w:val="00E67D40"/>
    <w:rsid w:val="00E67EC6"/>
    <w:rsid w:val="00E71565"/>
    <w:rsid w:val="00E721C2"/>
    <w:rsid w:val="00E74A1C"/>
    <w:rsid w:val="00E7528E"/>
    <w:rsid w:val="00E75BED"/>
    <w:rsid w:val="00E80037"/>
    <w:rsid w:val="00E812F5"/>
    <w:rsid w:val="00E827AD"/>
    <w:rsid w:val="00E9551A"/>
    <w:rsid w:val="00EA38F2"/>
    <w:rsid w:val="00EB017D"/>
    <w:rsid w:val="00EB7BEB"/>
    <w:rsid w:val="00EC0E3C"/>
    <w:rsid w:val="00EC4A61"/>
    <w:rsid w:val="00EC7842"/>
    <w:rsid w:val="00ED606F"/>
    <w:rsid w:val="00ED7E65"/>
    <w:rsid w:val="00ED7F65"/>
    <w:rsid w:val="00EE1894"/>
    <w:rsid w:val="00EE5270"/>
    <w:rsid w:val="00EF23B5"/>
    <w:rsid w:val="00EF44B7"/>
    <w:rsid w:val="00EF7FC8"/>
    <w:rsid w:val="00F01726"/>
    <w:rsid w:val="00F02460"/>
    <w:rsid w:val="00F034E7"/>
    <w:rsid w:val="00F03767"/>
    <w:rsid w:val="00F04790"/>
    <w:rsid w:val="00F114D0"/>
    <w:rsid w:val="00F17767"/>
    <w:rsid w:val="00F24B8E"/>
    <w:rsid w:val="00F30C3C"/>
    <w:rsid w:val="00F32F0D"/>
    <w:rsid w:val="00F40363"/>
    <w:rsid w:val="00F4294E"/>
    <w:rsid w:val="00F47A08"/>
    <w:rsid w:val="00F53612"/>
    <w:rsid w:val="00F620E5"/>
    <w:rsid w:val="00F671C8"/>
    <w:rsid w:val="00F711D0"/>
    <w:rsid w:val="00F714E4"/>
    <w:rsid w:val="00F71D5A"/>
    <w:rsid w:val="00F72312"/>
    <w:rsid w:val="00F72364"/>
    <w:rsid w:val="00F73C61"/>
    <w:rsid w:val="00F81F70"/>
    <w:rsid w:val="00F85005"/>
    <w:rsid w:val="00F91D2B"/>
    <w:rsid w:val="00FA1CC4"/>
    <w:rsid w:val="00FA2BFF"/>
    <w:rsid w:val="00FC0482"/>
    <w:rsid w:val="00FC083B"/>
    <w:rsid w:val="00FC2E66"/>
    <w:rsid w:val="00FD2E16"/>
    <w:rsid w:val="00FE02E5"/>
    <w:rsid w:val="00FE2074"/>
    <w:rsid w:val="00FF2954"/>
    <w:rsid w:val="00FF508B"/>
    <w:rsid w:val="00FF6784"/>
    <w:rsid w:val="00FF6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8C0629"/>
    <w:pPr>
      <w:spacing w:before="200" w:after="200"/>
      <w:ind w:left="567" w:firstLine="1134"/>
      <w:jc w:val="both"/>
    </w:pPr>
    <w:rPr>
      <w:sz w:val="24"/>
      <w:szCs w:val="24"/>
    </w:rPr>
  </w:style>
  <w:style w:type="paragraph" w:styleId="Titre1">
    <w:name w:val="heading 1"/>
    <w:basedOn w:val="Normal"/>
    <w:next w:val="Corpsdetexte"/>
    <w:link w:val="Titre1Car"/>
    <w:qFormat/>
    <w:pPr>
      <w:keepNext/>
      <w:numPr>
        <w:numId w:val="2"/>
      </w:numPr>
      <w:spacing w:before="480" w:after="480"/>
      <w:jc w:val="left"/>
      <w:outlineLvl w:val="0"/>
    </w:pPr>
    <w:rPr>
      <w:b/>
      <w:bCs/>
      <w:caps/>
      <w:kern w:val="28"/>
    </w:rPr>
  </w:style>
  <w:style w:type="paragraph" w:styleId="Titre2">
    <w:name w:val="heading 2"/>
    <w:basedOn w:val="Normal"/>
    <w:next w:val="Corpsdetexte"/>
    <w:link w:val="Titre2Car"/>
    <w:qFormat/>
    <w:pPr>
      <w:keepNext/>
      <w:keepLines/>
      <w:numPr>
        <w:ilvl w:val="1"/>
        <w:numId w:val="2"/>
      </w:numPr>
      <w:spacing w:before="480"/>
      <w:jc w:val="left"/>
      <w:outlineLvl w:val="1"/>
    </w:pPr>
    <w:rPr>
      <w:b/>
      <w:bCs/>
      <w:caps/>
    </w:rPr>
  </w:style>
  <w:style w:type="paragraph" w:styleId="Titre3">
    <w:name w:val="heading 3"/>
    <w:basedOn w:val="Normal"/>
    <w:next w:val="Corpsdetexte"/>
    <w:link w:val="Titre3Car"/>
    <w:qFormat/>
    <w:pPr>
      <w:keepNext/>
      <w:keepLines/>
      <w:numPr>
        <w:ilvl w:val="2"/>
        <w:numId w:val="2"/>
      </w:numPr>
      <w:spacing w:before="600"/>
      <w:jc w:val="left"/>
      <w:outlineLvl w:val="2"/>
    </w:pPr>
    <w:rPr>
      <w:b/>
      <w:bCs/>
      <w:smallCaps/>
    </w:rPr>
  </w:style>
  <w:style w:type="paragraph" w:styleId="Titre4">
    <w:name w:val="heading 4"/>
    <w:basedOn w:val="Normal"/>
    <w:next w:val="Corpsdetexte"/>
    <w:link w:val="Titre4Car"/>
    <w:qFormat/>
    <w:pPr>
      <w:keepNext/>
      <w:keepLines/>
      <w:numPr>
        <w:ilvl w:val="3"/>
        <w:numId w:val="2"/>
      </w:numPr>
      <w:spacing w:before="480"/>
      <w:jc w:val="left"/>
      <w:outlineLvl w:val="3"/>
    </w:pPr>
    <w:rPr>
      <w:b/>
      <w:bCs/>
    </w:rPr>
  </w:style>
  <w:style w:type="paragraph" w:styleId="Titre5">
    <w:name w:val="heading 5"/>
    <w:basedOn w:val="Normal"/>
    <w:next w:val="Corpsdetexte"/>
    <w:link w:val="Titre5Car"/>
    <w:qFormat/>
    <w:pPr>
      <w:keepNext/>
      <w:keepLines/>
      <w:numPr>
        <w:ilvl w:val="4"/>
        <w:numId w:val="2"/>
      </w:numPr>
      <w:spacing w:before="240"/>
      <w:jc w:val="left"/>
      <w:outlineLvl w:val="4"/>
    </w:pPr>
    <w:rPr>
      <w:u w:val="single"/>
    </w:rPr>
  </w:style>
  <w:style w:type="paragraph" w:styleId="Titre6">
    <w:name w:val="heading 6"/>
    <w:basedOn w:val="Corpsdetexte"/>
    <w:next w:val="Corpsdetexte"/>
    <w:link w:val="Titre6Car"/>
    <w:qFormat/>
    <w:pPr>
      <w:keepNext/>
      <w:numPr>
        <w:ilvl w:val="5"/>
        <w:numId w:val="2"/>
      </w:numPr>
      <w:spacing w:before="240" w:after="60"/>
      <w:outlineLvl w:val="5"/>
    </w:pPr>
  </w:style>
  <w:style w:type="paragraph" w:styleId="Titre7">
    <w:name w:val="heading 7"/>
    <w:basedOn w:val="Normal"/>
    <w:next w:val="Corpsdetexte"/>
    <w:link w:val="Titre7Car"/>
    <w:qFormat/>
    <w:pPr>
      <w:keepNext/>
      <w:numPr>
        <w:ilvl w:val="6"/>
        <w:numId w:val="3"/>
      </w:numPr>
      <w:jc w:val="left"/>
      <w:outlineLvl w:val="6"/>
    </w:pPr>
  </w:style>
  <w:style w:type="paragraph" w:styleId="Titre8">
    <w:name w:val="heading 8"/>
    <w:basedOn w:val="Normal"/>
    <w:next w:val="Normal"/>
    <w:link w:val="Titre8Car"/>
    <w:qFormat/>
    <w:pPr>
      <w:keepNext/>
      <w:spacing w:before="0" w:after="0" w:line="400" w:lineRule="exact"/>
      <w:ind w:firstLine="0"/>
      <w:outlineLvl w:val="7"/>
    </w:pPr>
  </w:style>
  <w:style w:type="paragraph" w:styleId="Titre9">
    <w:name w:val="heading 9"/>
    <w:basedOn w:val="Normal"/>
    <w:next w:val="Normal"/>
    <w:link w:val="Titre9Car"/>
    <w:qFormat/>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42D13"/>
  </w:style>
  <w:style w:type="paragraph" w:styleId="En-tte">
    <w:name w:val="header"/>
    <w:basedOn w:val="Normal"/>
    <w:link w:val="En-tteCar"/>
    <w:semiHidden/>
    <w:pPr>
      <w:tabs>
        <w:tab w:val="center" w:pos="4536"/>
        <w:tab w:val="right" w:pos="9072"/>
      </w:tabs>
      <w:jc w:val="center"/>
    </w:pPr>
  </w:style>
  <w:style w:type="paragraph" w:styleId="Pieddepage">
    <w:name w:val="footer"/>
    <w:basedOn w:val="Normal"/>
    <w:link w:val="PieddepageCar"/>
    <w:semiHidden/>
    <w:pPr>
      <w:tabs>
        <w:tab w:val="center" w:pos="4536"/>
        <w:tab w:val="right" w:pos="9072"/>
      </w:tabs>
      <w:jc w:val="center"/>
    </w:pPr>
  </w:style>
  <w:style w:type="character" w:styleId="Numrodepage">
    <w:name w:val="page number"/>
    <w:basedOn w:val="Policepardfaut"/>
    <w:semiHidden/>
  </w:style>
  <w:style w:type="paragraph" w:styleId="TM1">
    <w:name w:val="toc 1"/>
    <w:basedOn w:val="Normal"/>
    <w:next w:val="Corpsdetexte"/>
    <w:uiPriority w:val="39"/>
    <w:pPr>
      <w:spacing w:before="360" w:after="0"/>
      <w:jc w:val="left"/>
    </w:pPr>
    <w:rPr>
      <w:rFonts w:ascii="Arial" w:hAnsi="Arial" w:cs="Arial"/>
      <w:b/>
      <w:bCs/>
      <w:caps/>
    </w:rPr>
  </w:style>
  <w:style w:type="paragraph" w:customStyle="1" w:styleId="Titretableau">
    <w:name w:val="Titre tableau"/>
    <w:basedOn w:val="Corpsdetexte"/>
    <w:next w:val="Corpsdetexte"/>
    <w:pPr>
      <w:numPr>
        <w:numId w:val="1"/>
      </w:numPr>
      <w:spacing w:before="480" w:after="240"/>
      <w:jc w:val="center"/>
    </w:pPr>
    <w:rPr>
      <w:b/>
      <w:bCs/>
    </w:rPr>
  </w:style>
  <w:style w:type="character" w:styleId="Appelnotedebasdep">
    <w:name w:val="footnote reference"/>
    <w:rPr>
      <w:sz w:val="20"/>
      <w:szCs w:val="20"/>
      <w:vertAlign w:val="superscript"/>
    </w:rPr>
  </w:style>
  <w:style w:type="paragraph" w:customStyle="1" w:styleId="Tableau">
    <w:name w:val="Tableau"/>
    <w:basedOn w:val="Normal"/>
    <w:rsid w:val="00F714E4"/>
    <w:pPr>
      <w:widowControl w:val="0"/>
      <w:spacing w:before="0" w:after="0"/>
      <w:ind w:firstLine="0"/>
      <w:jc w:val="right"/>
    </w:pPr>
    <w:rPr>
      <w:color w:val="000000"/>
    </w:rPr>
  </w:style>
  <w:style w:type="paragraph" w:styleId="TM2">
    <w:name w:val="toc 2"/>
    <w:basedOn w:val="Normal"/>
    <w:next w:val="Corpsdetexte"/>
    <w:uiPriority w:val="39"/>
    <w:pPr>
      <w:spacing w:before="240" w:after="0"/>
      <w:jc w:val="left"/>
    </w:pPr>
    <w:rPr>
      <w:b/>
      <w:bCs/>
      <w:sz w:val="20"/>
      <w:szCs w:val="20"/>
    </w:rPr>
  </w:style>
  <w:style w:type="paragraph" w:styleId="TM3">
    <w:name w:val="toc 3"/>
    <w:basedOn w:val="Normal"/>
    <w:next w:val="Corpsdetexte"/>
    <w:uiPriority w:val="39"/>
    <w:pPr>
      <w:spacing w:before="0" w:after="0"/>
      <w:ind w:left="240"/>
      <w:jc w:val="left"/>
    </w:pPr>
    <w:rPr>
      <w:sz w:val="20"/>
      <w:szCs w:val="20"/>
    </w:rPr>
  </w:style>
  <w:style w:type="paragraph" w:styleId="TM4">
    <w:name w:val="toc 4"/>
    <w:basedOn w:val="Normal"/>
    <w:next w:val="Corpsdetexte"/>
    <w:uiPriority w:val="39"/>
    <w:pPr>
      <w:spacing w:before="0" w:after="0"/>
      <w:ind w:left="480"/>
      <w:jc w:val="left"/>
    </w:pPr>
    <w:rPr>
      <w:sz w:val="20"/>
      <w:szCs w:val="20"/>
    </w:rPr>
  </w:style>
  <w:style w:type="paragraph" w:styleId="TM5">
    <w:name w:val="toc 5"/>
    <w:basedOn w:val="Normal"/>
    <w:next w:val="Corpsdetexte"/>
    <w:autoRedefine/>
    <w:semiHidden/>
    <w:pPr>
      <w:spacing w:before="0" w:after="0"/>
      <w:ind w:left="720"/>
      <w:jc w:val="left"/>
    </w:pPr>
    <w:rPr>
      <w:sz w:val="20"/>
      <w:szCs w:val="20"/>
    </w:rPr>
  </w:style>
  <w:style w:type="paragraph" w:styleId="TM6">
    <w:name w:val="toc 6"/>
    <w:basedOn w:val="Normal"/>
    <w:next w:val="Corpsdetexte"/>
    <w:autoRedefine/>
    <w:semiHidden/>
    <w:pPr>
      <w:spacing w:before="0" w:after="0"/>
      <w:ind w:left="960"/>
      <w:jc w:val="left"/>
    </w:pPr>
    <w:rPr>
      <w:sz w:val="20"/>
      <w:szCs w:val="20"/>
    </w:rPr>
  </w:style>
  <w:style w:type="paragraph" w:styleId="TM7">
    <w:name w:val="toc 7"/>
    <w:basedOn w:val="Normal"/>
    <w:next w:val="Corpsdetexte"/>
    <w:autoRedefine/>
    <w:semiHidden/>
    <w:pPr>
      <w:spacing w:before="0" w:after="0"/>
      <w:ind w:left="1200"/>
      <w:jc w:val="left"/>
    </w:pPr>
    <w:rPr>
      <w:sz w:val="20"/>
      <w:szCs w:val="20"/>
    </w:rPr>
  </w:style>
  <w:style w:type="paragraph" w:styleId="TM8">
    <w:name w:val="toc 8"/>
    <w:basedOn w:val="Normal"/>
    <w:next w:val="Corpsdetexte"/>
    <w:autoRedefine/>
    <w:semiHidden/>
    <w:pPr>
      <w:spacing w:before="0" w:after="0"/>
      <w:ind w:left="1440"/>
      <w:jc w:val="left"/>
    </w:pPr>
    <w:rPr>
      <w:sz w:val="20"/>
      <w:szCs w:val="20"/>
    </w:rPr>
  </w:style>
  <w:style w:type="paragraph" w:styleId="TM9">
    <w:name w:val="toc 9"/>
    <w:basedOn w:val="Normal"/>
    <w:next w:val="Corpsdetexte"/>
    <w:autoRedefine/>
    <w:semiHidden/>
    <w:pPr>
      <w:spacing w:before="0" w:after="0"/>
      <w:ind w:left="1680"/>
      <w:jc w:val="left"/>
    </w:pPr>
    <w:rPr>
      <w:sz w:val="20"/>
      <w:szCs w:val="20"/>
    </w:rPr>
  </w:style>
  <w:style w:type="paragraph" w:customStyle="1" w:styleId="1pageChambre">
    <w:name w:val="1°page Chambre"/>
    <w:basedOn w:val="Corpstextegauche"/>
    <w:rsid w:val="00F30C3C"/>
    <w:pPr>
      <w:keepNext/>
      <w:spacing w:before="0" w:after="0"/>
      <w:jc w:val="center"/>
      <w:outlineLvl w:val="5"/>
    </w:pPr>
    <w:rPr>
      <w:b/>
      <w:bCs/>
      <w:smallCaps/>
      <w:spacing w:val="6"/>
    </w:rPr>
  </w:style>
  <w:style w:type="paragraph" w:customStyle="1" w:styleId="Sous-titrerapport">
    <w:name w:val="Sous-titre rapport"/>
    <w:basedOn w:val="Normal"/>
    <w:semiHidden/>
    <w:pPr>
      <w:spacing w:before="160" w:after="160"/>
      <w:ind w:firstLine="0"/>
      <w:jc w:val="center"/>
    </w:pPr>
  </w:style>
  <w:style w:type="paragraph" w:customStyle="1" w:styleId="encadr">
    <w:name w:val="encadré"/>
    <w:basedOn w:val="Normal"/>
    <w:semiHidden/>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semiHidden/>
    <w:pPr>
      <w:tabs>
        <w:tab w:val="right" w:leader="dot" w:pos="9356"/>
      </w:tabs>
      <w:spacing w:before="240" w:after="60"/>
      <w:ind w:left="851" w:hanging="851"/>
    </w:pPr>
    <w:rPr>
      <w:b/>
      <w:bCs/>
      <w:noProof/>
      <w:sz w:val="24"/>
      <w:szCs w:val="24"/>
    </w:rPr>
  </w:style>
  <w:style w:type="paragraph" w:customStyle="1" w:styleId="tabledesobservations2">
    <w:name w:val="table des observations2"/>
    <w:semiHidden/>
    <w:pPr>
      <w:tabs>
        <w:tab w:val="right" w:leader="dot" w:pos="9356"/>
      </w:tabs>
      <w:spacing w:before="60" w:after="240"/>
      <w:ind w:left="3261"/>
      <w:jc w:val="right"/>
    </w:pPr>
    <w:rPr>
      <w:i/>
      <w:iCs/>
      <w:noProof/>
      <w:sz w:val="24"/>
      <w:szCs w:val="24"/>
    </w:rPr>
  </w:style>
  <w:style w:type="paragraph" w:customStyle="1" w:styleId="Corpstextegauche">
    <w:name w:val="Corps texte gauche"/>
    <w:basedOn w:val="Normal"/>
    <w:next w:val="Corpsdetexte"/>
    <w:rsid w:val="00C176ED"/>
    <w:pPr>
      <w:spacing w:before="60" w:after="60"/>
      <w:ind w:left="0" w:firstLine="0"/>
    </w:pPr>
  </w:style>
  <w:style w:type="paragraph" w:styleId="Notedebasdepage">
    <w:name w:val="footnote text"/>
    <w:basedOn w:val="Normal"/>
    <w:next w:val="Corpsdetexte"/>
    <w:link w:val="NotedebasdepageCar"/>
    <w:pPr>
      <w:spacing w:after="0"/>
    </w:pPr>
    <w:rPr>
      <w:sz w:val="20"/>
      <w:szCs w:val="20"/>
    </w:rPr>
  </w:style>
  <w:style w:type="paragraph" w:customStyle="1" w:styleId="Introconclu">
    <w:name w:val="Intro_conclu"/>
    <w:basedOn w:val="Normal"/>
    <w:next w:val="Corpsdetexte"/>
    <w:semiHidden/>
    <w:pPr>
      <w:spacing w:before="480" w:after="240"/>
      <w:ind w:firstLine="0"/>
      <w:jc w:val="center"/>
    </w:pPr>
    <w:rPr>
      <w:b/>
      <w:bCs/>
      <w:caps/>
      <w:sz w:val="28"/>
      <w:szCs w:val="28"/>
    </w:rPr>
  </w:style>
  <w:style w:type="paragraph" w:customStyle="1" w:styleId="Titrenonreprisdanssommaire">
    <w:name w:val="Titre non repris dans sommaire"/>
    <w:next w:val="Corpsdetexte"/>
    <w:pPr>
      <w:spacing w:before="480" w:after="240"/>
      <w:jc w:val="center"/>
    </w:pPr>
    <w:rPr>
      <w:b/>
      <w:bCs/>
      <w:caps/>
      <w:noProof/>
      <w:sz w:val="28"/>
      <w:szCs w:val="28"/>
    </w:rPr>
  </w:style>
  <w:style w:type="paragraph" w:customStyle="1" w:styleId="1pageCour">
    <w:name w:val="1°page Cour"/>
    <w:basedOn w:val="Normal"/>
    <w:rsid w:val="00F30C3C"/>
    <w:pPr>
      <w:spacing w:before="0" w:after="0"/>
      <w:ind w:left="0" w:firstLine="0"/>
      <w:jc w:val="center"/>
    </w:pPr>
    <w:rPr>
      <w:b/>
      <w:bCs/>
      <w:smallCaps/>
      <w:sz w:val="28"/>
      <w:szCs w:val="28"/>
    </w:rPr>
  </w:style>
  <w:style w:type="paragraph" w:styleId="Retraitcorpsdetexte">
    <w:name w:val="Body Text Indent"/>
    <w:basedOn w:val="Normal"/>
    <w:semiHidden/>
    <w:pPr>
      <w:spacing w:before="0" w:after="0" w:line="400" w:lineRule="exact"/>
      <w:ind w:firstLine="1418"/>
    </w:pPr>
  </w:style>
  <w:style w:type="paragraph" w:customStyle="1" w:styleId="Paragraphe1">
    <w:name w:val="Paragraphe 1"/>
    <w:semiHidden/>
    <w:pPr>
      <w:spacing w:line="480" w:lineRule="exact"/>
      <w:ind w:firstLine="1134"/>
      <w:jc w:val="both"/>
    </w:pPr>
    <w:rPr>
      <w:rFonts w:ascii="Tms Rmn" w:hAnsi="Tms Rmn"/>
      <w:sz w:val="24"/>
      <w:szCs w:val="24"/>
    </w:rPr>
  </w:style>
  <w:style w:type="paragraph" w:styleId="Retraitcorpsdetexte2">
    <w:name w:val="Body Text Indent 2"/>
    <w:basedOn w:val="Normal"/>
    <w:semiHidden/>
    <w:pPr>
      <w:spacing w:before="0" w:after="0" w:line="400" w:lineRule="exact"/>
    </w:pPr>
  </w:style>
  <w:style w:type="paragraph" w:styleId="Explorateurdedocuments">
    <w:name w:val="Document Map"/>
    <w:basedOn w:val="Normal"/>
    <w:semiHidden/>
    <w:pPr>
      <w:shd w:val="clear" w:color="auto" w:fill="000080"/>
    </w:pPr>
    <w:rPr>
      <w:rFonts w:ascii="Tahoma" w:hAnsi="Tahoma" w:cs="Tahoma"/>
    </w:rPr>
  </w:style>
  <w:style w:type="paragraph" w:styleId="Retraitnormal">
    <w:name w:val="Normal Indent"/>
    <w:basedOn w:val="Normal"/>
    <w:semiHidden/>
    <w:pPr>
      <w:spacing w:before="0" w:after="0"/>
      <w:ind w:left="708" w:firstLine="0"/>
      <w:jc w:val="left"/>
    </w:pPr>
    <w:rPr>
      <w:sz w:val="20"/>
      <w:szCs w:val="20"/>
    </w:rPr>
  </w:style>
  <w:style w:type="paragraph" w:customStyle="1" w:styleId="0ligneaprs">
    <w:name w:val="0 ligne après"/>
    <w:semiHidden/>
    <w:rsid w:val="006B4B77"/>
    <w:pPr>
      <w:keepLines/>
      <w:spacing w:line="240" w:lineRule="atLeast"/>
      <w:ind w:left="1701" w:firstLine="567"/>
      <w:jc w:val="both"/>
    </w:pPr>
    <w:rPr>
      <w:sz w:val="24"/>
      <w:szCs w:val="24"/>
    </w:rPr>
  </w:style>
  <w:style w:type="paragraph" w:customStyle="1" w:styleId="P0">
    <w:name w:val="P0"/>
    <w:basedOn w:val="Normal"/>
    <w:link w:val="P0Car"/>
    <w:rsid w:val="00C5465D"/>
    <w:pPr>
      <w:spacing w:before="240" w:after="240" w:line="240" w:lineRule="atLeast"/>
      <w:ind w:left="1701" w:firstLine="567"/>
    </w:pPr>
  </w:style>
  <w:style w:type="paragraph" w:customStyle="1" w:styleId="PS">
    <w:name w:val="PS"/>
    <w:basedOn w:val="Normal"/>
    <w:link w:val="PSCar"/>
    <w:rsid w:val="0088193B"/>
    <w:pPr>
      <w:spacing w:before="0" w:after="480"/>
      <w:ind w:left="1701"/>
    </w:pPr>
    <w:rPr>
      <w:rFonts w:ascii="CG Times (WN)" w:hAnsi="CG Times (WN)"/>
      <w:szCs w:val="20"/>
    </w:rPr>
  </w:style>
  <w:style w:type="paragraph" w:styleId="Textedebulles">
    <w:name w:val="Balloon Text"/>
    <w:basedOn w:val="Normal"/>
    <w:semiHidden/>
    <w:rsid w:val="00A11F5F"/>
    <w:rPr>
      <w:rFonts w:ascii="Tahoma" w:hAnsi="Tahoma" w:cs="Tahoma"/>
      <w:sz w:val="16"/>
      <w:szCs w:val="16"/>
    </w:rPr>
  </w:style>
  <w:style w:type="paragraph" w:customStyle="1" w:styleId="Titreobservations">
    <w:name w:val="Titre observations"/>
    <w:basedOn w:val="Titretableau"/>
    <w:next w:val="Corpsdetexte"/>
    <w:rsid w:val="004879D3"/>
    <w:pPr>
      <w:numPr>
        <w:numId w:val="4"/>
      </w:numPr>
      <w:jc w:val="left"/>
    </w:pPr>
    <w:rPr>
      <w:color w:val="000080"/>
      <w:spacing w:val="4"/>
    </w:rPr>
  </w:style>
  <w:style w:type="paragraph" w:customStyle="1" w:styleId="Style">
    <w:name w:val="Style"/>
    <w:semiHidden/>
    <w:rsid w:val="00A6208F"/>
    <w:pPr>
      <w:widowControl w:val="0"/>
      <w:autoSpaceDE w:val="0"/>
      <w:autoSpaceDN w:val="0"/>
      <w:adjustRightInd w:val="0"/>
    </w:pPr>
    <w:rPr>
      <w:sz w:val="24"/>
      <w:szCs w:val="24"/>
    </w:rPr>
  </w:style>
  <w:style w:type="paragraph" w:customStyle="1" w:styleId="paragraphe">
    <w:name w:val="paragraphe"/>
    <w:semiHidden/>
    <w:rsid w:val="005B284A"/>
    <w:pPr>
      <w:spacing w:after="240" w:line="240" w:lineRule="exact"/>
      <w:ind w:left="2268" w:firstLine="1418"/>
      <w:jc w:val="both"/>
    </w:pPr>
    <w:rPr>
      <w:rFonts w:ascii="Tms Rmn" w:hAnsi="Tms Rmn"/>
      <w:sz w:val="24"/>
    </w:rPr>
  </w:style>
  <w:style w:type="character" w:customStyle="1" w:styleId="CharacterStyle1">
    <w:name w:val="Character Style 1"/>
    <w:semiHidden/>
    <w:rsid w:val="00F81F70"/>
    <w:rPr>
      <w:rFonts w:ascii="Arial" w:hAnsi="Arial"/>
      <w:sz w:val="16"/>
    </w:rPr>
  </w:style>
  <w:style w:type="character" w:customStyle="1" w:styleId="PSCar">
    <w:name w:val="PS Car"/>
    <w:link w:val="PS"/>
    <w:rsid w:val="00D64C6D"/>
    <w:rPr>
      <w:rFonts w:ascii="CG Times (WN)" w:hAnsi="CG Times (WN)"/>
      <w:sz w:val="24"/>
      <w:lang w:val="fr-FR" w:eastAsia="fr-FR" w:bidi="ar-SA"/>
    </w:rPr>
  </w:style>
  <w:style w:type="character" w:styleId="Marquedecommentaire">
    <w:name w:val="annotation reference"/>
    <w:semiHidden/>
    <w:rsid w:val="0024422B"/>
    <w:rPr>
      <w:sz w:val="16"/>
      <w:szCs w:val="16"/>
    </w:rPr>
  </w:style>
  <w:style w:type="paragraph" w:styleId="Commentaire">
    <w:name w:val="annotation text"/>
    <w:basedOn w:val="Normal"/>
    <w:semiHidden/>
    <w:rsid w:val="0024422B"/>
    <w:rPr>
      <w:sz w:val="20"/>
      <w:szCs w:val="20"/>
    </w:rPr>
  </w:style>
  <w:style w:type="paragraph" w:styleId="Objetducommentaire">
    <w:name w:val="annotation subject"/>
    <w:basedOn w:val="Commentaire"/>
    <w:next w:val="Commentaire"/>
    <w:semiHidden/>
    <w:rsid w:val="0024422B"/>
    <w:rPr>
      <w:b/>
      <w:bCs/>
    </w:rPr>
  </w:style>
  <w:style w:type="character" w:customStyle="1" w:styleId="CorpsdetexteCar">
    <w:name w:val="Corps de texte Car"/>
    <w:link w:val="Corpsdetexte"/>
    <w:rsid w:val="00442D13"/>
    <w:rPr>
      <w:sz w:val="24"/>
      <w:szCs w:val="24"/>
    </w:rPr>
  </w:style>
  <w:style w:type="paragraph" w:customStyle="1" w:styleId="CarCar1">
    <w:name w:val="Car Car1"/>
    <w:basedOn w:val="Normal"/>
    <w:rsid w:val="000D4AC6"/>
    <w:pPr>
      <w:widowControl w:val="0"/>
      <w:overflowPunct w:val="0"/>
      <w:autoSpaceDE w:val="0"/>
      <w:autoSpaceDN w:val="0"/>
      <w:adjustRightInd w:val="0"/>
      <w:spacing w:before="0" w:after="160" w:line="240" w:lineRule="exact"/>
      <w:ind w:left="0" w:firstLine="0"/>
      <w:jc w:val="left"/>
    </w:pPr>
    <w:rPr>
      <w:rFonts w:ascii="Tahoma" w:hAnsi="Tahoma"/>
      <w:sz w:val="20"/>
      <w:szCs w:val="20"/>
      <w:lang w:val="en-US" w:eastAsia="en-US"/>
    </w:rPr>
  </w:style>
  <w:style w:type="numbering" w:customStyle="1" w:styleId="Aucuneliste1">
    <w:name w:val="Aucune liste1"/>
    <w:next w:val="Aucuneliste"/>
    <w:uiPriority w:val="99"/>
    <w:semiHidden/>
    <w:unhideWhenUsed/>
    <w:rsid w:val="00D97940"/>
  </w:style>
  <w:style w:type="character" w:customStyle="1" w:styleId="Titre1Car">
    <w:name w:val="Titre 1 Car"/>
    <w:link w:val="Titre1"/>
    <w:rsid w:val="00D97940"/>
    <w:rPr>
      <w:b/>
      <w:bCs/>
      <w:caps/>
      <w:kern w:val="28"/>
      <w:sz w:val="24"/>
      <w:szCs w:val="24"/>
    </w:rPr>
  </w:style>
  <w:style w:type="character" w:customStyle="1" w:styleId="Titre2Car">
    <w:name w:val="Titre 2 Car"/>
    <w:link w:val="Titre2"/>
    <w:rsid w:val="00D97940"/>
    <w:rPr>
      <w:b/>
      <w:bCs/>
      <w:caps/>
      <w:sz w:val="24"/>
      <w:szCs w:val="24"/>
    </w:rPr>
  </w:style>
  <w:style w:type="character" w:customStyle="1" w:styleId="Titre3Car">
    <w:name w:val="Titre 3 Car"/>
    <w:link w:val="Titre3"/>
    <w:rsid w:val="00D97940"/>
    <w:rPr>
      <w:b/>
      <w:bCs/>
      <w:smallCaps/>
      <w:sz w:val="24"/>
      <w:szCs w:val="24"/>
    </w:rPr>
  </w:style>
  <w:style w:type="character" w:customStyle="1" w:styleId="Titre4Car">
    <w:name w:val="Titre 4 Car"/>
    <w:link w:val="Titre4"/>
    <w:rsid w:val="00D97940"/>
    <w:rPr>
      <w:b/>
      <w:bCs/>
      <w:sz w:val="24"/>
      <w:szCs w:val="24"/>
    </w:rPr>
  </w:style>
  <w:style w:type="character" w:customStyle="1" w:styleId="Titre5Car">
    <w:name w:val="Titre 5 Car"/>
    <w:link w:val="Titre5"/>
    <w:rsid w:val="00D97940"/>
    <w:rPr>
      <w:sz w:val="24"/>
      <w:szCs w:val="24"/>
      <w:u w:val="single"/>
    </w:rPr>
  </w:style>
  <w:style w:type="character" w:customStyle="1" w:styleId="Titre6Car">
    <w:name w:val="Titre 6 Car"/>
    <w:link w:val="Titre6"/>
    <w:rsid w:val="00D97940"/>
    <w:rPr>
      <w:sz w:val="24"/>
      <w:szCs w:val="24"/>
    </w:rPr>
  </w:style>
  <w:style w:type="character" w:customStyle="1" w:styleId="Titre7Car">
    <w:name w:val="Titre 7 Car"/>
    <w:link w:val="Titre7"/>
    <w:rsid w:val="00D97940"/>
    <w:rPr>
      <w:sz w:val="24"/>
      <w:szCs w:val="24"/>
    </w:rPr>
  </w:style>
  <w:style w:type="character" w:customStyle="1" w:styleId="Titre8Car">
    <w:name w:val="Titre 8 Car"/>
    <w:link w:val="Titre8"/>
    <w:rsid w:val="00D97940"/>
    <w:rPr>
      <w:sz w:val="24"/>
      <w:szCs w:val="24"/>
    </w:rPr>
  </w:style>
  <w:style w:type="character" w:customStyle="1" w:styleId="Titre9Car">
    <w:name w:val="Titre 9 Car"/>
    <w:link w:val="Titre9"/>
    <w:rsid w:val="00D97940"/>
    <w:rPr>
      <w:b/>
      <w:bCs/>
    </w:rPr>
  </w:style>
  <w:style w:type="paragraph" w:customStyle="1" w:styleId="tableautextealigndroite">
    <w:name w:val="tableau texte aligné droite"/>
    <w:basedOn w:val="Normal"/>
    <w:rsid w:val="00D97940"/>
    <w:pPr>
      <w:widowControl w:val="0"/>
      <w:spacing w:before="0" w:after="0"/>
      <w:ind w:left="0" w:firstLine="0"/>
      <w:jc w:val="right"/>
    </w:pPr>
    <w:rPr>
      <w:color w:val="000000"/>
      <w:sz w:val="20"/>
      <w:szCs w:val="20"/>
    </w:rPr>
  </w:style>
  <w:style w:type="paragraph" w:customStyle="1" w:styleId="Tableautexte">
    <w:name w:val="Tableau texte"/>
    <w:basedOn w:val="Normal"/>
    <w:rsid w:val="00D97940"/>
    <w:pPr>
      <w:widowControl w:val="0"/>
      <w:spacing w:before="0" w:after="0"/>
      <w:ind w:left="57" w:right="57" w:firstLine="0"/>
      <w:jc w:val="left"/>
    </w:pPr>
    <w:rPr>
      <w:color w:val="000000"/>
    </w:rPr>
  </w:style>
  <w:style w:type="paragraph" w:customStyle="1" w:styleId="enumration1">
    <w:name w:val="enumération 1"/>
    <w:basedOn w:val="Corpsdetexte"/>
    <w:rsid w:val="00D97940"/>
    <w:pPr>
      <w:numPr>
        <w:numId w:val="11"/>
      </w:numPr>
      <w:spacing w:before="120" w:after="120"/>
    </w:pPr>
    <w:rPr>
      <w:spacing w:val="4"/>
    </w:rPr>
  </w:style>
  <w:style w:type="paragraph" w:customStyle="1" w:styleId="enumration2">
    <w:name w:val="enumération 2"/>
    <w:basedOn w:val="Corpsdetexte"/>
    <w:rsid w:val="00D97940"/>
    <w:pPr>
      <w:numPr>
        <w:numId w:val="12"/>
      </w:numPr>
      <w:spacing w:before="60" w:after="60"/>
    </w:pPr>
    <w:rPr>
      <w:spacing w:val="4"/>
    </w:rPr>
  </w:style>
  <w:style w:type="paragraph" w:customStyle="1" w:styleId="Enumrationliste">
    <w:name w:val="Enumération liste"/>
    <w:basedOn w:val="Corpsdetexte"/>
    <w:semiHidden/>
    <w:rsid w:val="00D97940"/>
    <w:pPr>
      <w:numPr>
        <w:numId w:val="13"/>
      </w:numPr>
      <w:spacing w:before="120" w:after="120"/>
    </w:pPr>
    <w:rPr>
      <w:spacing w:val="4"/>
    </w:rPr>
  </w:style>
  <w:style w:type="paragraph" w:customStyle="1" w:styleId="1pageintervenants">
    <w:name w:val="1°page intervenants"/>
    <w:basedOn w:val="Normal"/>
    <w:rsid w:val="00D97940"/>
    <w:pPr>
      <w:spacing w:before="120" w:after="60"/>
      <w:ind w:left="499" w:firstLine="0"/>
      <w:jc w:val="left"/>
    </w:pPr>
    <w:rPr>
      <w:noProof/>
    </w:rPr>
  </w:style>
  <w:style w:type="paragraph" w:customStyle="1" w:styleId="1pageRapport">
    <w:name w:val="1°page Rapport"/>
    <w:basedOn w:val="Normal"/>
    <w:next w:val="Corpsdetexte"/>
    <w:rsid w:val="00D97940"/>
    <w:pPr>
      <w:spacing w:before="240" w:after="240"/>
      <w:ind w:left="0" w:firstLine="0"/>
      <w:jc w:val="center"/>
    </w:pPr>
    <w:rPr>
      <w:b/>
      <w:bCs/>
      <w:smallCaps/>
      <w:sz w:val="32"/>
      <w:szCs w:val="32"/>
    </w:rPr>
  </w:style>
  <w:style w:type="paragraph" w:customStyle="1" w:styleId="apostille">
    <w:name w:val="apostille"/>
    <w:next w:val="Corpsdetexte"/>
    <w:rsid w:val="00D97940"/>
    <w:pPr>
      <w:jc w:val="right"/>
    </w:pPr>
    <w:rPr>
      <w:b/>
      <w:bCs/>
      <w:smallCaps/>
      <w:noProof/>
      <w:color w:val="000080"/>
      <w:sz w:val="28"/>
      <w:szCs w:val="28"/>
    </w:rPr>
  </w:style>
  <w:style w:type="character" w:customStyle="1" w:styleId="NotedebasdepageCar">
    <w:name w:val="Note de bas de page Car"/>
    <w:basedOn w:val="Policepardfaut"/>
    <w:link w:val="Notedebasdepage"/>
    <w:rsid w:val="00D97940"/>
  </w:style>
  <w:style w:type="paragraph" w:customStyle="1" w:styleId="1pagerapporteur">
    <w:name w:val="1°page rapporteur"/>
    <w:basedOn w:val="Normal"/>
    <w:rsid w:val="00D97940"/>
    <w:pPr>
      <w:spacing w:before="120" w:after="120"/>
      <w:ind w:left="0" w:firstLine="0"/>
      <w:jc w:val="center"/>
    </w:pPr>
  </w:style>
  <w:style w:type="paragraph" w:customStyle="1" w:styleId="Enumrationcarr">
    <w:name w:val="Enumération carré"/>
    <w:basedOn w:val="Normal"/>
    <w:semiHidden/>
    <w:rsid w:val="00D97940"/>
    <w:pPr>
      <w:numPr>
        <w:numId w:val="14"/>
      </w:numPr>
      <w:spacing w:before="120" w:after="120"/>
    </w:pPr>
  </w:style>
  <w:style w:type="paragraph" w:customStyle="1" w:styleId="numration1">
    <w:name w:val="énumération 1"/>
    <w:basedOn w:val="Normal"/>
    <w:rsid w:val="00D97940"/>
    <w:pPr>
      <w:numPr>
        <w:numId w:val="15"/>
      </w:numPr>
      <w:spacing w:before="120" w:after="120"/>
    </w:pPr>
  </w:style>
  <w:style w:type="paragraph" w:customStyle="1" w:styleId="tableaucentr">
    <w:name w:val="tableau centré"/>
    <w:rsid w:val="00D97940"/>
    <w:pPr>
      <w:spacing w:line="240" w:lineRule="atLeast"/>
      <w:jc w:val="center"/>
    </w:pPr>
    <w:rPr>
      <w:noProof/>
      <w:sz w:val="24"/>
      <w:szCs w:val="24"/>
    </w:rPr>
  </w:style>
  <w:style w:type="character" w:styleId="Lienhypertexte">
    <w:name w:val="Hyperlink"/>
    <w:uiPriority w:val="99"/>
    <w:rsid w:val="00D97940"/>
    <w:rPr>
      <w:color w:val="0000FF"/>
      <w:u w:val="single"/>
    </w:rPr>
  </w:style>
  <w:style w:type="character" w:customStyle="1" w:styleId="En-tteCar">
    <w:name w:val="En-tête Car"/>
    <w:link w:val="En-tte"/>
    <w:semiHidden/>
    <w:rsid w:val="00D97940"/>
    <w:rPr>
      <w:sz w:val="24"/>
      <w:szCs w:val="24"/>
    </w:rPr>
  </w:style>
  <w:style w:type="character" w:customStyle="1" w:styleId="PieddepageCar">
    <w:name w:val="Pied de page Car"/>
    <w:link w:val="Pieddepage"/>
    <w:semiHidden/>
    <w:rsid w:val="00D97940"/>
    <w:rPr>
      <w:sz w:val="24"/>
      <w:szCs w:val="24"/>
    </w:rPr>
  </w:style>
  <w:style w:type="paragraph" w:styleId="NormalWeb">
    <w:name w:val="Normal (Web)"/>
    <w:basedOn w:val="Normal"/>
    <w:semiHidden/>
    <w:rsid w:val="00D97940"/>
    <w:pPr>
      <w:spacing w:before="100" w:beforeAutospacing="1" w:after="100" w:afterAutospacing="1"/>
      <w:ind w:left="0" w:firstLine="0"/>
      <w:jc w:val="left"/>
    </w:pPr>
  </w:style>
  <w:style w:type="paragraph" w:customStyle="1" w:styleId="Source">
    <w:name w:val="Source"/>
    <w:basedOn w:val="Corpsdetexte"/>
    <w:next w:val="Corpsdetexte"/>
    <w:rsid w:val="00D97940"/>
    <w:pPr>
      <w:spacing w:before="0" w:after="120"/>
      <w:ind w:left="0" w:firstLine="0"/>
      <w:jc w:val="left"/>
    </w:pPr>
    <w:rPr>
      <w:i/>
      <w:spacing w:val="4"/>
      <w:sz w:val="20"/>
      <w:szCs w:val="20"/>
    </w:rPr>
  </w:style>
  <w:style w:type="paragraph" w:customStyle="1" w:styleId="Textedesaisie">
    <w:name w:val="Texte de saisie"/>
    <w:basedOn w:val="Normal"/>
    <w:rsid w:val="00D97940"/>
    <w:pPr>
      <w:spacing w:before="60" w:after="140" w:line="240" w:lineRule="atLeast"/>
      <w:ind w:left="0" w:firstLine="0"/>
      <w:jc w:val="left"/>
    </w:pPr>
    <w:rPr>
      <w:rFonts w:ascii="Arial" w:hAnsi="Arial"/>
      <w:sz w:val="20"/>
      <w:szCs w:val="20"/>
    </w:rPr>
  </w:style>
  <w:style w:type="table" w:styleId="Grilledutableau">
    <w:name w:val="Table Grid"/>
    <w:basedOn w:val="TableauNormal"/>
    <w:uiPriority w:val="59"/>
    <w:rsid w:val="00D97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au0">
    <w:name w:val="tableau"/>
    <w:basedOn w:val="Normal"/>
    <w:semiHidden/>
    <w:rsid w:val="00D97940"/>
    <w:pPr>
      <w:spacing w:before="120" w:after="120" w:line="360" w:lineRule="auto"/>
      <w:ind w:left="0" w:firstLine="0"/>
    </w:pPr>
    <w:rPr>
      <w:sz w:val="20"/>
    </w:rPr>
  </w:style>
  <w:style w:type="paragraph" w:customStyle="1" w:styleId="Chambre">
    <w:name w:val="Chambre"/>
    <w:basedOn w:val="Normal"/>
    <w:rsid w:val="00D97940"/>
    <w:pPr>
      <w:keepNext/>
      <w:spacing w:before="60" w:after="120"/>
      <w:ind w:left="0" w:firstLine="0"/>
      <w:jc w:val="center"/>
      <w:outlineLvl w:val="5"/>
    </w:pPr>
    <w:rPr>
      <w:b/>
      <w:smallCaps/>
      <w:sz w:val="28"/>
      <w:szCs w:val="20"/>
    </w:rPr>
  </w:style>
  <w:style w:type="paragraph" w:customStyle="1" w:styleId="CarCar1CarCarCarCarCarCar">
    <w:name w:val="Car Car1 Car Car Car Car Car Car"/>
    <w:basedOn w:val="Normal"/>
    <w:rsid w:val="004366FE"/>
    <w:pPr>
      <w:spacing w:before="0" w:after="160" w:line="240" w:lineRule="exact"/>
      <w:ind w:left="0" w:firstLine="0"/>
      <w:jc w:val="left"/>
    </w:pPr>
    <w:rPr>
      <w:rFonts w:ascii="Tahoma" w:hAnsi="Tahoma"/>
      <w:sz w:val="20"/>
      <w:szCs w:val="20"/>
      <w:lang w:val="en-US" w:eastAsia="en-US"/>
    </w:rPr>
  </w:style>
  <w:style w:type="character" w:customStyle="1" w:styleId="P0Car">
    <w:name w:val="P0 Car"/>
    <w:link w:val="P0"/>
    <w:rsid w:val="00EB7BE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3432">
      <w:bodyDiv w:val="1"/>
      <w:marLeft w:val="0"/>
      <w:marRight w:val="0"/>
      <w:marTop w:val="0"/>
      <w:marBottom w:val="0"/>
      <w:divBdr>
        <w:top w:val="none" w:sz="0" w:space="0" w:color="auto"/>
        <w:left w:val="none" w:sz="0" w:space="0" w:color="auto"/>
        <w:bottom w:val="none" w:sz="0" w:space="0" w:color="auto"/>
        <w:right w:val="none" w:sz="0" w:space="0" w:color="auto"/>
      </w:divBdr>
    </w:div>
    <w:div w:id="15845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enhaji\Application%20Data\Microsoft\Mod&#232;les\Rapports\CCOS_ARRET%20APP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CCOS_ARRET APPEL.dot</Template>
  <TotalTime>47</TotalTime>
  <Pages>22</Pages>
  <Words>9326</Words>
  <Characters>51296</Characters>
  <Application>Microsoft Office Word</Application>
  <DocSecurity>0</DocSecurity>
  <Lines>427</Lines>
  <Paragraphs>121</Paragraphs>
  <ScaleCrop>false</ScaleCrop>
  <HeadingPairs>
    <vt:vector size="2" baseType="variant">
      <vt:variant>
        <vt:lpstr>Titre</vt:lpstr>
      </vt:variant>
      <vt:variant>
        <vt:i4>1</vt:i4>
      </vt:variant>
    </vt:vector>
  </HeadingPairs>
  <TitlesOfParts>
    <vt:vector size="1" baseType="lpstr">
      <vt:lpstr>Inria - arrêt</vt:lpstr>
    </vt:vector>
  </TitlesOfParts>
  <Company>Cour des comptes</Company>
  <LinksUpToDate>false</LinksUpToDate>
  <CharactersWithSpaces>60501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Inria - arrêt</dc:title>
  <dc:creator>Omar SENHAJI</dc:creator>
  <cp:lastModifiedBy>Jean-Pierre Bonin</cp:lastModifiedBy>
  <cp:revision>4</cp:revision>
  <cp:lastPrinted>2014-02-07T14:53:00Z</cp:lastPrinted>
  <dcterms:created xsi:type="dcterms:W3CDTF">2014-05-21T15:07:00Z</dcterms:created>
  <dcterms:modified xsi:type="dcterms:W3CDTF">2014-05-28T17:35:00Z</dcterms:modified>
</cp:coreProperties>
</file>