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B36" w:rsidRDefault="00AD7326" w:rsidP="00CA5B36">
      <w:pPr>
        <w:pStyle w:val="ET"/>
      </w:pPr>
      <w:r>
        <w:t xml:space="preserve"> </w:t>
      </w:r>
      <w:r w:rsidR="00CA5B36">
        <w:t>COUR DES COMPTES</w:t>
      </w:r>
    </w:p>
    <w:p w:rsidR="00CA5B36" w:rsidRDefault="00CA5B36" w:rsidP="00CA5B36">
      <w:pPr>
        <w:pStyle w:val="ET"/>
      </w:pPr>
      <w:r>
        <w:tab/>
      </w:r>
      <w:r w:rsidR="008D7343">
        <w:t xml:space="preserve"> </w:t>
      </w:r>
      <w:r w:rsidR="003C0D2D">
        <w:t xml:space="preserve"> </w:t>
      </w:r>
      <w:r>
        <w:t xml:space="preserve">------- </w:t>
      </w:r>
    </w:p>
    <w:p w:rsidR="00CA5B36" w:rsidRDefault="007F757B" w:rsidP="00CA5B36">
      <w:pPr>
        <w:pStyle w:val="ET"/>
      </w:pPr>
      <w:r>
        <w:t>Deux</w:t>
      </w:r>
      <w:r w:rsidR="00CA5B36">
        <w:t>IEME CHAMBRE</w:t>
      </w:r>
    </w:p>
    <w:p w:rsidR="00CA5B36" w:rsidRDefault="00CA5B36" w:rsidP="00CA5B36">
      <w:pPr>
        <w:pStyle w:val="ET"/>
      </w:pPr>
      <w:r>
        <w:tab/>
      </w:r>
      <w:r w:rsidR="008D7343">
        <w:t xml:space="preserve"> </w:t>
      </w:r>
      <w:r w:rsidR="003C0D2D">
        <w:t xml:space="preserve"> </w:t>
      </w:r>
      <w:r>
        <w:t xml:space="preserve">------- </w:t>
      </w:r>
    </w:p>
    <w:p w:rsidR="00CA5B36" w:rsidRDefault="00AD7326" w:rsidP="00CA5B36">
      <w:pPr>
        <w:pStyle w:val="ET"/>
      </w:pPr>
      <w:r>
        <w:t xml:space="preserve"> </w:t>
      </w:r>
      <w:r w:rsidR="007F757B">
        <w:t>Premièr</w:t>
      </w:r>
      <w:r w:rsidR="00CA5B36">
        <w:t>E SECTION</w:t>
      </w:r>
    </w:p>
    <w:p w:rsidR="00CA5B36" w:rsidRDefault="00CA5B36" w:rsidP="00CA5B36">
      <w:pPr>
        <w:pStyle w:val="ET"/>
        <w:spacing w:after="120"/>
      </w:pPr>
      <w:r>
        <w:tab/>
      </w:r>
      <w:r w:rsidR="008D7343">
        <w:t xml:space="preserve"> </w:t>
      </w:r>
      <w:r w:rsidR="003C0D2D">
        <w:t xml:space="preserve"> </w:t>
      </w:r>
      <w:r>
        <w:t xml:space="preserve">------- </w:t>
      </w:r>
    </w:p>
    <w:p w:rsidR="00CA5B36" w:rsidRPr="00CA5B36" w:rsidRDefault="008D7343" w:rsidP="00BF0D84">
      <w:pPr>
        <w:pStyle w:val="En-tte"/>
        <w:spacing w:after="120"/>
        <w:rPr>
          <w:b/>
          <w:i/>
          <w:sz w:val="22"/>
          <w:szCs w:val="22"/>
        </w:rPr>
      </w:pPr>
      <w:r>
        <w:rPr>
          <w:b/>
          <w:i/>
          <w:sz w:val="22"/>
          <w:szCs w:val="22"/>
        </w:rPr>
        <w:t xml:space="preserve">  </w:t>
      </w:r>
      <w:r w:rsidR="00BB64A6">
        <w:rPr>
          <w:b/>
          <w:i/>
          <w:sz w:val="22"/>
          <w:szCs w:val="22"/>
        </w:rPr>
        <w:t xml:space="preserve">  </w:t>
      </w:r>
      <w:r w:rsidR="00E54C63">
        <w:rPr>
          <w:b/>
          <w:i/>
          <w:sz w:val="22"/>
          <w:szCs w:val="22"/>
        </w:rPr>
        <w:t xml:space="preserve"> </w:t>
      </w:r>
      <w:r w:rsidR="00EC329C">
        <w:rPr>
          <w:b/>
          <w:i/>
          <w:sz w:val="22"/>
          <w:szCs w:val="22"/>
        </w:rPr>
        <w:t xml:space="preserve"> </w:t>
      </w:r>
      <w:r w:rsidR="00CB12BE">
        <w:rPr>
          <w:b/>
          <w:i/>
          <w:sz w:val="22"/>
          <w:szCs w:val="22"/>
        </w:rPr>
        <w:t xml:space="preserve">  </w:t>
      </w:r>
      <w:r w:rsidR="008F61C1">
        <w:rPr>
          <w:b/>
          <w:i/>
          <w:sz w:val="22"/>
          <w:szCs w:val="22"/>
        </w:rPr>
        <w:t xml:space="preserve"> </w:t>
      </w:r>
      <w:r w:rsidR="00CA5B36" w:rsidRPr="00CA5B36">
        <w:rPr>
          <w:b/>
          <w:i/>
          <w:sz w:val="22"/>
          <w:szCs w:val="22"/>
        </w:rPr>
        <w:t xml:space="preserve"> Arrêt n° </w:t>
      </w:r>
      <w:r w:rsidR="00E54C63">
        <w:rPr>
          <w:b/>
          <w:i/>
          <w:sz w:val="22"/>
          <w:szCs w:val="22"/>
        </w:rPr>
        <w:t>69090</w:t>
      </w:r>
    </w:p>
    <w:p w:rsidR="00CA5B36" w:rsidRDefault="00D16672" w:rsidP="00CA5B36">
      <w:pPr>
        <w:pStyle w:val="OR"/>
      </w:pPr>
      <w:r>
        <w:t>ACADEMIE DE MARINE</w:t>
      </w:r>
    </w:p>
    <w:p w:rsidR="00CA5B36" w:rsidRDefault="00CA5B36" w:rsidP="00CA5B36">
      <w:pPr>
        <w:pStyle w:val="OR"/>
      </w:pPr>
    </w:p>
    <w:p w:rsidR="00CA5B36" w:rsidRDefault="00CA5B36" w:rsidP="00CA5B36">
      <w:pPr>
        <w:pStyle w:val="OR"/>
      </w:pPr>
    </w:p>
    <w:p w:rsidR="00CA5B36" w:rsidRDefault="00CA5B36" w:rsidP="00CA5B36">
      <w:pPr>
        <w:pStyle w:val="OR"/>
      </w:pPr>
      <w:r w:rsidRPr="00DE5DB3">
        <w:t xml:space="preserve">Exercices </w:t>
      </w:r>
      <w:r>
        <w:t>200</w:t>
      </w:r>
      <w:r w:rsidR="007F757B">
        <w:t>7</w:t>
      </w:r>
      <w:r>
        <w:t xml:space="preserve"> à</w:t>
      </w:r>
      <w:r w:rsidRPr="00DE5DB3">
        <w:t xml:space="preserve"> 200</w:t>
      </w:r>
      <w:r w:rsidR="00D16672">
        <w:t>9</w:t>
      </w:r>
    </w:p>
    <w:p w:rsidR="00CA5B36" w:rsidRDefault="00CA5B36" w:rsidP="00CA5B36">
      <w:pPr>
        <w:pStyle w:val="OR"/>
      </w:pPr>
    </w:p>
    <w:p w:rsidR="00CA5B36" w:rsidRDefault="00CA5B36" w:rsidP="00CA5B36">
      <w:pPr>
        <w:pStyle w:val="OR"/>
      </w:pPr>
      <w:r>
        <w:t xml:space="preserve">Rapport n° </w:t>
      </w:r>
      <w:r w:rsidR="00B1016A" w:rsidRPr="00B1016A">
        <w:t>2013-</w:t>
      </w:r>
      <w:r w:rsidR="00D16672">
        <w:t>643</w:t>
      </w:r>
      <w:r w:rsidR="00B1016A" w:rsidRPr="00B1016A">
        <w:t>-0</w:t>
      </w:r>
    </w:p>
    <w:p w:rsidR="00CA5B36" w:rsidRDefault="00CA5B36" w:rsidP="00CA5B36">
      <w:pPr>
        <w:pStyle w:val="OR"/>
      </w:pPr>
    </w:p>
    <w:p w:rsidR="00CA5B36" w:rsidRDefault="00CA5B36" w:rsidP="00CA5B36">
      <w:pPr>
        <w:pStyle w:val="OR"/>
      </w:pPr>
      <w:r>
        <w:t xml:space="preserve">Audience publique du </w:t>
      </w:r>
      <w:r w:rsidR="00D16672">
        <w:t>2 décembre 2013</w:t>
      </w:r>
    </w:p>
    <w:p w:rsidR="00CA5B36" w:rsidRDefault="00CA5B36" w:rsidP="00CA5B36">
      <w:pPr>
        <w:pStyle w:val="OR"/>
      </w:pPr>
    </w:p>
    <w:p w:rsidR="00CA5B36" w:rsidRDefault="00CA5B36" w:rsidP="00CA5B36">
      <w:pPr>
        <w:pStyle w:val="OR"/>
      </w:pPr>
      <w:r>
        <w:t xml:space="preserve">Lecture publique </w:t>
      </w:r>
      <w:r w:rsidRPr="002F26BB">
        <w:t xml:space="preserve">du </w:t>
      </w:r>
      <w:r w:rsidR="00344CC8">
        <w:t>8 avril 2014</w:t>
      </w:r>
    </w:p>
    <w:p w:rsidR="00CA5B36" w:rsidRDefault="00CA5B36" w:rsidP="00CA5B36">
      <w:pPr>
        <w:pStyle w:val="OR"/>
      </w:pPr>
    </w:p>
    <w:p w:rsidR="005100E8" w:rsidRDefault="005100E8" w:rsidP="005100E8">
      <w:pPr>
        <w:pStyle w:val="AR"/>
        <w:spacing w:before="0" w:after="0"/>
        <w:ind w:left="0"/>
        <w:jc w:val="center"/>
        <w:rPr>
          <w:u w:val="none"/>
        </w:rPr>
      </w:pPr>
      <w:r w:rsidRPr="005100E8">
        <w:rPr>
          <w:u w:val="none"/>
        </w:rPr>
        <w:t>REPUBLIQUE FRANÇAISE</w:t>
      </w:r>
    </w:p>
    <w:p w:rsidR="005100E8" w:rsidRPr="005100E8" w:rsidRDefault="005100E8" w:rsidP="005100E8">
      <w:pPr>
        <w:pStyle w:val="AR"/>
        <w:spacing w:before="0" w:after="0"/>
        <w:ind w:left="0"/>
        <w:jc w:val="center"/>
        <w:rPr>
          <w:u w:val="none"/>
        </w:rPr>
      </w:pPr>
    </w:p>
    <w:p w:rsidR="005100E8" w:rsidRDefault="005100E8" w:rsidP="005100E8">
      <w:pPr>
        <w:pStyle w:val="OR"/>
        <w:ind w:left="0"/>
        <w:jc w:val="center"/>
      </w:pPr>
      <w:r w:rsidRPr="005100E8">
        <w:t>AU NOM DU PEUPLE FRANÇAIS</w:t>
      </w:r>
    </w:p>
    <w:p w:rsidR="005100E8" w:rsidRPr="005100E8" w:rsidRDefault="005100E8" w:rsidP="005100E8">
      <w:pPr>
        <w:pStyle w:val="AR"/>
        <w:spacing w:before="0" w:after="0"/>
        <w:ind w:left="0"/>
        <w:jc w:val="center"/>
        <w:rPr>
          <w:u w:val="none"/>
        </w:rPr>
      </w:pPr>
    </w:p>
    <w:p w:rsidR="005100E8" w:rsidRDefault="005100E8" w:rsidP="005100E8">
      <w:pPr>
        <w:pStyle w:val="AR"/>
        <w:spacing w:before="0" w:after="0"/>
        <w:ind w:left="0"/>
        <w:jc w:val="center"/>
        <w:rPr>
          <w:caps w:val="0"/>
          <w:u w:val="none"/>
        </w:rPr>
      </w:pPr>
      <w:r w:rsidRPr="005100E8">
        <w:rPr>
          <w:caps w:val="0"/>
          <w:u w:val="none"/>
        </w:rPr>
        <w:t>LA COUR DES COMPTES</w:t>
      </w:r>
      <w:r>
        <w:rPr>
          <w:caps w:val="0"/>
          <w:u w:val="none"/>
        </w:rPr>
        <w:t xml:space="preserve"> a rendu l’arrêt suivant :</w:t>
      </w:r>
    </w:p>
    <w:p w:rsidR="005100E8" w:rsidRPr="005100E8" w:rsidRDefault="005100E8" w:rsidP="005100E8">
      <w:pPr>
        <w:pStyle w:val="AR"/>
        <w:spacing w:before="0" w:after="0"/>
        <w:ind w:left="0"/>
        <w:jc w:val="center"/>
        <w:rPr>
          <w:caps w:val="0"/>
          <w:u w:val="none"/>
        </w:rPr>
      </w:pPr>
    </w:p>
    <w:p w:rsidR="00CA5B36" w:rsidRDefault="00CA5B36" w:rsidP="00CA5B36">
      <w:pPr>
        <w:pStyle w:val="PS"/>
        <w:spacing w:after="360"/>
      </w:pPr>
      <w:r>
        <w:t>LA COUR,</w:t>
      </w:r>
    </w:p>
    <w:p w:rsidR="00CA5B36" w:rsidRPr="008F1062" w:rsidRDefault="00CA5B36" w:rsidP="007F757B">
      <w:pPr>
        <w:pStyle w:val="PS"/>
        <w:spacing w:after="360"/>
      </w:pPr>
      <w:r w:rsidRPr="00BC105C">
        <w:t xml:space="preserve">Vu le réquisitoire </w:t>
      </w:r>
      <w:r w:rsidR="007F757B" w:rsidRPr="007F757B">
        <w:t>n°</w:t>
      </w:r>
      <w:r w:rsidR="00501E93">
        <w:t> </w:t>
      </w:r>
      <w:r w:rsidR="007F757B" w:rsidRPr="007F757B">
        <w:t>201</w:t>
      </w:r>
      <w:r w:rsidR="00D16672">
        <w:t>3</w:t>
      </w:r>
      <w:r w:rsidR="007F757B" w:rsidRPr="007F757B">
        <w:t>-</w:t>
      </w:r>
      <w:r w:rsidR="00D16672">
        <w:t>23</w:t>
      </w:r>
      <w:r w:rsidR="007F757B" w:rsidRPr="007F757B">
        <w:t xml:space="preserve"> RQ-DB du </w:t>
      </w:r>
      <w:r w:rsidR="00D16672">
        <w:t>26 avril 2013</w:t>
      </w:r>
      <w:r w:rsidR="007F757B" w:rsidRPr="007F757B">
        <w:t xml:space="preserve"> </w:t>
      </w:r>
      <w:r w:rsidRPr="00BC105C">
        <w:t>par lequel le</w:t>
      </w:r>
      <w:r w:rsidR="00260C8D">
        <w:t xml:space="preserve"> </w:t>
      </w:r>
      <w:r w:rsidRPr="00BC105C">
        <w:t xml:space="preserve">Procureur général près la Cour des comptes a saisi la </w:t>
      </w:r>
      <w:r w:rsidR="007F757B">
        <w:t>deuxième</w:t>
      </w:r>
      <w:r w:rsidRPr="00BC105C">
        <w:t xml:space="preserve"> chambre de la Cour de </w:t>
      </w:r>
      <w:r w:rsidR="00652FF4">
        <w:t>deux</w:t>
      </w:r>
      <w:r w:rsidR="0067437C">
        <w:t xml:space="preserve"> </w:t>
      </w:r>
      <w:r w:rsidRPr="00BC105C">
        <w:t xml:space="preserve">présomptions de charges soulevées à l’encontre de </w:t>
      </w:r>
      <w:r w:rsidR="007613BC">
        <w:t>M</w:t>
      </w:r>
      <w:r w:rsidR="007613BC" w:rsidRPr="00260C8D">
        <w:rPr>
          <w:vertAlign w:val="superscript"/>
        </w:rPr>
        <w:t>me</w:t>
      </w:r>
      <w:r w:rsidR="007613BC">
        <w:t xml:space="preserve"> X</w:t>
      </w:r>
      <w:r w:rsidR="00955425">
        <w:t xml:space="preserve">, </w:t>
      </w:r>
      <w:r w:rsidRPr="00BC105C">
        <w:t>agent</w:t>
      </w:r>
      <w:r w:rsidR="00260C8D">
        <w:t xml:space="preserve"> </w:t>
      </w:r>
      <w:r w:rsidRPr="00BC105C">
        <w:t xml:space="preserve">comptable </w:t>
      </w:r>
      <w:r w:rsidR="00B419F4">
        <w:t>de l’ACADEMIE DE</w:t>
      </w:r>
      <w:r w:rsidR="008F1062" w:rsidRPr="00B1016A">
        <w:rPr>
          <w:caps/>
        </w:rPr>
        <w:t xml:space="preserve"> marine</w:t>
      </w:r>
      <w:r w:rsidR="00376329">
        <w:t xml:space="preserve"> au cours des exercices </w:t>
      </w:r>
      <w:r w:rsidR="00F3701E">
        <w:t xml:space="preserve">2007 à </w:t>
      </w:r>
      <w:r w:rsidR="00B419F4">
        <w:t>2009 </w:t>
      </w:r>
      <w:r w:rsidR="008F61C1">
        <w:t>;</w:t>
      </w:r>
    </w:p>
    <w:p w:rsidR="00CA5B36" w:rsidRPr="008F1062" w:rsidRDefault="00CA5B36" w:rsidP="00CA5B36">
      <w:pPr>
        <w:pStyle w:val="PS"/>
        <w:spacing w:after="360"/>
      </w:pPr>
      <w:r w:rsidRPr="008F1062">
        <w:t>Vu le code des juridictions financières</w:t>
      </w:r>
      <w:r w:rsidR="00E246BE">
        <w:t>, notamment son article L.</w:t>
      </w:r>
      <w:r w:rsidR="00B1016A">
        <w:t> </w:t>
      </w:r>
      <w:r w:rsidR="00E246BE">
        <w:t>111-1</w:t>
      </w:r>
      <w:r w:rsidR="008F61C1">
        <w:t> ;</w:t>
      </w:r>
    </w:p>
    <w:p w:rsidR="00CA5B36" w:rsidRPr="008F1062" w:rsidRDefault="00CA5B36" w:rsidP="00CA5B36">
      <w:pPr>
        <w:pStyle w:val="PS"/>
        <w:spacing w:after="360"/>
      </w:pPr>
      <w:r w:rsidRPr="008F1062">
        <w:t>Vu l’article 60 de la loi de finances n°</w:t>
      </w:r>
      <w:r w:rsidR="003C0D2D" w:rsidRPr="008F1062">
        <w:t> </w:t>
      </w:r>
      <w:r w:rsidRPr="008F1062">
        <w:t>63-156 du 23 février 1963, dans sa rédaction issue de l’articl</w:t>
      </w:r>
      <w:r w:rsidR="00260C8D">
        <w:t xml:space="preserve">e </w:t>
      </w:r>
      <w:r w:rsidRPr="008F1062">
        <w:t>90 de la loi n°</w:t>
      </w:r>
      <w:r w:rsidR="003C0D2D" w:rsidRPr="008F1062">
        <w:t> </w:t>
      </w:r>
      <w:r w:rsidRPr="008F1062">
        <w:t>2011-1978 du 28 décembre 2011 de finances rectificative pour 2011</w:t>
      </w:r>
      <w:r w:rsidR="008F61C1">
        <w:t> ;</w:t>
      </w:r>
    </w:p>
    <w:p w:rsidR="00F02E41" w:rsidRPr="00BC105C" w:rsidRDefault="00F02E41" w:rsidP="00F02E41">
      <w:pPr>
        <w:pStyle w:val="PS"/>
        <w:spacing w:after="240"/>
      </w:pPr>
      <w:r w:rsidRPr="00BC105C">
        <w:t>Vu le décret n°</w:t>
      </w:r>
      <w:r>
        <w:t> </w:t>
      </w:r>
      <w:r w:rsidRPr="00BC105C">
        <w:t>62-1587 du 29 décembre 1962 portant règlement général de la</w:t>
      </w:r>
      <w:r w:rsidR="008F61C1">
        <w:t xml:space="preserve"> </w:t>
      </w:r>
      <w:r w:rsidRPr="00BC105C">
        <w:t xml:space="preserve">comptabilité publique </w:t>
      </w:r>
      <w:r>
        <w:t>alors en vigueur</w:t>
      </w:r>
      <w:r w:rsidR="008F61C1">
        <w:t> ;</w:t>
      </w:r>
    </w:p>
    <w:p w:rsidR="00F02E41" w:rsidRDefault="00F02E41" w:rsidP="00F02E41">
      <w:pPr>
        <w:pStyle w:val="PS"/>
        <w:spacing w:after="360"/>
      </w:pPr>
      <w:r w:rsidRPr="00BC105C">
        <w:t>Vu le décret n°</w:t>
      </w:r>
      <w:r>
        <w:t> </w:t>
      </w:r>
      <w:r w:rsidRPr="00BC105C">
        <w:t xml:space="preserve">2012-1386 du 10 décembre 2012 portant application du </w:t>
      </w:r>
      <w:r w:rsidRPr="00E246BE">
        <w:t>deuxième alinéa du VI de l’article 60 de la loi</w:t>
      </w:r>
      <w:r>
        <w:t xml:space="preserve"> de finances de 1963 susvisée</w:t>
      </w:r>
      <w:r w:rsidR="008F61C1">
        <w:t> ;</w:t>
      </w:r>
    </w:p>
    <w:p w:rsidR="00E246BE" w:rsidRPr="0031649A" w:rsidRDefault="00E246BE" w:rsidP="00E246BE">
      <w:pPr>
        <w:pStyle w:val="PS"/>
        <w:spacing w:after="360"/>
      </w:pPr>
      <w:r w:rsidRPr="0031649A">
        <w:t>Vu le code de la défense, notamment ses articles R</w:t>
      </w:r>
      <w:r w:rsidR="00B1016A">
        <w:t>.</w:t>
      </w:r>
      <w:r w:rsidR="00271535">
        <w:t> </w:t>
      </w:r>
      <w:r w:rsidRPr="0031649A">
        <w:t>34</w:t>
      </w:r>
      <w:r w:rsidR="005C583E">
        <w:t>13</w:t>
      </w:r>
      <w:r w:rsidRPr="0031649A">
        <w:t>-</w:t>
      </w:r>
      <w:r w:rsidR="005C583E">
        <w:t>88</w:t>
      </w:r>
      <w:r w:rsidRPr="0031649A">
        <w:t xml:space="preserve"> à R.</w:t>
      </w:r>
      <w:r w:rsidR="00271535">
        <w:t> </w:t>
      </w:r>
      <w:r w:rsidR="005C583E">
        <w:t>3413-</w:t>
      </w:r>
      <w:r w:rsidR="008C7A98">
        <w:t>115</w:t>
      </w:r>
      <w:r w:rsidR="008F61C1" w:rsidRPr="0031649A">
        <w:t> ;</w:t>
      </w:r>
    </w:p>
    <w:p w:rsidR="00CA5B36" w:rsidRPr="0031649A" w:rsidRDefault="00CA5B36" w:rsidP="00CA5B36">
      <w:pPr>
        <w:pStyle w:val="PS"/>
        <w:spacing w:after="360"/>
      </w:pPr>
      <w:r w:rsidRPr="0031649A">
        <w:t xml:space="preserve">Vu les lois et règlements applicables aux établissements publics </w:t>
      </w:r>
      <w:r w:rsidR="00DC49FE" w:rsidRPr="0031649A">
        <w:t xml:space="preserve">administratifs </w:t>
      </w:r>
      <w:r w:rsidRPr="0031649A">
        <w:t>nationaux</w:t>
      </w:r>
      <w:r w:rsidR="008F61C1" w:rsidRPr="0031649A">
        <w:t> ;</w:t>
      </w:r>
    </w:p>
    <w:p w:rsidR="00CA5B36" w:rsidRPr="00E246BE" w:rsidRDefault="00CA5B36" w:rsidP="00CA5B36">
      <w:pPr>
        <w:pStyle w:val="PS"/>
        <w:spacing w:after="360"/>
      </w:pPr>
      <w:r w:rsidRPr="00E246BE">
        <w:lastRenderedPageBreak/>
        <w:t>Vu l’arrêté du Premier président de la Cour des comptes n°</w:t>
      </w:r>
      <w:r w:rsidR="00412B06" w:rsidRPr="00E246BE">
        <w:t> </w:t>
      </w:r>
      <w:r w:rsidRPr="00E246BE">
        <w:t>11-829 du</w:t>
      </w:r>
      <w:r w:rsidR="00260C8D">
        <w:t xml:space="preserve"> </w:t>
      </w:r>
      <w:r w:rsidRPr="00E246BE">
        <w:t>27</w:t>
      </w:r>
      <w:r w:rsidR="00260C8D">
        <w:t xml:space="preserve"> </w:t>
      </w:r>
      <w:r w:rsidRPr="00E246BE">
        <w:t>décembre</w:t>
      </w:r>
      <w:r w:rsidR="00260C8D">
        <w:t xml:space="preserve"> </w:t>
      </w:r>
      <w:r w:rsidRPr="00E246BE">
        <w:t>2011 portant répartition des attributions entre les chambres de la Cour des comptes</w:t>
      </w:r>
      <w:r w:rsidR="00E246BE">
        <w:t>, notamment son annexe 3</w:t>
      </w:r>
      <w:r w:rsidR="008F61C1">
        <w:t> ;</w:t>
      </w:r>
    </w:p>
    <w:p w:rsidR="00CA5B36" w:rsidRDefault="00CA5B36" w:rsidP="00CA5B36">
      <w:pPr>
        <w:pStyle w:val="PS"/>
        <w:spacing w:after="360"/>
      </w:pPr>
      <w:r w:rsidRPr="00BC105C">
        <w:t xml:space="preserve">Vu les lettres </w:t>
      </w:r>
      <w:r w:rsidR="00BA40CB">
        <w:t>en date du</w:t>
      </w:r>
      <w:r w:rsidRPr="00BC105C">
        <w:t xml:space="preserve"> </w:t>
      </w:r>
      <w:r w:rsidR="00652FF4">
        <w:t>14 mai 2013</w:t>
      </w:r>
      <w:r w:rsidRPr="00BC105C">
        <w:t xml:space="preserve"> </w:t>
      </w:r>
      <w:r w:rsidR="00BA40CB">
        <w:t xml:space="preserve">notifiant </w:t>
      </w:r>
      <w:r w:rsidRPr="00BC105C">
        <w:t>le</w:t>
      </w:r>
      <w:r w:rsidR="00BA40CB">
        <w:t xml:space="preserve"> </w:t>
      </w:r>
      <w:r w:rsidRPr="00BC105C">
        <w:t xml:space="preserve">réquisitoire </w:t>
      </w:r>
      <w:r w:rsidR="00BA40CB">
        <w:t>et</w:t>
      </w:r>
      <w:r w:rsidR="000A49BB">
        <w:t xml:space="preserve"> </w:t>
      </w:r>
      <w:r w:rsidR="00BA40CB">
        <w:t>indiquant le nom du rapporteur</w:t>
      </w:r>
      <w:r w:rsidRPr="00BC105C">
        <w:t xml:space="preserve"> à </w:t>
      </w:r>
      <w:r w:rsidR="007613BC">
        <w:t>M</w:t>
      </w:r>
      <w:r w:rsidR="007613BC" w:rsidRPr="00260C8D">
        <w:rPr>
          <w:vertAlign w:val="superscript"/>
        </w:rPr>
        <w:t>me</w:t>
      </w:r>
      <w:r w:rsidR="007613BC">
        <w:t xml:space="preserve"> X</w:t>
      </w:r>
      <w:r w:rsidR="008F1062">
        <w:t xml:space="preserve"> </w:t>
      </w:r>
      <w:r w:rsidRPr="00BC105C">
        <w:t>ainsi qu’au</w:t>
      </w:r>
      <w:r w:rsidR="00260C8D">
        <w:t xml:space="preserve"> </w:t>
      </w:r>
      <w:r w:rsidR="00652FF4">
        <w:t>président de l’Académie</w:t>
      </w:r>
      <w:r w:rsidRPr="00BC105C">
        <w:t xml:space="preserve">, qui en ont accusé réception le </w:t>
      </w:r>
      <w:r w:rsidR="00652FF4">
        <w:t>15 mai 2013</w:t>
      </w:r>
      <w:r w:rsidR="008F61C1">
        <w:t> ;</w:t>
      </w:r>
    </w:p>
    <w:p w:rsidR="00CA5B36" w:rsidRDefault="00CA5B36" w:rsidP="00CA5B36">
      <w:pPr>
        <w:pStyle w:val="PS"/>
        <w:spacing w:after="360"/>
      </w:pPr>
      <w:r w:rsidRPr="0063675B">
        <w:t xml:space="preserve">Vu la réponse </w:t>
      </w:r>
      <w:r w:rsidR="00677715" w:rsidRPr="0031649A">
        <w:t xml:space="preserve">du </w:t>
      </w:r>
      <w:r w:rsidR="00652FF4">
        <w:t>président de l’Académie de Marine</w:t>
      </w:r>
      <w:r w:rsidR="00677715" w:rsidRPr="0031649A">
        <w:t xml:space="preserve"> en date du </w:t>
      </w:r>
      <w:r w:rsidR="00652FF4">
        <w:t>19</w:t>
      </w:r>
      <w:r w:rsidR="00260C8D">
        <w:t xml:space="preserve"> </w:t>
      </w:r>
      <w:r w:rsidR="00677715" w:rsidRPr="0031649A">
        <w:t>juin 2013</w:t>
      </w:r>
      <w:r w:rsidR="00652FF4">
        <w:t xml:space="preserve">, dont copie a été adressée à </w:t>
      </w:r>
      <w:r w:rsidR="007613BC">
        <w:t>M</w:t>
      </w:r>
      <w:r w:rsidR="007613BC" w:rsidRPr="00260C8D">
        <w:rPr>
          <w:vertAlign w:val="superscript"/>
        </w:rPr>
        <w:t>me</w:t>
      </w:r>
      <w:r w:rsidR="007613BC">
        <w:t xml:space="preserve"> X</w:t>
      </w:r>
      <w:r w:rsidR="00E54C63">
        <w:t xml:space="preserve"> </w:t>
      </w:r>
      <w:r w:rsidR="00652FF4">
        <w:t>le 24 juin 2013</w:t>
      </w:r>
      <w:r w:rsidR="008F61C1" w:rsidRPr="0031649A">
        <w:t> ;</w:t>
      </w:r>
    </w:p>
    <w:p w:rsidR="00652FF4" w:rsidRPr="0031649A" w:rsidRDefault="00652FF4" w:rsidP="00CA5B36">
      <w:pPr>
        <w:pStyle w:val="PS"/>
        <w:spacing w:after="360"/>
      </w:pPr>
      <w:r>
        <w:t xml:space="preserve">Vu la copie de son mémoire au Tribunal administratif adressée par </w:t>
      </w:r>
      <w:r w:rsidR="007613BC">
        <w:t>M</w:t>
      </w:r>
      <w:r w:rsidR="007613BC" w:rsidRPr="00260C8D">
        <w:rPr>
          <w:vertAlign w:val="superscript"/>
        </w:rPr>
        <w:t>me</w:t>
      </w:r>
      <w:r w:rsidR="007613BC">
        <w:t xml:space="preserve"> X</w:t>
      </w:r>
      <w:r>
        <w:t xml:space="preserve"> au greffe contentieux de la Cour des comptes </w:t>
      </w:r>
      <w:r w:rsidR="00EB404D">
        <w:t xml:space="preserve">par courrier du 2 juillet 2013, </w:t>
      </w:r>
      <w:r>
        <w:t xml:space="preserve">en réponse </w:t>
      </w:r>
      <w:r w:rsidR="00EB404D">
        <w:t>à la transmission du 24 juin 2013 susvisée</w:t>
      </w:r>
      <w:r>
        <w:t> ;</w:t>
      </w:r>
    </w:p>
    <w:p w:rsidR="00C426E4" w:rsidRPr="0031649A" w:rsidRDefault="00C426E4" w:rsidP="00C426E4">
      <w:pPr>
        <w:pStyle w:val="PS"/>
        <w:spacing w:after="360"/>
      </w:pPr>
      <w:r w:rsidRPr="0031649A">
        <w:t xml:space="preserve">Vu les comptes </w:t>
      </w:r>
      <w:r w:rsidR="00652FF4">
        <w:t>de l’Académie de Marine pour les exercices 2007 à 20</w:t>
      </w:r>
      <w:r w:rsidR="00D02962">
        <w:t>09</w:t>
      </w:r>
      <w:r w:rsidRPr="0031649A">
        <w:t xml:space="preserve"> et les autres pièces du dossier</w:t>
      </w:r>
      <w:r w:rsidR="008F61C1" w:rsidRPr="0031649A">
        <w:t> ;</w:t>
      </w:r>
    </w:p>
    <w:p w:rsidR="00CA5B36" w:rsidRPr="00BC105C" w:rsidRDefault="00CA5B36" w:rsidP="00CA5B36">
      <w:pPr>
        <w:pStyle w:val="PS"/>
        <w:spacing w:after="360"/>
      </w:pPr>
      <w:r w:rsidRPr="00BC105C">
        <w:t>Sur le rapport de M.</w:t>
      </w:r>
      <w:r w:rsidR="00412B06">
        <w:t> </w:t>
      </w:r>
      <w:r w:rsidR="00B40283">
        <w:t xml:space="preserve">Pierre </w:t>
      </w:r>
      <w:r w:rsidR="00652FF4">
        <w:t>Brouder</w:t>
      </w:r>
      <w:r w:rsidRPr="00BC105C">
        <w:t xml:space="preserve">, </w:t>
      </w:r>
      <w:r w:rsidR="00652FF4">
        <w:t>conseiller référendaire </w:t>
      </w:r>
      <w:r w:rsidR="008F61C1">
        <w:t>;</w:t>
      </w:r>
    </w:p>
    <w:p w:rsidR="00CA5B36" w:rsidRPr="00BC105C" w:rsidRDefault="00CA5B36" w:rsidP="00CA5B36">
      <w:pPr>
        <w:pStyle w:val="PS"/>
        <w:spacing w:after="360"/>
      </w:pPr>
      <w:r w:rsidRPr="00BC105C">
        <w:t>Vu les conclusions n°</w:t>
      </w:r>
      <w:r w:rsidR="00257B16">
        <w:t> </w:t>
      </w:r>
      <w:r w:rsidR="00D02962">
        <w:t>803</w:t>
      </w:r>
      <w:r w:rsidR="00D02962" w:rsidRPr="00BC105C">
        <w:t xml:space="preserve"> </w:t>
      </w:r>
      <w:r w:rsidRPr="00BC105C">
        <w:t>du Procureur général de la République, en</w:t>
      </w:r>
      <w:r w:rsidR="00260C8D">
        <w:t xml:space="preserve"> </w:t>
      </w:r>
      <w:r w:rsidRPr="00BC105C">
        <w:t xml:space="preserve">date du </w:t>
      </w:r>
      <w:r w:rsidR="00D02962">
        <w:t>19 novembre 2013</w:t>
      </w:r>
      <w:r w:rsidR="003850BA">
        <w:t> </w:t>
      </w:r>
      <w:r w:rsidR="008F61C1">
        <w:t>;</w:t>
      </w:r>
    </w:p>
    <w:p w:rsidR="00CA5B36" w:rsidRPr="00BC105C" w:rsidRDefault="00CA5B36" w:rsidP="00CA5B36">
      <w:pPr>
        <w:pStyle w:val="PS"/>
        <w:spacing w:after="360"/>
      </w:pPr>
      <w:r w:rsidRPr="00BC105C">
        <w:t>Vu les lettres</w:t>
      </w:r>
      <w:r w:rsidR="00B40283">
        <w:t xml:space="preserve"> </w:t>
      </w:r>
      <w:r w:rsidR="00814ACC">
        <w:t xml:space="preserve">du </w:t>
      </w:r>
      <w:r w:rsidR="00B40283">
        <w:t xml:space="preserve">4 novembre 2013 </w:t>
      </w:r>
      <w:r w:rsidR="000C03F3">
        <w:t xml:space="preserve">informant </w:t>
      </w:r>
      <w:r w:rsidR="007613BC">
        <w:t>M</w:t>
      </w:r>
      <w:r w:rsidR="007613BC" w:rsidRPr="00260C8D">
        <w:rPr>
          <w:vertAlign w:val="superscript"/>
        </w:rPr>
        <w:t>me</w:t>
      </w:r>
      <w:r w:rsidR="007613BC">
        <w:t xml:space="preserve"> X</w:t>
      </w:r>
      <w:r w:rsidRPr="00BC105C">
        <w:t xml:space="preserve"> ainsi que le </w:t>
      </w:r>
      <w:r w:rsidR="00D02962">
        <w:t>président de l’Académie de Marine</w:t>
      </w:r>
      <w:r w:rsidR="00D02962" w:rsidRPr="00BC105C">
        <w:t xml:space="preserve"> </w:t>
      </w:r>
      <w:r w:rsidRPr="00BC105C">
        <w:t xml:space="preserve">de la date de </w:t>
      </w:r>
      <w:r w:rsidR="003C0D2D">
        <w:t>l</w:t>
      </w:r>
      <w:r w:rsidRPr="00BC105C">
        <w:t>’audience publique, ensemble leurs accusés de réception datés</w:t>
      </w:r>
      <w:r w:rsidR="003850BA">
        <w:t xml:space="preserve"> </w:t>
      </w:r>
      <w:r w:rsidR="003850BA" w:rsidRPr="00E368F5">
        <w:t>respectivement</w:t>
      </w:r>
      <w:r w:rsidR="00B40283">
        <w:t xml:space="preserve"> des 6 et 7 novembre 2013</w:t>
      </w:r>
      <w:r w:rsidR="008F61C1">
        <w:t> ;</w:t>
      </w:r>
    </w:p>
    <w:p w:rsidR="00CA5B36" w:rsidRPr="0031649A" w:rsidRDefault="00CA5B36" w:rsidP="00CA5B36">
      <w:pPr>
        <w:pStyle w:val="PS"/>
        <w:spacing w:after="360"/>
      </w:pPr>
      <w:r w:rsidRPr="0063675B">
        <w:t xml:space="preserve">Entendu, lors de l’audience publique du </w:t>
      </w:r>
      <w:r w:rsidR="00D02962">
        <w:t>2 décembre</w:t>
      </w:r>
      <w:r w:rsidR="000B2CA2" w:rsidRPr="0031649A">
        <w:t xml:space="preserve"> 2013</w:t>
      </w:r>
      <w:r w:rsidRPr="0063675B">
        <w:t>, M.</w:t>
      </w:r>
      <w:r w:rsidR="00257B16" w:rsidRPr="0031649A">
        <w:t> </w:t>
      </w:r>
      <w:proofErr w:type="spellStart"/>
      <w:r w:rsidR="00D02962">
        <w:t>Brouder</w:t>
      </w:r>
      <w:proofErr w:type="spellEnd"/>
      <w:r w:rsidRPr="0031649A">
        <w:t>, en</w:t>
      </w:r>
      <w:r w:rsidR="00260C8D">
        <w:t xml:space="preserve"> </w:t>
      </w:r>
      <w:r w:rsidRPr="0031649A">
        <w:t xml:space="preserve">son rapport, </w:t>
      </w:r>
      <w:r w:rsidR="000B2CA2" w:rsidRPr="0031649A">
        <w:t>M</w:t>
      </w:r>
      <w:r w:rsidR="000B2CA2" w:rsidRPr="00260C8D">
        <w:rPr>
          <w:vertAlign w:val="superscript"/>
        </w:rPr>
        <w:t>me</w:t>
      </w:r>
      <w:r w:rsidR="000B2CA2" w:rsidRPr="0031649A">
        <w:t xml:space="preserve"> Marie-Aimée Gaspari</w:t>
      </w:r>
      <w:r w:rsidRPr="0063675B">
        <w:t xml:space="preserve">, </w:t>
      </w:r>
      <w:r w:rsidR="003850BA">
        <w:t>chargée de mission</w:t>
      </w:r>
      <w:r w:rsidR="00550997" w:rsidRPr="0031649A">
        <w:t xml:space="preserve">, en </w:t>
      </w:r>
      <w:r w:rsidR="00DA797F">
        <w:t>l</w:t>
      </w:r>
      <w:r w:rsidR="00550997" w:rsidRPr="0031649A">
        <w:t>es conclusions</w:t>
      </w:r>
      <w:r w:rsidR="00E54C63">
        <w:t xml:space="preserve"> du</w:t>
      </w:r>
      <w:r w:rsidR="00260C8D">
        <w:t xml:space="preserve"> </w:t>
      </w:r>
      <w:r w:rsidR="00E54C63">
        <w:t>Procureur général</w:t>
      </w:r>
      <w:r w:rsidR="00550997" w:rsidRPr="0031649A">
        <w:t xml:space="preserve">, </w:t>
      </w:r>
      <w:r w:rsidR="000B2CA2" w:rsidRPr="0063675B">
        <w:t>le comptable</w:t>
      </w:r>
      <w:r w:rsidR="00E54C63">
        <w:t xml:space="preserve"> et</w:t>
      </w:r>
      <w:r w:rsidRPr="0031649A">
        <w:t xml:space="preserve"> le directeur de l’é</w:t>
      </w:r>
      <w:r w:rsidR="00222FDE" w:rsidRPr="0031649A">
        <w:t xml:space="preserve">tablissement n’étant </w:t>
      </w:r>
      <w:r w:rsidR="00E54C63">
        <w:t xml:space="preserve">ni </w:t>
      </w:r>
      <w:r w:rsidR="00222FDE" w:rsidRPr="0031649A">
        <w:t>présent</w:t>
      </w:r>
      <w:r w:rsidR="000B2CA2" w:rsidRPr="0031649A">
        <w:t>s</w:t>
      </w:r>
      <w:r w:rsidRPr="0031649A">
        <w:t xml:space="preserve"> ni représenté</w:t>
      </w:r>
      <w:r w:rsidR="000B2CA2" w:rsidRPr="0031649A">
        <w:t>s</w:t>
      </w:r>
      <w:r w:rsidR="008F61C1" w:rsidRPr="0063675B">
        <w:t> ;</w:t>
      </w:r>
    </w:p>
    <w:p w:rsidR="00CA5B36" w:rsidRPr="00BC105C" w:rsidRDefault="00CA5B36" w:rsidP="00CA5B36">
      <w:pPr>
        <w:pStyle w:val="PS"/>
        <w:spacing w:after="360"/>
      </w:pPr>
      <w:r>
        <w:t>Après avoir</w:t>
      </w:r>
      <w:r w:rsidR="000C03F3">
        <w:t xml:space="preserve"> délibéré</w:t>
      </w:r>
      <w:r w:rsidRPr="00BC105C">
        <w:t>, hors la présence du rapporteur et du ministère public</w:t>
      </w:r>
      <w:r w:rsidR="008F61C1">
        <w:t> ;</w:t>
      </w:r>
    </w:p>
    <w:p w:rsidR="00CB4DD3" w:rsidRPr="00257B16" w:rsidRDefault="00CB4DD3" w:rsidP="00CB4DD3">
      <w:pPr>
        <w:pStyle w:val="P0"/>
        <w:spacing w:after="360"/>
        <w:rPr>
          <w:b/>
        </w:rPr>
      </w:pPr>
      <w:r w:rsidRPr="00257B16">
        <w:rPr>
          <w:b/>
        </w:rPr>
        <w:t>I.-</w:t>
      </w:r>
      <w:r>
        <w:rPr>
          <w:b/>
        </w:rPr>
        <w:t> Sur la prescription</w:t>
      </w:r>
      <w:r w:rsidR="00983FE4">
        <w:rPr>
          <w:b/>
        </w:rPr>
        <w:t xml:space="preserve"> et la force majeure</w:t>
      </w:r>
    </w:p>
    <w:p w:rsidR="00CB4DD3" w:rsidRPr="00BC105C" w:rsidRDefault="0057577F" w:rsidP="00CA5B36">
      <w:pPr>
        <w:pStyle w:val="PS"/>
        <w:spacing w:after="360"/>
      </w:pPr>
      <w:r>
        <w:t xml:space="preserve">Attendu </w:t>
      </w:r>
      <w:r w:rsidR="00CB4DD3">
        <w:t>qu’aux termes de l</w:t>
      </w:r>
      <w:r w:rsidR="00CB4DD3" w:rsidRPr="00CB4DD3">
        <w:t>’alinéa 2 du IV de l’article 60 de la loi n°</w:t>
      </w:r>
      <w:r w:rsidR="003850BA">
        <w:t> </w:t>
      </w:r>
      <w:r w:rsidR="00CB4DD3" w:rsidRPr="00CB4DD3">
        <w:t>63-156 du 23 février 1963</w:t>
      </w:r>
      <w:r w:rsidR="00CB4DD3">
        <w:t> :</w:t>
      </w:r>
      <w:r w:rsidR="00CB4DD3" w:rsidRPr="00CB4DD3">
        <w:t xml:space="preserve"> </w:t>
      </w:r>
      <w:r w:rsidR="00793C24">
        <w:rPr>
          <w:i/>
        </w:rPr>
        <w:t>« </w:t>
      </w:r>
      <w:r w:rsidR="00CB4DD3" w:rsidRPr="00400C68">
        <w:rPr>
          <w:i/>
        </w:rPr>
        <w:t>le premier acte de la mise en jeu de la responsabilité ne peut plus intervenir au-delà du 31 décembre de la cinquième année suivant celle au cours de laquelle le comptable a produit ses comptes au juge des comptes</w:t>
      </w:r>
      <w:r w:rsidR="00793C24">
        <w:rPr>
          <w:i/>
        </w:rPr>
        <w:t> »</w:t>
      </w:r>
      <w:r w:rsidR="00CB4DD3">
        <w:t> </w:t>
      </w:r>
      <w:r w:rsidR="00E368F5">
        <w:t>;</w:t>
      </w:r>
    </w:p>
    <w:p w:rsidR="00613D1E" w:rsidRDefault="0057577F" w:rsidP="00613D1E">
      <w:pPr>
        <w:pStyle w:val="PS"/>
        <w:spacing w:after="360"/>
      </w:pPr>
      <w:r>
        <w:t>Attendu</w:t>
      </w:r>
      <w:r w:rsidRPr="00BC105C">
        <w:t xml:space="preserve"> </w:t>
      </w:r>
      <w:r w:rsidR="00CA5B36" w:rsidRPr="00BC105C">
        <w:t xml:space="preserve">que </w:t>
      </w:r>
      <w:r w:rsidR="00DC49FE">
        <w:t xml:space="preserve">le </w:t>
      </w:r>
      <w:r w:rsidR="00DC49FE" w:rsidRPr="00DC49FE">
        <w:t xml:space="preserve">réquisitoire </w:t>
      </w:r>
      <w:r w:rsidR="0067437C">
        <w:t>est en date du</w:t>
      </w:r>
      <w:r w:rsidR="00DC49FE" w:rsidRPr="00DC49FE">
        <w:t xml:space="preserve"> </w:t>
      </w:r>
      <w:r w:rsidR="00C049D8">
        <w:t>26 avril 2013</w:t>
      </w:r>
      <w:r w:rsidR="00DC49FE">
        <w:t xml:space="preserve"> et que </w:t>
      </w:r>
      <w:r w:rsidR="00CA5B36" w:rsidRPr="00BC105C">
        <w:t xml:space="preserve">les comptes </w:t>
      </w:r>
      <w:r w:rsidR="00C049D8">
        <w:t>de l’Académie de Marine</w:t>
      </w:r>
      <w:r w:rsidR="00CA5B36" w:rsidRPr="00BC105C">
        <w:t xml:space="preserve"> pour les exercices</w:t>
      </w:r>
      <w:r w:rsidR="0080761D">
        <w:t xml:space="preserve"> </w:t>
      </w:r>
      <w:r w:rsidR="00CA5B36" w:rsidRPr="00BC105C">
        <w:t>200</w:t>
      </w:r>
      <w:r w:rsidR="0080761D">
        <w:t>7</w:t>
      </w:r>
      <w:r w:rsidR="00CA5B36" w:rsidRPr="00BC105C">
        <w:t xml:space="preserve"> à 2010 produ</w:t>
      </w:r>
      <w:r w:rsidR="0080761D">
        <w:t xml:space="preserve">its à la Cour </w:t>
      </w:r>
      <w:r w:rsidR="00C049D8">
        <w:t>ne sont pas atteints par la prescription et peuvent être jugés</w:t>
      </w:r>
      <w:r w:rsidR="008F61C1">
        <w:t> ;</w:t>
      </w:r>
    </w:p>
    <w:p w:rsidR="00983FE4" w:rsidRDefault="0057577F" w:rsidP="00983FE4">
      <w:pPr>
        <w:pStyle w:val="PS"/>
        <w:spacing w:after="360"/>
      </w:pPr>
      <w:r>
        <w:lastRenderedPageBreak/>
        <w:t>Attendu</w:t>
      </w:r>
      <w:r w:rsidR="00983FE4">
        <w:t xml:space="preserve"> que le</w:t>
      </w:r>
      <w:r w:rsidR="00983FE4" w:rsidRPr="00C07E9C">
        <w:t xml:space="preserve"> V de l’article 60 de la loi </w:t>
      </w:r>
      <w:r w:rsidR="00983FE4" w:rsidRPr="00BC105C">
        <w:t>du</w:t>
      </w:r>
      <w:r w:rsidR="00260C8D">
        <w:t xml:space="preserve"> </w:t>
      </w:r>
      <w:r w:rsidR="00983FE4" w:rsidRPr="00BC105C">
        <w:t>23</w:t>
      </w:r>
      <w:r w:rsidR="00260C8D">
        <w:t xml:space="preserve"> </w:t>
      </w:r>
      <w:r w:rsidR="00983FE4" w:rsidRPr="00BC105C">
        <w:t>février</w:t>
      </w:r>
      <w:r w:rsidR="00260C8D">
        <w:t xml:space="preserve"> </w:t>
      </w:r>
      <w:r w:rsidR="00983FE4" w:rsidRPr="00BC105C">
        <w:t>1963 susvisée</w:t>
      </w:r>
      <w:r w:rsidR="00983FE4">
        <w:t xml:space="preserve"> dispose que</w:t>
      </w:r>
      <w:r w:rsidR="00983FE4" w:rsidRPr="00C07E9C">
        <w:t xml:space="preserve"> </w:t>
      </w:r>
      <w:r w:rsidR="00983FE4">
        <w:rPr>
          <w:i/>
        </w:rPr>
        <w:t>« </w:t>
      </w:r>
      <w:r w:rsidR="00983FE4" w:rsidRPr="00C07E9C">
        <w:rPr>
          <w:i/>
        </w:rPr>
        <w:t>lorsque […] le juge des comptes constate l'existence de circonstances constitutives de la force majeure, il ne met pas en jeu la responsabilité personnelle et pécuniaire du comptable public</w:t>
      </w:r>
      <w:r w:rsidR="00983FE4">
        <w:rPr>
          <w:i/>
        </w:rPr>
        <w:t> » ;</w:t>
      </w:r>
      <w:r w:rsidR="00983FE4">
        <w:t xml:space="preserve"> que, sans distinguer en fonction des charges, le</w:t>
      </w:r>
      <w:r w:rsidR="00260C8D">
        <w:t xml:space="preserve"> </w:t>
      </w:r>
      <w:r w:rsidR="00983FE4">
        <w:t xml:space="preserve">comptable </w:t>
      </w:r>
      <w:r w:rsidR="00C049D8">
        <w:t xml:space="preserve">n’a à aucun moment évoqué de circonstances susceptibles de constituer </w:t>
      </w:r>
      <w:r w:rsidR="00E530C1">
        <w:t xml:space="preserve">un cas de </w:t>
      </w:r>
      <w:r w:rsidR="00C049D8">
        <w:t>force majeure</w:t>
      </w:r>
      <w:r w:rsidR="00586822">
        <w:t>, que celle-ci ne saurait être retenue</w:t>
      </w:r>
      <w:r w:rsidR="00983FE4" w:rsidRPr="00983FE4">
        <w:t> ;</w:t>
      </w:r>
    </w:p>
    <w:p w:rsidR="00CA5B36" w:rsidRPr="00257B16" w:rsidRDefault="006D3987" w:rsidP="00257B16">
      <w:pPr>
        <w:pStyle w:val="P0"/>
        <w:spacing w:after="360"/>
        <w:rPr>
          <w:b/>
        </w:rPr>
      </w:pPr>
      <w:r>
        <w:rPr>
          <w:b/>
        </w:rPr>
        <w:t>I</w:t>
      </w:r>
      <w:r w:rsidR="00CA5B36" w:rsidRPr="00257B16">
        <w:rPr>
          <w:b/>
        </w:rPr>
        <w:t>I.-</w:t>
      </w:r>
      <w:r w:rsidR="006B1B61">
        <w:rPr>
          <w:b/>
        </w:rPr>
        <w:t> </w:t>
      </w:r>
      <w:r w:rsidR="0095771E">
        <w:rPr>
          <w:b/>
        </w:rPr>
        <w:t>Sur</w:t>
      </w:r>
      <w:r w:rsidR="00CA5B36" w:rsidRPr="00257B16">
        <w:rPr>
          <w:b/>
        </w:rPr>
        <w:t xml:space="preserve"> </w:t>
      </w:r>
      <w:r w:rsidR="0095771E">
        <w:rPr>
          <w:b/>
        </w:rPr>
        <w:t>la responsabilité du comptable en matière de paiement des dépenses</w:t>
      </w:r>
    </w:p>
    <w:p w:rsidR="00BC029E" w:rsidRPr="00BC105C" w:rsidRDefault="00BC029E" w:rsidP="00BC029E">
      <w:pPr>
        <w:pStyle w:val="PS"/>
        <w:spacing w:after="360"/>
        <w:rPr>
          <w:i/>
          <w:u w:val="single"/>
        </w:rPr>
      </w:pPr>
      <w:r w:rsidRPr="00BC105C">
        <w:rPr>
          <w:i/>
          <w:u w:val="single"/>
        </w:rPr>
        <w:t>Sur la charge n°</w:t>
      </w:r>
      <w:r w:rsidR="00501E93">
        <w:rPr>
          <w:i/>
          <w:u w:val="single"/>
        </w:rPr>
        <w:t> </w:t>
      </w:r>
      <w:r w:rsidRPr="00BC105C">
        <w:rPr>
          <w:i/>
          <w:u w:val="single"/>
        </w:rPr>
        <w:t>1 (exercice</w:t>
      </w:r>
      <w:r>
        <w:rPr>
          <w:i/>
          <w:u w:val="single"/>
        </w:rPr>
        <w:t>s</w:t>
      </w:r>
      <w:r w:rsidRPr="00BC105C">
        <w:rPr>
          <w:i/>
          <w:u w:val="single"/>
        </w:rPr>
        <w:t xml:space="preserve"> 200</w:t>
      </w:r>
      <w:r>
        <w:rPr>
          <w:i/>
          <w:u w:val="single"/>
        </w:rPr>
        <w:t>7</w:t>
      </w:r>
      <w:r w:rsidR="002E6370">
        <w:rPr>
          <w:i/>
          <w:u w:val="single"/>
        </w:rPr>
        <w:t xml:space="preserve"> </w:t>
      </w:r>
      <w:r w:rsidR="00586822">
        <w:rPr>
          <w:i/>
          <w:u w:val="single"/>
        </w:rPr>
        <w:t>à</w:t>
      </w:r>
      <w:r w:rsidR="002E6370">
        <w:rPr>
          <w:i/>
          <w:u w:val="single"/>
        </w:rPr>
        <w:t xml:space="preserve"> 2009</w:t>
      </w:r>
      <w:r w:rsidRPr="00BC105C">
        <w:rPr>
          <w:i/>
          <w:u w:val="single"/>
        </w:rPr>
        <w:t>)</w:t>
      </w:r>
    </w:p>
    <w:p w:rsidR="0057577F" w:rsidRDefault="0057577F" w:rsidP="00400254">
      <w:pPr>
        <w:pStyle w:val="PS"/>
        <w:spacing w:after="360"/>
      </w:pPr>
      <w:r>
        <w:t xml:space="preserve">Attendu que </w:t>
      </w:r>
      <w:r w:rsidR="007613BC">
        <w:t>M</w:t>
      </w:r>
      <w:r w:rsidR="007613BC" w:rsidRPr="00260C8D">
        <w:rPr>
          <w:vertAlign w:val="superscript"/>
        </w:rPr>
        <w:t>me</w:t>
      </w:r>
      <w:r w:rsidR="007613BC">
        <w:t xml:space="preserve"> X</w:t>
      </w:r>
      <w:r>
        <w:t xml:space="preserve"> a entre 2007 et 2009 procédé au paiement à son profit des indemnités suivantes :</w:t>
      </w:r>
    </w:p>
    <w:p w:rsidR="009C130B" w:rsidRDefault="0057577F" w:rsidP="00400254">
      <w:pPr>
        <w:pStyle w:val="PS"/>
        <w:spacing w:after="360"/>
      </w:pPr>
      <w:r>
        <w:t>-</w:t>
      </w:r>
      <w:r w:rsidR="00E54C63">
        <w:t> </w:t>
      </w:r>
      <w:r>
        <w:t>3 083,40 euros</w:t>
      </w:r>
      <w:r w:rsidR="006B4714">
        <w:t xml:space="preserve"> en 2007</w:t>
      </w:r>
      <w:r>
        <w:t xml:space="preserve">, 3 100,55 euros </w:t>
      </w:r>
      <w:r w:rsidR="006B4714">
        <w:t xml:space="preserve">en 2008 </w:t>
      </w:r>
      <w:r>
        <w:t xml:space="preserve">et 777,51 euros </w:t>
      </w:r>
      <w:r w:rsidR="006B4714">
        <w:t xml:space="preserve">en 2009 </w:t>
      </w:r>
      <w:r>
        <w:t>soit la somme totale de 6 961,46 euros au titre d’une indemnité représentative de frais </w:t>
      </w:r>
      <w:r w:rsidR="008F61C1">
        <w:t>;</w:t>
      </w:r>
    </w:p>
    <w:p w:rsidR="0057577F" w:rsidRDefault="0057577F" w:rsidP="00400254">
      <w:pPr>
        <w:pStyle w:val="PS"/>
        <w:spacing w:after="360"/>
      </w:pPr>
      <w:r>
        <w:t>-</w:t>
      </w:r>
      <w:r w:rsidR="00E54C63">
        <w:t> </w:t>
      </w:r>
      <w:r w:rsidR="006B4714">
        <w:t xml:space="preserve">208,10 euros en 2007, 209,02 euros en 2008 et 34,92 euros en 2009, soit </w:t>
      </w:r>
      <w:r>
        <w:t>la somme totale de 452,04 euros au titre de l’indemnité brute de caisse ;</w:t>
      </w:r>
    </w:p>
    <w:p w:rsidR="0057577F" w:rsidRDefault="00696FDF" w:rsidP="00400C68">
      <w:pPr>
        <w:pStyle w:val="PS"/>
        <w:spacing w:after="360"/>
      </w:pPr>
      <w:r>
        <w:t xml:space="preserve">Attendu que le réquisitoire du procureur général retient comme élément à charge une présomption de manquement à l’article 12 du décret du 29 décembre 1962 portant règlement général sur la comptabilité publique qui prévoit que </w:t>
      </w:r>
      <w:r w:rsidRPr="00770C6D">
        <w:t>« </w:t>
      </w:r>
      <w:r w:rsidRPr="00CB2D5A">
        <w:rPr>
          <w:i/>
        </w:rPr>
        <w:t>les comptables sont tenus d’exercer (…) B- En matière de dépenses, le contrôle (…) de la validité de la créance dans les conditions prévues à l’article 13 ci-après » </w:t>
      </w:r>
      <w:r w:rsidRPr="00CB2D5A">
        <w:t xml:space="preserve">; et </w:t>
      </w:r>
      <w:r>
        <w:t>à</w:t>
      </w:r>
      <w:r w:rsidRPr="00CB2D5A">
        <w:t xml:space="preserve"> l’article 13 du décret précité qui énonce « </w:t>
      </w:r>
      <w:r w:rsidRPr="00CB2D5A">
        <w:rPr>
          <w:i/>
        </w:rPr>
        <w:t xml:space="preserve">En ce qui concerne la validité de la créance, le contrôle porte sur : </w:t>
      </w:r>
      <w:r w:rsidR="00260C8D">
        <w:rPr>
          <w:i/>
        </w:rPr>
        <w:t>l</w:t>
      </w:r>
      <w:r w:rsidRPr="00CB2D5A">
        <w:rPr>
          <w:i/>
        </w:rPr>
        <w:t>a justification du service fait et l'exactitude des calculs de liquidation</w:t>
      </w:r>
      <w:r w:rsidR="00E54C63">
        <w:rPr>
          <w:i/>
        </w:rPr>
        <w:t> </w:t>
      </w:r>
      <w:r w:rsidRPr="00CB2D5A">
        <w:rPr>
          <w:i/>
        </w:rPr>
        <w:t>[...] et la production des justifications</w:t>
      </w:r>
      <w:r w:rsidRPr="00770C6D">
        <w:t> »</w:t>
      </w:r>
      <w:r>
        <w:t>.</w:t>
      </w:r>
    </w:p>
    <w:p w:rsidR="00696FDF" w:rsidRDefault="00696FDF" w:rsidP="00400C68">
      <w:pPr>
        <w:pStyle w:val="PS"/>
        <w:spacing w:after="360"/>
      </w:pPr>
      <w:r>
        <w:t xml:space="preserve">Attendu qu’en </w:t>
      </w:r>
      <w:r w:rsidRPr="002C7928">
        <w:t>application de la nomenclature des pièces justificatives des dépenses de l’Etat N°</w:t>
      </w:r>
      <w:r w:rsidR="00E54C63">
        <w:t> </w:t>
      </w:r>
      <w:r w:rsidRPr="002C7928">
        <w:t>03-060-B du 17 novembre 2003 ainsi que de celle de 2010, le paiement d’une indemnité de sujétion</w:t>
      </w:r>
      <w:r>
        <w:t>s</w:t>
      </w:r>
      <w:r w:rsidRPr="002C7928">
        <w:t xml:space="preserve"> doit être subordonné à la production de </w:t>
      </w:r>
      <w:r w:rsidRPr="00770C6D">
        <w:t>la décision d’attribution et de l’état liquidatif et nominatif faisant référence au texte institutif de l’indemnité et à l’ar</w:t>
      </w:r>
      <w:r>
        <w:t>rêté fixant le taux en vigueur.</w:t>
      </w:r>
    </w:p>
    <w:p w:rsidR="00586822" w:rsidRPr="006A6D44" w:rsidRDefault="00586822" w:rsidP="00400C68">
      <w:pPr>
        <w:pStyle w:val="PS"/>
        <w:spacing w:after="360"/>
        <w:rPr>
          <w:i/>
        </w:rPr>
      </w:pPr>
      <w:r w:rsidRPr="006A6D44">
        <w:rPr>
          <w:i/>
        </w:rPr>
        <w:t>S’agissant de l’indemnité représentative de frais :</w:t>
      </w:r>
    </w:p>
    <w:p w:rsidR="00586822" w:rsidRDefault="009537FF" w:rsidP="003326D6">
      <w:pPr>
        <w:pStyle w:val="PS"/>
        <w:spacing w:after="360"/>
      </w:pPr>
      <w:r>
        <w:t>Attendu qu’aucune pièce justificative permettant d’attester de la réalité des contrôles de l’agent comptable dans le cadre de l’octroi de ces indemnités n’a été produite, en dépit des sollicitations du rapporteur ;</w:t>
      </w:r>
    </w:p>
    <w:p w:rsidR="009537FF" w:rsidRDefault="009537FF" w:rsidP="00762D3B">
      <w:pPr>
        <w:pStyle w:val="PS"/>
        <w:spacing w:after="280"/>
      </w:pPr>
      <w:r>
        <w:t xml:space="preserve">Attendu </w:t>
      </w:r>
      <w:r w:rsidR="002C18B7">
        <w:t>que pour ce qui concerne les fondement</w:t>
      </w:r>
      <w:r w:rsidR="00002CCA">
        <w:t>s législatifs ou</w:t>
      </w:r>
      <w:r w:rsidR="00260C8D">
        <w:t xml:space="preserve"> </w:t>
      </w:r>
      <w:r w:rsidR="00002CCA">
        <w:t>règlementaires en l’absence desquels le paiement d’une prime ou indemnité revêt un</w:t>
      </w:r>
      <w:r w:rsidR="00260C8D">
        <w:t xml:space="preserve"> </w:t>
      </w:r>
      <w:r w:rsidR="00002CCA">
        <w:t>caractère</w:t>
      </w:r>
      <w:r w:rsidR="00E54C63">
        <w:t xml:space="preserve"> exceptionnel, </w:t>
      </w:r>
      <w:r w:rsidR="00002CCA">
        <w:t>l’agent comptable a transmis à la Cour par lettre du 2</w:t>
      </w:r>
      <w:r w:rsidR="00260C8D">
        <w:t xml:space="preserve"> </w:t>
      </w:r>
      <w:r w:rsidR="00002CCA">
        <w:t>juillet</w:t>
      </w:r>
      <w:r w:rsidR="00260C8D">
        <w:t xml:space="preserve"> </w:t>
      </w:r>
      <w:r w:rsidR="00002CCA">
        <w:t xml:space="preserve">2013 un mémoire « concernant les circonstances de l’attribution de l’indemnité exceptionnelle à l’agent comptable de l’académie de marine suite à la lettre du ministère de l’économie, des finances et du budget du 22 août 1983 » ; que s’il était précisé dans </w:t>
      </w:r>
      <w:r w:rsidR="00002CCA">
        <w:lastRenderedPageBreak/>
        <w:t xml:space="preserve">ledit courrier du ministre que celui-ci donnait « son accord </w:t>
      </w:r>
      <w:r w:rsidR="00260C8D">
        <w:t>“</w:t>
      </w:r>
      <w:r w:rsidR="00002CCA">
        <w:rPr>
          <w:i/>
        </w:rPr>
        <w:t>à titre exceptionnel</w:t>
      </w:r>
      <w:r w:rsidR="00260C8D">
        <w:t>”</w:t>
      </w:r>
      <w:r w:rsidR="00002CCA">
        <w:t xml:space="preserve"> au maintien du régime indemnitaire jusqu’alors en vigueur, l’indemnité pouvant être réévaluée annuellement selon les modalités applicables aux indemnités fixées en valeur absolue », qu’il n’avait cependant pas été possible de déterminer les conditions dans lesquelles avait pu être prise la décision originelle d’attribuer une indemnité dite de frais de service réévaluée annuellement, et qu’aucun des textes portant création ou réorganisation de l’Académie de marine ne prévoit une disposition particulière qui serait de nature à constituer un fondement juridique suffisant ;</w:t>
      </w:r>
    </w:p>
    <w:p w:rsidR="00C07E9C" w:rsidRDefault="00586822" w:rsidP="00762D3B">
      <w:pPr>
        <w:pStyle w:val="PS"/>
        <w:spacing w:after="280"/>
      </w:pPr>
      <w:r>
        <w:t xml:space="preserve">Attendu </w:t>
      </w:r>
      <w:r w:rsidR="007C10BE">
        <w:t>que</w:t>
      </w:r>
      <w:r w:rsidR="000C699D">
        <w:t xml:space="preserve"> </w:t>
      </w:r>
      <w:r w:rsidR="00206FA2">
        <w:t xml:space="preserve">le comptable </w:t>
      </w:r>
      <w:r w:rsidR="00206FA2" w:rsidRPr="00206FA2">
        <w:t xml:space="preserve">n’a </w:t>
      </w:r>
      <w:r w:rsidR="009537FF">
        <w:t xml:space="preserve">donc </w:t>
      </w:r>
      <w:r w:rsidR="00206FA2" w:rsidRPr="00206FA2">
        <w:t>pas exercé c</w:t>
      </w:r>
      <w:r w:rsidR="00206FA2">
        <w:t>orrectement le contrôle de la production des justifications et de la validité de la créance</w:t>
      </w:r>
      <w:r w:rsidR="008F61C1">
        <w:t> ;</w:t>
      </w:r>
      <w:r w:rsidR="00206FA2">
        <w:t xml:space="preserve"> </w:t>
      </w:r>
      <w:r w:rsidR="00614E34" w:rsidRPr="00614E34">
        <w:t>qu’il aurait dû suspendre le</w:t>
      </w:r>
      <w:r w:rsidR="00614E34">
        <w:t>s</w:t>
      </w:r>
      <w:r w:rsidR="00614E34" w:rsidRPr="00614E34">
        <w:t xml:space="preserve"> paiement</w:t>
      </w:r>
      <w:r w:rsidR="00614E34">
        <w:t>s</w:t>
      </w:r>
      <w:r w:rsidR="00614E34" w:rsidRPr="00614E34">
        <w:t xml:space="preserve"> et en informer l’ordonnateur</w:t>
      </w:r>
      <w:r w:rsidR="008F61C1">
        <w:t> ;</w:t>
      </w:r>
      <w:r w:rsidR="005A05BC">
        <w:t xml:space="preserve"> que</w:t>
      </w:r>
      <w:r w:rsidR="005A05BC" w:rsidRPr="005A05BC">
        <w:t xml:space="preserve"> cette abstention</w:t>
      </w:r>
      <w:r w:rsidR="00796D03">
        <w:t xml:space="preserve"> et l’irrégularité des paiements</w:t>
      </w:r>
      <w:r w:rsidR="005A05BC" w:rsidRPr="005A05BC">
        <w:t xml:space="preserve"> </w:t>
      </w:r>
      <w:r w:rsidR="00796D03">
        <w:t>sont</w:t>
      </w:r>
      <w:r w:rsidR="005A05BC" w:rsidRPr="005A05BC">
        <w:t xml:space="preserve"> de nature à engager la responsabilité personnelle et pécuniaire de</w:t>
      </w:r>
      <w:r w:rsidR="00260C8D">
        <w:t xml:space="preserve"> </w:t>
      </w:r>
      <w:r w:rsidR="007613BC">
        <w:t>M</w:t>
      </w:r>
      <w:r w:rsidR="007613BC" w:rsidRPr="00260C8D">
        <w:rPr>
          <w:vertAlign w:val="superscript"/>
        </w:rPr>
        <w:t>me</w:t>
      </w:r>
      <w:r w:rsidR="007613BC">
        <w:t xml:space="preserve"> X</w:t>
      </w:r>
      <w:r w:rsidR="005A05BC" w:rsidRPr="005A05BC">
        <w:t xml:space="preserve"> au titre de</w:t>
      </w:r>
      <w:r w:rsidR="005A05BC">
        <w:t xml:space="preserve">s </w:t>
      </w:r>
      <w:r w:rsidR="005A05BC" w:rsidRPr="005A05BC">
        <w:t>exercice</w:t>
      </w:r>
      <w:r w:rsidR="005A05BC">
        <w:t xml:space="preserve">s 2007 </w:t>
      </w:r>
      <w:r>
        <w:t>à 2009</w:t>
      </w:r>
      <w:r w:rsidR="008F61C1">
        <w:t> ;</w:t>
      </w:r>
    </w:p>
    <w:p w:rsidR="00002CCA" w:rsidRPr="004758BD" w:rsidRDefault="00002CCA" w:rsidP="00762D3B">
      <w:pPr>
        <w:pStyle w:val="PS"/>
        <w:spacing w:after="280"/>
        <w:rPr>
          <w:i/>
        </w:rPr>
      </w:pPr>
      <w:r w:rsidRPr="004758BD">
        <w:rPr>
          <w:i/>
        </w:rPr>
        <w:t>S’agissant de</w:t>
      </w:r>
      <w:r w:rsidR="005F7673">
        <w:rPr>
          <w:i/>
        </w:rPr>
        <w:t xml:space="preserve">s </w:t>
      </w:r>
      <w:r w:rsidRPr="004758BD">
        <w:rPr>
          <w:i/>
        </w:rPr>
        <w:t>indemnité</w:t>
      </w:r>
      <w:r w:rsidR="005F7673">
        <w:rPr>
          <w:i/>
        </w:rPr>
        <w:t>s brutes de caisse</w:t>
      </w:r>
      <w:r w:rsidRPr="004758BD">
        <w:rPr>
          <w:i/>
        </w:rPr>
        <w:t> :</w:t>
      </w:r>
    </w:p>
    <w:p w:rsidR="00002CCA" w:rsidRDefault="005F7673" w:rsidP="00762D3B">
      <w:pPr>
        <w:pStyle w:val="PS"/>
        <w:spacing w:after="280"/>
      </w:pPr>
      <w:r>
        <w:t xml:space="preserve">Attendu qu’il résulte des pièces du dossier que </w:t>
      </w:r>
      <w:r w:rsidR="007613BC">
        <w:t>M</w:t>
      </w:r>
      <w:r w:rsidR="007613BC" w:rsidRPr="00260C8D">
        <w:rPr>
          <w:vertAlign w:val="superscript"/>
        </w:rPr>
        <w:t>me</w:t>
      </w:r>
      <w:r w:rsidR="007613BC">
        <w:t xml:space="preserve"> X</w:t>
      </w:r>
      <w:r w:rsidRPr="005A05BC">
        <w:t xml:space="preserve"> </w:t>
      </w:r>
      <w:r>
        <w:t xml:space="preserve">a versé à son propre profit un montant brut sans avoir déduit le montant des cotisations que l’Académie devait reverser à l’Urssaf, sans s’assurer de l’exactitude des calculs de liquidation ; </w:t>
      </w:r>
    </w:p>
    <w:p w:rsidR="00D458F2" w:rsidRDefault="005F7673" w:rsidP="00762D3B">
      <w:pPr>
        <w:pStyle w:val="PS"/>
        <w:spacing w:after="280"/>
      </w:pPr>
      <w:r>
        <w:t>Attendu que l</w:t>
      </w:r>
      <w:r w:rsidRPr="005F7673">
        <w:t xml:space="preserve">es conditions de paiement de ces indemnités brutes de caisse sont </w:t>
      </w:r>
      <w:r>
        <w:t xml:space="preserve">donc </w:t>
      </w:r>
      <w:r w:rsidRPr="005F7673">
        <w:t>manifestement irrégulières et engagent la responsabilité personnelle et pécuniaire de la comptable</w:t>
      </w:r>
      <w:r>
        <w:t>, que celle-ci</w:t>
      </w:r>
      <w:r w:rsidRPr="005F7673">
        <w:t xml:space="preserve"> aurait dû suspendre ces paiements et solliciter l’ordonnateur</w:t>
      </w:r>
      <w:r>
        <w:t> ;</w:t>
      </w:r>
      <w:r w:rsidRPr="005F7673">
        <w:t xml:space="preserve"> </w:t>
      </w:r>
    </w:p>
    <w:p w:rsidR="00D458F2" w:rsidRDefault="00586822" w:rsidP="00762D3B">
      <w:pPr>
        <w:pStyle w:val="PS"/>
        <w:spacing w:after="280"/>
      </w:pPr>
      <w:r>
        <w:t xml:space="preserve">Attendu </w:t>
      </w:r>
      <w:r w:rsidR="00EE6954">
        <w:t xml:space="preserve">qu’il résulte des considérations </w:t>
      </w:r>
      <w:r w:rsidR="00CC7D0F">
        <w:t>ci-dessus évoquées</w:t>
      </w:r>
      <w:r w:rsidR="00CC7D0F" w:rsidRPr="00C07E9C">
        <w:t xml:space="preserve"> </w:t>
      </w:r>
      <w:r w:rsidR="00C07E9C" w:rsidRPr="00C07E9C">
        <w:t>que le</w:t>
      </w:r>
      <w:r w:rsidR="00F04D45">
        <w:t>s</w:t>
      </w:r>
      <w:r w:rsidR="00C07E9C" w:rsidRPr="00C07E9C">
        <w:t xml:space="preserve"> </w:t>
      </w:r>
      <w:r w:rsidR="00C07E9C" w:rsidRPr="006D3987">
        <w:t>manquement</w:t>
      </w:r>
      <w:r w:rsidR="00F04D45" w:rsidRPr="006D3987">
        <w:t>s</w:t>
      </w:r>
      <w:r w:rsidR="00C07E9C" w:rsidRPr="006D3987">
        <w:t xml:space="preserve"> du comptable ne résulte</w:t>
      </w:r>
      <w:r w:rsidR="00F04D45" w:rsidRPr="006D3987">
        <w:t>nt</w:t>
      </w:r>
      <w:r w:rsidR="00C07E9C" w:rsidRPr="006D3987">
        <w:t xml:space="preserve"> pas de circonstances de force majeure</w:t>
      </w:r>
      <w:r w:rsidR="008F61C1" w:rsidRPr="006D3987">
        <w:t> ;</w:t>
      </w:r>
    </w:p>
    <w:p w:rsidR="005F7673" w:rsidRPr="00884B07" w:rsidRDefault="0067437C" w:rsidP="00762D3B">
      <w:pPr>
        <w:pStyle w:val="PS"/>
        <w:spacing w:after="280"/>
      </w:pPr>
      <w:r>
        <w:t>Attendu que</w:t>
      </w:r>
      <w:r w:rsidR="00014D37">
        <w:t xml:space="preserve"> les</w:t>
      </w:r>
      <w:r>
        <w:t xml:space="preserve"> indemnités représentatives de frais étaient dépourvues de fondement juridique</w:t>
      </w:r>
      <w:r w:rsidRPr="00884B07">
        <w:t xml:space="preserve">, </w:t>
      </w:r>
      <w:r w:rsidR="00024377" w:rsidRPr="00884B07">
        <w:t xml:space="preserve">qu’elles </w:t>
      </w:r>
      <w:r w:rsidR="00DE081B" w:rsidRPr="00884B07">
        <w:t xml:space="preserve">présentent donc </w:t>
      </w:r>
      <w:r w:rsidRPr="00884B07">
        <w:t>un caractère indu et que leur versement a</w:t>
      </w:r>
      <w:r w:rsidR="00024377" w:rsidRPr="00884B07">
        <w:t xml:space="preserve"> </w:t>
      </w:r>
      <w:r w:rsidRPr="00884B07">
        <w:t xml:space="preserve">bien causé un préjudice financier à l’établissement indépendamment du service fait ; que s’agissant du paiement d’indemnités brutes de caisse, celles-ci ayant conduit à un trop-perçu au profit de </w:t>
      </w:r>
      <w:r w:rsidR="007613BC">
        <w:t>M</w:t>
      </w:r>
      <w:r w:rsidR="007613BC" w:rsidRPr="00260C8D">
        <w:rPr>
          <w:vertAlign w:val="superscript"/>
        </w:rPr>
        <w:t>me</w:t>
      </w:r>
      <w:r w:rsidR="007613BC">
        <w:t xml:space="preserve"> X</w:t>
      </w:r>
      <w:r w:rsidRPr="00884B07">
        <w:t>, le préjudice pour l’établissement est caractérisé ;</w:t>
      </w:r>
    </w:p>
    <w:p w:rsidR="00400254" w:rsidRPr="00BC105C" w:rsidRDefault="0067437C" w:rsidP="00762D3B">
      <w:pPr>
        <w:pStyle w:val="PS"/>
        <w:spacing w:after="280"/>
      </w:pPr>
      <w:r w:rsidRPr="00884B07">
        <w:t xml:space="preserve">Attendu </w:t>
      </w:r>
      <w:r w:rsidR="00346043" w:rsidRPr="00884B07">
        <w:t xml:space="preserve">qu’il y a donc lieu de constituer </w:t>
      </w:r>
      <w:r w:rsidR="007613BC">
        <w:t>M</w:t>
      </w:r>
      <w:r w:rsidR="007613BC" w:rsidRPr="00260C8D">
        <w:rPr>
          <w:vertAlign w:val="superscript"/>
        </w:rPr>
        <w:t>me</w:t>
      </w:r>
      <w:r w:rsidR="007613BC">
        <w:t xml:space="preserve"> X</w:t>
      </w:r>
      <w:r w:rsidR="00346043" w:rsidRPr="00884B07">
        <w:t xml:space="preserve"> </w:t>
      </w:r>
      <w:r w:rsidR="00024377" w:rsidRPr="00884B07">
        <w:t>débitrice</w:t>
      </w:r>
      <w:r w:rsidR="00346043" w:rsidRPr="00884B07">
        <w:t>, au titre de l’exercice</w:t>
      </w:r>
      <w:r w:rsidR="00260C8D">
        <w:t xml:space="preserve"> </w:t>
      </w:r>
      <w:r w:rsidR="00346043" w:rsidRPr="00884B07">
        <w:t xml:space="preserve">2007, de la somme de </w:t>
      </w:r>
      <w:r w:rsidRPr="00884B07">
        <w:t>3</w:t>
      </w:r>
      <w:r w:rsidR="00024377" w:rsidRPr="00884B07">
        <w:t> </w:t>
      </w:r>
      <w:r w:rsidRPr="00884B07">
        <w:t>291,50</w:t>
      </w:r>
      <w:r w:rsidR="00260C8D">
        <w:t xml:space="preserve"> </w:t>
      </w:r>
      <w:r w:rsidRPr="00884B07">
        <w:t>euros</w:t>
      </w:r>
      <w:r w:rsidR="001921FD" w:rsidRPr="00884B07">
        <w:t>, au titre de l’exercice</w:t>
      </w:r>
      <w:r w:rsidR="00260C8D">
        <w:t xml:space="preserve"> </w:t>
      </w:r>
      <w:r w:rsidRPr="00884B07">
        <w:t>2008</w:t>
      </w:r>
      <w:r w:rsidR="001921FD" w:rsidRPr="00884B07">
        <w:t xml:space="preserve">, de la somme de </w:t>
      </w:r>
      <w:r w:rsidRPr="00884B07">
        <w:t>3 309,57</w:t>
      </w:r>
      <w:r w:rsidR="00260C8D">
        <w:t xml:space="preserve"> </w:t>
      </w:r>
      <w:r w:rsidRPr="00884B07">
        <w:t>euros</w:t>
      </w:r>
      <w:r w:rsidR="001921FD" w:rsidRPr="00884B07">
        <w:t xml:space="preserve">, </w:t>
      </w:r>
      <w:r w:rsidRPr="00884B07">
        <w:t>au titre de l’année 20</w:t>
      </w:r>
      <w:r w:rsidR="00004703">
        <w:t>09</w:t>
      </w:r>
      <w:r w:rsidRPr="00884B07">
        <w:t>, de la somme de 812,43</w:t>
      </w:r>
      <w:r w:rsidR="00260C8D">
        <w:t xml:space="preserve"> </w:t>
      </w:r>
      <w:r>
        <w:t xml:space="preserve">euros, </w:t>
      </w:r>
      <w:r w:rsidR="001921FD">
        <w:t xml:space="preserve">ces sommes </w:t>
      </w:r>
      <w:r w:rsidR="00346043" w:rsidRPr="00346043">
        <w:t xml:space="preserve">portant intérêts de droit à compter du </w:t>
      </w:r>
      <w:r>
        <w:t>26 avril 2013</w:t>
      </w:r>
      <w:r w:rsidR="00346043" w:rsidRPr="00346043">
        <w:t xml:space="preserve">, date </w:t>
      </w:r>
      <w:r w:rsidR="00DE081B">
        <w:t xml:space="preserve">de signature </w:t>
      </w:r>
      <w:r w:rsidR="00291649">
        <w:t>du</w:t>
      </w:r>
      <w:r w:rsidR="00260C8D">
        <w:t xml:space="preserve"> </w:t>
      </w:r>
      <w:r w:rsidR="00346043" w:rsidRPr="00346043">
        <w:t>réquisitoire</w:t>
      </w:r>
      <w:r w:rsidR="008F61C1">
        <w:t> ;</w:t>
      </w:r>
    </w:p>
    <w:p w:rsidR="002A6142" w:rsidRPr="00BC105C" w:rsidRDefault="002A6142" w:rsidP="00762D3B">
      <w:pPr>
        <w:pStyle w:val="PS"/>
        <w:spacing w:after="280"/>
        <w:rPr>
          <w:i/>
          <w:u w:val="single"/>
        </w:rPr>
      </w:pPr>
      <w:r w:rsidRPr="00BC105C">
        <w:rPr>
          <w:i/>
          <w:u w:val="single"/>
        </w:rPr>
        <w:t>Sur la charge n°</w:t>
      </w:r>
      <w:r>
        <w:rPr>
          <w:i/>
          <w:u w:val="single"/>
        </w:rPr>
        <w:t> 2</w:t>
      </w:r>
      <w:r w:rsidRPr="00BC105C">
        <w:rPr>
          <w:i/>
          <w:u w:val="single"/>
        </w:rPr>
        <w:t xml:space="preserve"> (exercice</w:t>
      </w:r>
      <w:r w:rsidR="00024377">
        <w:rPr>
          <w:i/>
          <w:u w:val="single"/>
        </w:rPr>
        <w:t>s</w:t>
      </w:r>
      <w:r w:rsidRPr="00BC105C">
        <w:rPr>
          <w:i/>
          <w:u w:val="single"/>
        </w:rPr>
        <w:t xml:space="preserve"> </w:t>
      </w:r>
      <w:r w:rsidR="006B4714">
        <w:rPr>
          <w:i/>
          <w:u w:val="single"/>
        </w:rPr>
        <w:t>2007 à 2009</w:t>
      </w:r>
      <w:r w:rsidRPr="00BC105C">
        <w:rPr>
          <w:i/>
          <w:u w:val="single"/>
        </w:rPr>
        <w:t>)</w:t>
      </w:r>
    </w:p>
    <w:p w:rsidR="00B47E95" w:rsidRDefault="00B47E95" w:rsidP="00762D3B">
      <w:pPr>
        <w:pStyle w:val="PS"/>
        <w:spacing w:after="240"/>
      </w:pPr>
      <w:r>
        <w:t xml:space="preserve">Attendu que </w:t>
      </w:r>
      <w:r w:rsidR="007613BC">
        <w:t>M</w:t>
      </w:r>
      <w:r w:rsidR="007613BC" w:rsidRPr="00260C8D">
        <w:rPr>
          <w:vertAlign w:val="superscript"/>
        </w:rPr>
        <w:t>me</w:t>
      </w:r>
      <w:r w:rsidR="007613BC">
        <w:t xml:space="preserve"> X</w:t>
      </w:r>
      <w:r>
        <w:t xml:space="preserve"> a entre 2007 et 2009 procédé au paiement au profit de M</w:t>
      </w:r>
      <w:r w:rsidRPr="00260C8D">
        <w:rPr>
          <w:vertAlign w:val="superscript"/>
        </w:rPr>
        <w:t>me</w:t>
      </w:r>
      <w:r>
        <w:t xml:space="preserve"> </w:t>
      </w:r>
      <w:r w:rsidR="00260C8D">
        <w:t>Y</w:t>
      </w:r>
      <w:r>
        <w:t>, engagée au titre de secrétaire générale de l’Académie de marine le 1</w:t>
      </w:r>
      <w:r w:rsidRPr="006A6D44">
        <w:rPr>
          <w:vertAlign w:val="superscript"/>
        </w:rPr>
        <w:t>er</w:t>
      </w:r>
      <w:r>
        <w:t xml:space="preserve"> septembre 2007 des indemnités suivantes :</w:t>
      </w:r>
    </w:p>
    <w:p w:rsidR="00B47E95" w:rsidRDefault="00B47E95" w:rsidP="00B47E95">
      <w:pPr>
        <w:pStyle w:val="PS"/>
        <w:spacing w:after="360"/>
      </w:pPr>
      <w:r>
        <w:t>-</w:t>
      </w:r>
      <w:r w:rsidR="00024377">
        <w:t> </w:t>
      </w:r>
      <w:r>
        <w:t>3 217,48 euros en 2007, 9 699,93</w:t>
      </w:r>
      <w:r w:rsidR="00762D3B">
        <w:t> </w:t>
      </w:r>
      <w:r>
        <w:t>euros en 2008 et 2 432,46</w:t>
      </w:r>
      <w:r w:rsidR="00762D3B">
        <w:t> </w:t>
      </w:r>
      <w:r>
        <w:t>euros en 2009 soit la somme totale de 15 349,87</w:t>
      </w:r>
      <w:r w:rsidR="00762D3B">
        <w:t> </w:t>
      </w:r>
      <w:r>
        <w:t>euros au titre d’une indemnité représentative de frais ;</w:t>
      </w:r>
    </w:p>
    <w:p w:rsidR="00B47E95" w:rsidRDefault="00B47E95" w:rsidP="00B47E95">
      <w:pPr>
        <w:pStyle w:val="PS"/>
        <w:spacing w:after="360"/>
      </w:pPr>
      <w:r>
        <w:lastRenderedPageBreak/>
        <w:t xml:space="preserve">Attendu que le réquisitoire du procureur général retient comme élément à charge une présomption de manquement à l’article 12 du décret du 29 décembre 1962 portant règlement général sur la comptabilité publique qui prévoit que </w:t>
      </w:r>
      <w:r w:rsidRPr="00770C6D">
        <w:t>« </w:t>
      </w:r>
      <w:r w:rsidRPr="00CB2D5A">
        <w:rPr>
          <w:i/>
        </w:rPr>
        <w:t>les comptables sont tenus d’exercer (…) B- En matière de dépenses, le contrôle (…) de la validité de la créance dans les conditions prévues à l’article 13 ci-après » </w:t>
      </w:r>
      <w:r w:rsidRPr="00CB2D5A">
        <w:t xml:space="preserve">; et </w:t>
      </w:r>
      <w:r>
        <w:t>à</w:t>
      </w:r>
      <w:r w:rsidRPr="00CB2D5A">
        <w:t xml:space="preserve"> l’article 13 du décret précité qui énonce « </w:t>
      </w:r>
      <w:r w:rsidRPr="00CB2D5A">
        <w:rPr>
          <w:i/>
        </w:rPr>
        <w:t xml:space="preserve">En ce qui concerne la validité de la créance, le contrôle porte sur : </w:t>
      </w:r>
      <w:r w:rsidR="00260C8D">
        <w:rPr>
          <w:i/>
        </w:rPr>
        <w:t>l</w:t>
      </w:r>
      <w:r w:rsidRPr="00CB2D5A">
        <w:rPr>
          <w:i/>
        </w:rPr>
        <w:t>a justification du service fait et l'exactitude des calculs de liquidation</w:t>
      </w:r>
      <w:r w:rsidR="00024377">
        <w:rPr>
          <w:i/>
        </w:rPr>
        <w:t> </w:t>
      </w:r>
      <w:r w:rsidRPr="00CB2D5A">
        <w:rPr>
          <w:i/>
        </w:rPr>
        <w:t>[...] et la production des justifications</w:t>
      </w:r>
      <w:r w:rsidRPr="00770C6D">
        <w:t> »</w:t>
      </w:r>
      <w:r>
        <w:t>.</w:t>
      </w:r>
    </w:p>
    <w:p w:rsidR="00B47E95" w:rsidRDefault="00B47E95" w:rsidP="00B47E95">
      <w:pPr>
        <w:pStyle w:val="PS"/>
        <w:spacing w:after="360"/>
      </w:pPr>
      <w:r>
        <w:t xml:space="preserve">Attendu qu’en </w:t>
      </w:r>
      <w:r w:rsidRPr="002C7928">
        <w:t>application de la nomenclature des pièces justificatives des dépenses de l’Etat N°</w:t>
      </w:r>
      <w:r w:rsidR="00024377">
        <w:t> </w:t>
      </w:r>
      <w:r w:rsidRPr="002C7928">
        <w:t>03-060-B du 17</w:t>
      </w:r>
      <w:r w:rsidR="00024377">
        <w:t> </w:t>
      </w:r>
      <w:r w:rsidRPr="002C7928">
        <w:t>novembre</w:t>
      </w:r>
      <w:r w:rsidR="00024377">
        <w:t> </w:t>
      </w:r>
      <w:r w:rsidRPr="002C7928">
        <w:t>2003 ainsi que de celle de 2010, le</w:t>
      </w:r>
      <w:r w:rsidR="00260C8D">
        <w:t xml:space="preserve"> </w:t>
      </w:r>
      <w:r w:rsidRPr="002C7928">
        <w:t>paiement d’une indemnité de sujétion</w:t>
      </w:r>
      <w:r>
        <w:t>s</w:t>
      </w:r>
      <w:r w:rsidRPr="002C7928">
        <w:t xml:space="preserve"> doit être subordonné à la production de </w:t>
      </w:r>
      <w:r w:rsidRPr="00770C6D">
        <w:t>la décision d’attribution et de l’état liquidatif et nominatif faisant référence au texte institutif de l’indemnité et à l’ar</w:t>
      </w:r>
      <w:r w:rsidR="00024377">
        <w:t>rêté fixant le taux en vigueur ;</w:t>
      </w:r>
    </w:p>
    <w:p w:rsidR="00257ECB" w:rsidRDefault="00B47E95" w:rsidP="00B47E95">
      <w:pPr>
        <w:pStyle w:val="PS"/>
        <w:spacing w:after="360"/>
      </w:pPr>
      <w:r>
        <w:t>Attendu que l</w:t>
      </w:r>
      <w:r w:rsidRPr="00B47E95">
        <w:t xml:space="preserve">e contrat d’engagement </w:t>
      </w:r>
      <w:r w:rsidR="00257ECB">
        <w:t>de M</w:t>
      </w:r>
      <w:r w:rsidR="00257ECB" w:rsidRPr="00260C8D">
        <w:rPr>
          <w:vertAlign w:val="superscript"/>
        </w:rPr>
        <w:t>me</w:t>
      </w:r>
      <w:r w:rsidR="00257ECB">
        <w:t xml:space="preserve"> </w:t>
      </w:r>
      <w:r w:rsidR="00260C8D">
        <w:t>Y</w:t>
      </w:r>
      <w:r w:rsidR="00257ECB">
        <w:t xml:space="preserve"> </w:t>
      </w:r>
      <w:r w:rsidRPr="00B47E95">
        <w:t>conclu avec l’Académie de marine prévoit l’octroi de cette indemnité représentative de frais « </w:t>
      </w:r>
      <w:r w:rsidRPr="00B47E95">
        <w:rPr>
          <w:i/>
        </w:rPr>
        <w:t>dont le montant est fixé par le budget annuel de l’académie</w:t>
      </w:r>
      <w:r w:rsidR="00257ECB">
        <w:t> » ; qu’i</w:t>
      </w:r>
      <w:r w:rsidRPr="00B47E95">
        <w:t xml:space="preserve">l est </w:t>
      </w:r>
      <w:r w:rsidR="00257ECB">
        <w:t>par ailleurs indiqué au point</w:t>
      </w:r>
      <w:r w:rsidR="00260C8D">
        <w:t xml:space="preserve"> </w:t>
      </w:r>
      <w:r w:rsidR="00257ECB">
        <w:t>5</w:t>
      </w:r>
      <w:r w:rsidRPr="00B47E95">
        <w:t xml:space="preserve"> que le présent contrat a été « </w:t>
      </w:r>
      <w:r w:rsidRPr="00B47E95">
        <w:rPr>
          <w:i/>
        </w:rPr>
        <w:t>soumis (par consultation écrite) le 20 juillet 2007 à la commission administrative et financière de l’académie de marine qui l’a</w:t>
      </w:r>
      <w:r w:rsidR="00260C8D">
        <w:rPr>
          <w:i/>
        </w:rPr>
        <w:t xml:space="preserve"> </w:t>
      </w:r>
      <w:r w:rsidRPr="00B47E95">
        <w:rPr>
          <w:i/>
        </w:rPr>
        <w:t>approuvé</w:t>
      </w:r>
      <w:r w:rsidR="00257ECB">
        <w:t> » ; que l</w:t>
      </w:r>
      <w:r w:rsidRPr="00B47E95">
        <w:t>’agent comptable en fonctions a indiqué qu’il n’a pas été retrouvé trace de la décision de la commission administrative et financière</w:t>
      </w:r>
      <w:r w:rsidR="00257ECB">
        <w:t xml:space="preserve"> et </w:t>
      </w:r>
      <w:r w:rsidRPr="00B47E95">
        <w:t xml:space="preserve">n’a formulé aucune </w:t>
      </w:r>
      <w:r w:rsidR="00257ECB">
        <w:t xml:space="preserve">autre observation sur cette charge ; </w:t>
      </w:r>
    </w:p>
    <w:p w:rsidR="00257ECB" w:rsidRDefault="00257ECB" w:rsidP="00B47E95">
      <w:pPr>
        <w:pStyle w:val="PS"/>
        <w:spacing w:after="360"/>
      </w:pPr>
      <w:r>
        <w:t>Attendu que l</w:t>
      </w:r>
      <w:r w:rsidR="00B47E95" w:rsidRPr="00B47E95">
        <w:t xml:space="preserve">’ordonnateur a adressé, le 19 juin 2013, </w:t>
      </w:r>
      <w:r>
        <w:t>à</w:t>
      </w:r>
      <w:r w:rsidR="00B47E95" w:rsidRPr="00B47E95">
        <w:t xml:space="preserve"> la Cour un courrier à l’appui duquel est notamment joint un procès-verbal de la commission administrative et financière</w:t>
      </w:r>
      <w:r>
        <w:t xml:space="preserve"> </w:t>
      </w:r>
      <w:r w:rsidR="00B47E95" w:rsidRPr="00B47E95">
        <w:t>daté du 31 août 2007 mentionnant</w:t>
      </w:r>
      <w:r w:rsidR="00260C8D">
        <w:t xml:space="preserve"> </w:t>
      </w:r>
      <w:r w:rsidR="00B47E95" w:rsidRPr="006A6D44">
        <w:t xml:space="preserve">la consultation de la commission administrative et financière sur la candidature de Mme </w:t>
      </w:r>
      <w:r w:rsidR="00260C8D">
        <w:t>Y</w:t>
      </w:r>
      <w:r>
        <w:t xml:space="preserve"> </w:t>
      </w:r>
      <w:r w:rsidR="00B47E95" w:rsidRPr="006A6D44">
        <w:t>aux fonctions de secrétaire générale de l’Académie de marine</w:t>
      </w:r>
      <w:r>
        <w:t> ; mais que même si l’indemnité versée à M</w:t>
      </w:r>
      <w:r w:rsidRPr="00260C8D">
        <w:rPr>
          <w:vertAlign w:val="superscript"/>
        </w:rPr>
        <w:t>me</w:t>
      </w:r>
      <w:r>
        <w:t xml:space="preserve"> </w:t>
      </w:r>
      <w:r w:rsidR="00260C8D">
        <w:t>Y</w:t>
      </w:r>
      <w:r>
        <w:t xml:space="preserve"> figurait dans son contrat de travail, le paiement de primes ou indemnités revêt un caractère irrégulier en l’absence de fondement législatif ou réglementaire et qu’une décision de l’organe délibérant ne saurait être considérée comme un tel fondement ;</w:t>
      </w:r>
    </w:p>
    <w:p w:rsidR="00D458F2" w:rsidRDefault="00D458F2" w:rsidP="00B47E95">
      <w:pPr>
        <w:pStyle w:val="PS"/>
        <w:spacing w:after="360"/>
      </w:pPr>
      <w:r>
        <w:t>Attendu qu’outre le fondement légal de cette indemnité, il a été demandé la production des pièces justificatives nécessaires, notamment les décisions fixant le montant annuel de l’indemnité représentative de frais permettant au comptable de fonder le paiement de ces indemnités et de vérifier l’exactitude des calculs de liquidation, et que ces éléments n’ont pas été produits ;</w:t>
      </w:r>
    </w:p>
    <w:p w:rsidR="00DE081B" w:rsidRDefault="00DE081B" w:rsidP="00DE081B">
      <w:pPr>
        <w:pStyle w:val="PS"/>
        <w:spacing w:after="360"/>
      </w:pPr>
      <w:r>
        <w:t xml:space="preserve">Attendu que le comptable </w:t>
      </w:r>
      <w:r w:rsidRPr="00206FA2">
        <w:t xml:space="preserve">n’a </w:t>
      </w:r>
      <w:r>
        <w:t xml:space="preserve">donc </w:t>
      </w:r>
      <w:r w:rsidRPr="00206FA2">
        <w:t>pas exercé c</w:t>
      </w:r>
      <w:r>
        <w:t xml:space="preserve">orrectement le contrôle de la production des justifications et de la validité de la créance ; </w:t>
      </w:r>
      <w:r w:rsidRPr="00614E34">
        <w:t>qu’il aurait dû suspendre le</w:t>
      </w:r>
      <w:r>
        <w:t>s</w:t>
      </w:r>
      <w:r w:rsidRPr="00614E34">
        <w:t xml:space="preserve"> paiement</w:t>
      </w:r>
      <w:r>
        <w:t>s</w:t>
      </w:r>
      <w:r w:rsidRPr="00614E34">
        <w:t xml:space="preserve"> et en informer l’ordonnateur</w:t>
      </w:r>
      <w:r>
        <w:t> ; que</w:t>
      </w:r>
      <w:r w:rsidRPr="005A05BC">
        <w:t xml:space="preserve"> cette abstention</w:t>
      </w:r>
      <w:r>
        <w:t xml:space="preserve"> et l’irrégularité des paiements</w:t>
      </w:r>
      <w:r w:rsidRPr="005A05BC">
        <w:t xml:space="preserve"> </w:t>
      </w:r>
      <w:r>
        <w:t>sont</w:t>
      </w:r>
      <w:r w:rsidRPr="005A05BC">
        <w:t xml:space="preserve"> de nature à engager la responsabilité personnelle et pécuniaire de</w:t>
      </w:r>
      <w:r w:rsidR="00260C8D">
        <w:t xml:space="preserve"> </w:t>
      </w:r>
      <w:r w:rsidR="007613BC">
        <w:t>M</w:t>
      </w:r>
      <w:r w:rsidR="007613BC" w:rsidRPr="00260C8D">
        <w:rPr>
          <w:vertAlign w:val="superscript"/>
        </w:rPr>
        <w:t>me</w:t>
      </w:r>
      <w:r w:rsidR="00FB2014">
        <w:t> </w:t>
      </w:r>
      <w:r w:rsidR="007613BC">
        <w:t>X</w:t>
      </w:r>
      <w:r w:rsidRPr="005A05BC">
        <w:t xml:space="preserve"> au titre de</w:t>
      </w:r>
      <w:r>
        <w:t xml:space="preserve">s </w:t>
      </w:r>
      <w:r w:rsidRPr="005A05BC">
        <w:t>exercice</w:t>
      </w:r>
      <w:r>
        <w:t>s 2007 à 2009 ;</w:t>
      </w:r>
    </w:p>
    <w:p w:rsidR="00DE081B" w:rsidRDefault="00762D3B" w:rsidP="00DE081B">
      <w:pPr>
        <w:pStyle w:val="PS"/>
        <w:spacing w:after="360"/>
      </w:pPr>
      <w:r>
        <w:br w:type="page"/>
      </w:r>
      <w:r w:rsidR="00DE081B">
        <w:lastRenderedPageBreak/>
        <w:t>Attendu qu’il résulte des considérations ci-dessus évoquées</w:t>
      </w:r>
      <w:r w:rsidR="00DE081B" w:rsidRPr="00C07E9C">
        <w:t xml:space="preserve"> que le</w:t>
      </w:r>
      <w:r w:rsidR="00DE081B">
        <w:t>s</w:t>
      </w:r>
      <w:r w:rsidR="00DE081B" w:rsidRPr="00C07E9C">
        <w:t xml:space="preserve"> </w:t>
      </w:r>
      <w:r w:rsidR="00DE081B" w:rsidRPr="006D3987">
        <w:t>manquements du comptable ne résultent pas de circonstances de force majeure ;</w:t>
      </w:r>
    </w:p>
    <w:p w:rsidR="00DE081B" w:rsidRPr="00884B07" w:rsidRDefault="00DE081B" w:rsidP="00DE081B">
      <w:pPr>
        <w:pStyle w:val="PS"/>
        <w:spacing w:after="360"/>
      </w:pPr>
      <w:r>
        <w:t>Attendu que</w:t>
      </w:r>
      <w:r w:rsidR="008A0A50">
        <w:t xml:space="preserve"> les</w:t>
      </w:r>
      <w:r>
        <w:t xml:space="preserve"> indemnités représentatives de frais étaient dépourvues de fondement juridique, </w:t>
      </w:r>
      <w:r w:rsidR="00024377" w:rsidRPr="00884B07">
        <w:t xml:space="preserve">qu’elles </w:t>
      </w:r>
      <w:r w:rsidRPr="00884B07">
        <w:t>présentent donc un caractère indu et que leur versement a</w:t>
      </w:r>
      <w:r w:rsidR="00FB2014">
        <w:t xml:space="preserve"> </w:t>
      </w:r>
      <w:r w:rsidRPr="00884B07">
        <w:t>bien causé un préjudice financier à l’établissement indépendamment du service fait ;</w:t>
      </w:r>
    </w:p>
    <w:p w:rsidR="00DE081B" w:rsidRDefault="00DE081B" w:rsidP="00DE081B">
      <w:pPr>
        <w:pStyle w:val="PS"/>
        <w:spacing w:after="360"/>
      </w:pPr>
      <w:r w:rsidRPr="00884B07">
        <w:t xml:space="preserve">Attendu qu’il y a donc lieu de constituer </w:t>
      </w:r>
      <w:r w:rsidR="007613BC">
        <w:t>M</w:t>
      </w:r>
      <w:r w:rsidR="007613BC" w:rsidRPr="00FB2014">
        <w:rPr>
          <w:vertAlign w:val="superscript"/>
        </w:rPr>
        <w:t>me</w:t>
      </w:r>
      <w:r w:rsidR="007613BC">
        <w:t xml:space="preserve"> X</w:t>
      </w:r>
      <w:r w:rsidR="00720ADD" w:rsidRPr="00884B07">
        <w:t xml:space="preserve"> débitrice</w:t>
      </w:r>
      <w:r w:rsidRPr="00884B07">
        <w:t>, au titre de l’exercice</w:t>
      </w:r>
      <w:r w:rsidR="00FB2014">
        <w:t xml:space="preserve"> </w:t>
      </w:r>
      <w:r w:rsidRPr="00884B07">
        <w:t>2007, de la somme de 3 217,48</w:t>
      </w:r>
      <w:r w:rsidR="00762D3B" w:rsidRPr="00884B07">
        <w:t> </w:t>
      </w:r>
      <w:r w:rsidRPr="00884B07">
        <w:t>euros, au titre de l’exercice</w:t>
      </w:r>
      <w:r w:rsidR="00FB2014">
        <w:t xml:space="preserve"> </w:t>
      </w:r>
      <w:r w:rsidRPr="00884B07">
        <w:t>2008</w:t>
      </w:r>
      <w:r>
        <w:t>, de la somme de 9 699,93</w:t>
      </w:r>
      <w:r w:rsidR="00762D3B">
        <w:t> </w:t>
      </w:r>
      <w:r>
        <w:t>euros, au titre de l’année 20</w:t>
      </w:r>
      <w:r w:rsidR="00004703">
        <w:t>09</w:t>
      </w:r>
      <w:r>
        <w:t>, de la somme de 2 432,46</w:t>
      </w:r>
      <w:r w:rsidR="00762D3B">
        <w:t> </w:t>
      </w:r>
      <w:r>
        <w:t>euros, ces</w:t>
      </w:r>
      <w:r w:rsidR="00FB2014">
        <w:t xml:space="preserve"> </w:t>
      </w:r>
      <w:r>
        <w:t xml:space="preserve">sommes </w:t>
      </w:r>
      <w:r w:rsidRPr="00346043">
        <w:t xml:space="preserve">portant intérêts de droit à compter du </w:t>
      </w:r>
      <w:r>
        <w:t>26 avril 2013</w:t>
      </w:r>
      <w:r w:rsidRPr="00346043">
        <w:t xml:space="preserve">, date </w:t>
      </w:r>
      <w:r>
        <w:t>de signature du</w:t>
      </w:r>
      <w:r w:rsidR="00FB2014">
        <w:t xml:space="preserve"> </w:t>
      </w:r>
      <w:r w:rsidRPr="00346043">
        <w:t>réquisitoire</w:t>
      </w:r>
      <w:r>
        <w:t> ;</w:t>
      </w:r>
    </w:p>
    <w:p w:rsidR="00FC4483" w:rsidRPr="00BC105C" w:rsidRDefault="00FC4483" w:rsidP="00DE081B">
      <w:pPr>
        <w:pStyle w:val="PS"/>
        <w:spacing w:after="360"/>
      </w:pPr>
      <w:r>
        <w:rPr>
          <w:i/>
          <w:u w:val="single"/>
        </w:rPr>
        <w:t>Décharges et sursis</w:t>
      </w:r>
    </w:p>
    <w:p w:rsidR="00FC4483" w:rsidRDefault="00FC4483" w:rsidP="00A31FB8">
      <w:pPr>
        <w:pStyle w:val="PS"/>
      </w:pPr>
      <w:r>
        <w:t xml:space="preserve">Attendu qu’il y a lieu de surseoir à la décharge de </w:t>
      </w:r>
      <w:r w:rsidR="007613BC">
        <w:t>M</w:t>
      </w:r>
      <w:r w:rsidR="007613BC" w:rsidRPr="00FB2014">
        <w:rPr>
          <w:vertAlign w:val="superscript"/>
        </w:rPr>
        <w:t>me</w:t>
      </w:r>
      <w:r w:rsidR="007613BC">
        <w:t xml:space="preserve"> X</w:t>
      </w:r>
      <w:r>
        <w:t xml:space="preserve"> pour les exercices</w:t>
      </w:r>
      <w:r w:rsidR="00FB2014">
        <w:t xml:space="preserve"> </w:t>
      </w:r>
      <w:r w:rsidR="00451C56">
        <w:t>2007, 2008 et 2009 dans l’attente de l’apurement des sommes mises à sa charge au titre de ces exercices ;</w:t>
      </w:r>
    </w:p>
    <w:p w:rsidR="00CA5B36" w:rsidRPr="00850969" w:rsidRDefault="00CA5B36" w:rsidP="00A31FB8">
      <w:pPr>
        <w:pStyle w:val="PS"/>
      </w:pPr>
      <w:r w:rsidRPr="00850969">
        <w:t>Par ces motifs,</w:t>
      </w:r>
    </w:p>
    <w:p w:rsidR="00CA5B36" w:rsidRPr="0031649A" w:rsidRDefault="00B47E95" w:rsidP="00A31FB8">
      <w:pPr>
        <w:pStyle w:val="P0"/>
        <w:spacing w:after="480"/>
        <w:jc w:val="center"/>
        <w:rPr>
          <w:b/>
          <w:bCs/>
        </w:rPr>
      </w:pPr>
      <w:r>
        <w:rPr>
          <w:b/>
          <w:bCs/>
        </w:rPr>
        <w:t>DECIDE</w:t>
      </w:r>
      <w:r w:rsidRPr="0063675B">
        <w:rPr>
          <w:b/>
          <w:bCs/>
        </w:rPr>
        <w:t> </w:t>
      </w:r>
      <w:r w:rsidR="00CA5B36" w:rsidRPr="0031649A">
        <w:rPr>
          <w:b/>
          <w:bCs/>
        </w:rPr>
        <w:t>:</w:t>
      </w:r>
    </w:p>
    <w:p w:rsidR="00FC4483" w:rsidRDefault="00CA5B36" w:rsidP="00A31FB8">
      <w:pPr>
        <w:pStyle w:val="PS"/>
      </w:pPr>
      <w:r w:rsidRPr="001A35D1">
        <w:rPr>
          <w:u w:val="single"/>
        </w:rPr>
        <w:t>Article 1</w:t>
      </w:r>
      <w:r w:rsidRPr="001A35D1">
        <w:rPr>
          <w:u w:val="single"/>
          <w:vertAlign w:val="superscript"/>
        </w:rPr>
        <w:t>er</w:t>
      </w:r>
      <w:r w:rsidRPr="00016709">
        <w:t xml:space="preserve"> : </w:t>
      </w:r>
      <w:r w:rsidR="007613BC">
        <w:t>M</w:t>
      </w:r>
      <w:r w:rsidR="007613BC" w:rsidRPr="00FB2014">
        <w:rPr>
          <w:vertAlign w:val="superscript"/>
        </w:rPr>
        <w:t>me</w:t>
      </w:r>
      <w:r w:rsidR="007613BC">
        <w:t xml:space="preserve"> X</w:t>
      </w:r>
      <w:r w:rsidR="00C402B9">
        <w:t xml:space="preserve"> est constitué</w:t>
      </w:r>
      <w:r w:rsidR="00B91784">
        <w:t>e</w:t>
      </w:r>
      <w:r w:rsidRPr="00016709">
        <w:t xml:space="preserve"> </w:t>
      </w:r>
      <w:r w:rsidR="00B91784" w:rsidRPr="00016709">
        <w:t>débit</w:t>
      </w:r>
      <w:r w:rsidR="00B91784">
        <w:t>rice</w:t>
      </w:r>
      <w:r w:rsidR="00B91784" w:rsidRPr="00016709">
        <w:t xml:space="preserve"> </w:t>
      </w:r>
      <w:r w:rsidR="00B91784">
        <w:t>de l’Académie de</w:t>
      </w:r>
      <w:r w:rsidR="00E35F9B" w:rsidRPr="00955425">
        <w:t xml:space="preserve"> marine</w:t>
      </w:r>
      <w:r w:rsidRPr="00016709">
        <w:t xml:space="preserve"> </w:t>
      </w:r>
      <w:r w:rsidR="00FC4483" w:rsidRPr="00016709">
        <w:t>au titre de l’exercice</w:t>
      </w:r>
      <w:r w:rsidR="00FC4483">
        <w:t xml:space="preserve"> </w:t>
      </w:r>
      <w:r w:rsidR="00FC4483" w:rsidRPr="00016709">
        <w:t>200</w:t>
      </w:r>
      <w:r w:rsidR="00FC4483">
        <w:t xml:space="preserve">7 </w:t>
      </w:r>
      <w:r w:rsidRPr="00016709">
        <w:t xml:space="preserve">de </w:t>
      </w:r>
      <w:r w:rsidR="00FC4483">
        <w:t xml:space="preserve">la somme de </w:t>
      </w:r>
      <w:r w:rsidR="00B91784">
        <w:t>6 508,98</w:t>
      </w:r>
      <w:r w:rsidR="00793C24">
        <w:t> €</w:t>
      </w:r>
      <w:r w:rsidRPr="00016709">
        <w:t xml:space="preserve">, </w:t>
      </w:r>
      <w:r w:rsidR="00FC4483" w:rsidRPr="00A46563">
        <w:t xml:space="preserve">augmentée des intérêts </w:t>
      </w:r>
      <w:r w:rsidR="00FC4483">
        <w:t>légaux</w:t>
      </w:r>
      <w:r w:rsidR="00FC4483" w:rsidRPr="00A46563">
        <w:t xml:space="preserve"> à compter du </w:t>
      </w:r>
      <w:r w:rsidR="00FC4483">
        <w:t>26 avril 2013 ;</w:t>
      </w:r>
    </w:p>
    <w:p w:rsidR="00FC4483" w:rsidRDefault="00FC4483" w:rsidP="00A31FB8">
      <w:pPr>
        <w:pStyle w:val="PS"/>
      </w:pPr>
      <w:r w:rsidRPr="001A35D1">
        <w:rPr>
          <w:u w:val="single"/>
        </w:rPr>
        <w:t xml:space="preserve">Article </w:t>
      </w:r>
      <w:r w:rsidR="00720ADD">
        <w:rPr>
          <w:u w:val="single"/>
        </w:rPr>
        <w:t>2</w:t>
      </w:r>
      <w:r w:rsidRPr="00016709">
        <w:t xml:space="preserve"> : </w:t>
      </w:r>
      <w:r w:rsidR="007613BC">
        <w:t>M</w:t>
      </w:r>
      <w:r w:rsidR="007613BC" w:rsidRPr="00FB2014">
        <w:rPr>
          <w:vertAlign w:val="superscript"/>
        </w:rPr>
        <w:t>me</w:t>
      </w:r>
      <w:r w:rsidR="007613BC">
        <w:t xml:space="preserve"> X</w:t>
      </w:r>
      <w:r>
        <w:t xml:space="preserve"> est constituée</w:t>
      </w:r>
      <w:r w:rsidRPr="00016709">
        <w:t xml:space="preserve"> débit</w:t>
      </w:r>
      <w:r>
        <w:t>rice</w:t>
      </w:r>
      <w:r w:rsidRPr="00016709">
        <w:t xml:space="preserve"> </w:t>
      </w:r>
      <w:r>
        <w:t>de l’Académie de</w:t>
      </w:r>
      <w:r w:rsidRPr="00955425">
        <w:t xml:space="preserve"> marine</w:t>
      </w:r>
      <w:r w:rsidRPr="00016709">
        <w:t xml:space="preserve"> au titre de l’exercice</w:t>
      </w:r>
      <w:r w:rsidR="00FB2014">
        <w:t xml:space="preserve"> </w:t>
      </w:r>
      <w:r w:rsidRPr="00016709">
        <w:t>200</w:t>
      </w:r>
      <w:r>
        <w:t xml:space="preserve">8 </w:t>
      </w:r>
      <w:r w:rsidRPr="00016709">
        <w:t xml:space="preserve">de </w:t>
      </w:r>
      <w:r>
        <w:t xml:space="preserve">la somme </w:t>
      </w:r>
      <w:r w:rsidR="00CA5B36" w:rsidRPr="00016709">
        <w:t xml:space="preserve">de </w:t>
      </w:r>
      <w:r w:rsidR="00B91784">
        <w:t>13 009,50</w:t>
      </w:r>
      <w:r w:rsidR="00793C24">
        <w:t> €</w:t>
      </w:r>
      <w:r w:rsidRPr="00FC4483">
        <w:t xml:space="preserve"> </w:t>
      </w:r>
      <w:r w:rsidRPr="00A46563">
        <w:t xml:space="preserve">augmentée des intérêts </w:t>
      </w:r>
      <w:r>
        <w:t>légaux</w:t>
      </w:r>
      <w:r w:rsidRPr="00A46563">
        <w:t xml:space="preserve"> à compter du </w:t>
      </w:r>
      <w:r>
        <w:t>26 avril 2013 ;</w:t>
      </w:r>
    </w:p>
    <w:p w:rsidR="00CA5B36" w:rsidRDefault="00FC4483" w:rsidP="00A31FB8">
      <w:pPr>
        <w:pStyle w:val="PS"/>
      </w:pPr>
      <w:r w:rsidRPr="001A35D1">
        <w:rPr>
          <w:u w:val="single"/>
        </w:rPr>
        <w:t xml:space="preserve">Article </w:t>
      </w:r>
      <w:r w:rsidR="00720ADD">
        <w:rPr>
          <w:u w:val="single"/>
        </w:rPr>
        <w:t>3</w:t>
      </w:r>
      <w:r w:rsidRPr="00720ADD">
        <w:t xml:space="preserve"> </w:t>
      </w:r>
      <w:r w:rsidRPr="00016709">
        <w:t xml:space="preserve">: </w:t>
      </w:r>
      <w:r w:rsidR="007613BC">
        <w:t>M</w:t>
      </w:r>
      <w:r w:rsidR="007613BC" w:rsidRPr="00FB2014">
        <w:rPr>
          <w:vertAlign w:val="superscript"/>
        </w:rPr>
        <w:t>me</w:t>
      </w:r>
      <w:r w:rsidR="007613BC">
        <w:t xml:space="preserve"> X</w:t>
      </w:r>
      <w:r>
        <w:t xml:space="preserve"> est constituée</w:t>
      </w:r>
      <w:r w:rsidRPr="00016709">
        <w:t xml:space="preserve"> débit</w:t>
      </w:r>
      <w:r>
        <w:t>rice</w:t>
      </w:r>
      <w:r w:rsidRPr="00016709">
        <w:t xml:space="preserve"> </w:t>
      </w:r>
      <w:r>
        <w:t>de l’Académie de</w:t>
      </w:r>
      <w:r w:rsidRPr="00955425">
        <w:t xml:space="preserve"> marine</w:t>
      </w:r>
      <w:r w:rsidRPr="00016709">
        <w:t xml:space="preserve"> au titre de l’exercice</w:t>
      </w:r>
      <w:r w:rsidR="00FB2014">
        <w:t xml:space="preserve"> </w:t>
      </w:r>
      <w:r w:rsidRPr="00016709">
        <w:t>200</w:t>
      </w:r>
      <w:r>
        <w:t xml:space="preserve">9 </w:t>
      </w:r>
      <w:r w:rsidRPr="00016709">
        <w:t xml:space="preserve">de </w:t>
      </w:r>
      <w:r>
        <w:t>la somme</w:t>
      </w:r>
      <w:r w:rsidR="00B91784">
        <w:t xml:space="preserve"> </w:t>
      </w:r>
      <w:r w:rsidR="00113684">
        <w:t xml:space="preserve">de </w:t>
      </w:r>
      <w:r w:rsidR="00B91784">
        <w:t>3 244,89 </w:t>
      </w:r>
      <w:r w:rsidR="00113684">
        <w:t>€</w:t>
      </w:r>
      <w:r>
        <w:t xml:space="preserve"> </w:t>
      </w:r>
      <w:r w:rsidRPr="00A46563">
        <w:t xml:space="preserve">augmentée des intérêts </w:t>
      </w:r>
      <w:r>
        <w:t>légaux</w:t>
      </w:r>
      <w:r w:rsidRPr="00A46563">
        <w:t xml:space="preserve"> à compter du </w:t>
      </w:r>
      <w:r>
        <w:t>26 avril 2013 </w:t>
      </w:r>
      <w:r w:rsidR="008F61C1">
        <w:t>;</w:t>
      </w:r>
    </w:p>
    <w:p w:rsidR="00FC4483" w:rsidRDefault="00FC4483" w:rsidP="00FC4483">
      <w:pPr>
        <w:pStyle w:val="PS"/>
      </w:pPr>
      <w:r w:rsidRPr="004758BD">
        <w:rPr>
          <w:u w:val="single"/>
        </w:rPr>
        <w:t xml:space="preserve">Article </w:t>
      </w:r>
      <w:r w:rsidR="00720ADD">
        <w:rPr>
          <w:u w:val="single"/>
        </w:rPr>
        <w:t>4</w:t>
      </w:r>
      <w:r>
        <w:t xml:space="preserve"> : </w:t>
      </w:r>
      <w:r w:rsidR="00720ADD">
        <w:t>I</w:t>
      </w:r>
      <w:r>
        <w:t xml:space="preserve">l est sursis à </w:t>
      </w:r>
      <w:r w:rsidR="00B40283">
        <w:t xml:space="preserve">la </w:t>
      </w:r>
      <w:r>
        <w:t xml:space="preserve">décharge de </w:t>
      </w:r>
      <w:r w:rsidR="007613BC">
        <w:t>M</w:t>
      </w:r>
      <w:r w:rsidR="007613BC" w:rsidRPr="00FB2014">
        <w:rPr>
          <w:vertAlign w:val="superscript"/>
        </w:rPr>
        <w:t>me</w:t>
      </w:r>
      <w:r w:rsidR="007613BC">
        <w:t xml:space="preserve"> X</w:t>
      </w:r>
      <w:r>
        <w:t xml:space="preserve"> pour l</w:t>
      </w:r>
      <w:r w:rsidR="00720ADD">
        <w:t>es</w:t>
      </w:r>
      <w:r w:rsidR="00FB2014">
        <w:t xml:space="preserve"> </w:t>
      </w:r>
      <w:r>
        <w:t>exercice</w:t>
      </w:r>
      <w:r w:rsidR="00720ADD">
        <w:t>s</w:t>
      </w:r>
      <w:r w:rsidR="00FB2014">
        <w:t xml:space="preserve"> </w:t>
      </w:r>
      <w:r w:rsidR="00720ADD">
        <w:t>2007 à</w:t>
      </w:r>
      <w:r>
        <w:t xml:space="preserve"> 200</w:t>
      </w:r>
      <w:r w:rsidR="00451C56">
        <w:t>9</w:t>
      </w:r>
      <w:r>
        <w:t xml:space="preserve"> dans l’attente de la constatation </w:t>
      </w:r>
      <w:r w:rsidR="00720ADD">
        <w:t xml:space="preserve">de l’apurement </w:t>
      </w:r>
      <w:r>
        <w:t xml:space="preserve">des </w:t>
      </w:r>
      <w:r w:rsidR="00720ADD">
        <w:t xml:space="preserve">débets prononcés aux </w:t>
      </w:r>
      <w:r>
        <w:t>article</w:t>
      </w:r>
      <w:r w:rsidR="00720ADD">
        <w:t>s</w:t>
      </w:r>
      <w:r>
        <w:t xml:space="preserve"> </w:t>
      </w:r>
      <w:r w:rsidR="00720ADD">
        <w:t>1 à 3</w:t>
      </w:r>
      <w:r>
        <w:t xml:space="preserve"> du présent arrêt</w:t>
      </w:r>
      <w:r w:rsidR="00B40283">
        <w:t>.</w:t>
      </w:r>
    </w:p>
    <w:p w:rsidR="00F02E41" w:rsidRDefault="00F02E41" w:rsidP="00F02E41">
      <w:pPr>
        <w:pStyle w:val="PS"/>
        <w:ind w:firstLine="0"/>
        <w:jc w:val="center"/>
      </w:pPr>
      <w:r>
        <w:t>----------</w:t>
      </w:r>
    </w:p>
    <w:p w:rsidR="00B40283" w:rsidRDefault="00762D3B" w:rsidP="00876AFA">
      <w:pPr>
        <w:pStyle w:val="PS"/>
        <w:spacing w:after="600"/>
      </w:pPr>
      <w:r>
        <w:br w:type="page"/>
      </w:r>
    </w:p>
    <w:p w:rsidR="00CA5B36" w:rsidRDefault="00CA5B36" w:rsidP="00876AFA">
      <w:pPr>
        <w:pStyle w:val="PS"/>
        <w:spacing w:after="600"/>
      </w:pPr>
      <w:r w:rsidRPr="00762D3B">
        <w:t xml:space="preserve">Fait et jugé à la Cour des comptes, </w:t>
      </w:r>
      <w:r w:rsidR="00B35432" w:rsidRPr="00762D3B">
        <w:t>deuxième</w:t>
      </w:r>
      <w:r w:rsidRPr="00762D3B">
        <w:t xml:space="preserve"> chambre, </w:t>
      </w:r>
      <w:r w:rsidR="00850969" w:rsidRPr="00762D3B">
        <w:t xml:space="preserve">première </w:t>
      </w:r>
      <w:r w:rsidRPr="00762D3B">
        <w:t>section, le</w:t>
      </w:r>
      <w:r w:rsidR="00562328" w:rsidRPr="00762D3B">
        <w:t> </w:t>
      </w:r>
      <w:r w:rsidR="00B40283">
        <w:t>deux décembre deux mil quatorze</w:t>
      </w:r>
      <w:r w:rsidRPr="00762D3B">
        <w:t>.</w:t>
      </w:r>
      <w:r w:rsidR="00562328" w:rsidRPr="00762D3B">
        <w:t xml:space="preserve"> </w:t>
      </w:r>
      <w:r w:rsidRPr="00762D3B">
        <w:t xml:space="preserve">Présents : </w:t>
      </w:r>
      <w:r w:rsidR="00850969" w:rsidRPr="00762D3B">
        <w:t>M.</w:t>
      </w:r>
      <w:r w:rsidR="004106CB" w:rsidRPr="00762D3B">
        <w:t> </w:t>
      </w:r>
      <w:r w:rsidR="00850969" w:rsidRPr="00762D3B">
        <w:t>L</w:t>
      </w:r>
      <w:r w:rsidR="00FB2014">
        <w:t>é</w:t>
      </w:r>
      <w:r w:rsidR="00850969" w:rsidRPr="00762D3B">
        <w:t>vy</w:t>
      </w:r>
      <w:r w:rsidRPr="00762D3B">
        <w:t xml:space="preserve">, président, </w:t>
      </w:r>
      <w:r w:rsidR="00884B07">
        <w:t>M</w:t>
      </w:r>
      <w:r w:rsidR="00884B07" w:rsidRPr="00FB2014">
        <w:rPr>
          <w:vertAlign w:val="superscript"/>
        </w:rPr>
        <w:t>me</w:t>
      </w:r>
      <w:r w:rsidR="00884B07">
        <w:t xml:space="preserve"> Saliou, présidente de section, </w:t>
      </w:r>
      <w:r w:rsidR="00451C56" w:rsidRPr="00762D3B">
        <w:t>MM</w:t>
      </w:r>
      <w:r w:rsidR="00652109">
        <w:t>.</w:t>
      </w:r>
      <w:r w:rsidR="00004703">
        <w:t> </w:t>
      </w:r>
      <w:proofErr w:type="spellStart"/>
      <w:r w:rsidR="00B40283">
        <w:t>R</w:t>
      </w:r>
      <w:r w:rsidR="00FB2014">
        <w:t>é</w:t>
      </w:r>
      <w:r w:rsidR="00B40283">
        <w:t>mond</w:t>
      </w:r>
      <w:proofErr w:type="spellEnd"/>
      <w:r w:rsidR="00850969" w:rsidRPr="00762D3B">
        <w:t xml:space="preserve">, </w:t>
      </w:r>
      <w:r w:rsidR="00B40283">
        <w:t>Paul,</w:t>
      </w:r>
      <w:r w:rsidR="00884B07">
        <w:t xml:space="preserve"> </w:t>
      </w:r>
      <w:r w:rsidR="00B40283">
        <w:t xml:space="preserve">Vivet, Mousson, </w:t>
      </w:r>
      <w:proofErr w:type="spellStart"/>
      <w:r w:rsidR="00B40283">
        <w:t>Monteils</w:t>
      </w:r>
      <w:proofErr w:type="spellEnd"/>
      <w:r w:rsidR="00B40283">
        <w:t xml:space="preserve">, Dors, </w:t>
      </w:r>
      <w:bookmarkStart w:id="0" w:name="_GoBack"/>
      <w:bookmarkEnd w:id="0"/>
      <w:r w:rsidR="00FB2014" w:rsidRPr="00934033">
        <w:t>M</w:t>
      </w:r>
      <w:r w:rsidR="00FB2014" w:rsidRPr="00934033">
        <w:rPr>
          <w:vertAlign w:val="superscript"/>
        </w:rPr>
        <w:t>me</w:t>
      </w:r>
      <w:r w:rsidR="00FB2014">
        <w:t> </w:t>
      </w:r>
      <w:proofErr w:type="spellStart"/>
      <w:r w:rsidR="00B40283">
        <w:t>Dujols</w:t>
      </w:r>
      <w:proofErr w:type="spellEnd"/>
      <w:r w:rsidR="00B40283">
        <w:t xml:space="preserve">, </w:t>
      </w:r>
      <w:r w:rsidRPr="00762D3B">
        <w:t>conseillers</w:t>
      </w:r>
      <w:r w:rsidR="00FB2014">
        <w:t xml:space="preserve"> </w:t>
      </w:r>
      <w:r w:rsidRPr="00762D3B">
        <w:t>maîtres</w:t>
      </w:r>
      <w:r w:rsidR="00B40283">
        <w:t xml:space="preserve"> et M.</w:t>
      </w:r>
      <w:r w:rsidR="00004703">
        <w:t> </w:t>
      </w:r>
      <w:proofErr w:type="spellStart"/>
      <w:r w:rsidR="00B40283">
        <w:t>Descheemaeker</w:t>
      </w:r>
      <w:proofErr w:type="spellEnd"/>
      <w:r w:rsidR="00B40283">
        <w:t>, président de chambre maintenu</w:t>
      </w:r>
      <w:r w:rsidR="00263114">
        <w:t xml:space="preserve"> en activité</w:t>
      </w:r>
      <w:r w:rsidRPr="00762D3B">
        <w:t>.</w:t>
      </w:r>
    </w:p>
    <w:p w:rsidR="00850969" w:rsidRDefault="00850969" w:rsidP="00A31FB8">
      <w:pPr>
        <w:pStyle w:val="PS"/>
      </w:pPr>
      <w:r>
        <w:t>Signé : L</w:t>
      </w:r>
      <w:r w:rsidR="005100E8">
        <w:t>e</w:t>
      </w:r>
      <w:r>
        <w:t>vy, président</w:t>
      </w:r>
      <w:r w:rsidR="004106CB">
        <w:t xml:space="preserve">, </w:t>
      </w:r>
      <w:r>
        <w:t>et</w:t>
      </w:r>
      <w:r w:rsidR="00720ADD">
        <w:t xml:space="preserve"> </w:t>
      </w:r>
      <w:proofErr w:type="spellStart"/>
      <w:r w:rsidR="00720ADD">
        <w:t>Férez</w:t>
      </w:r>
      <w:proofErr w:type="spellEnd"/>
      <w:r>
        <w:t>, greffier.</w:t>
      </w:r>
    </w:p>
    <w:p w:rsidR="008B2357" w:rsidRDefault="00242F20" w:rsidP="00242F20">
      <w:pPr>
        <w:pStyle w:val="PS"/>
        <w:rPr>
          <w:bCs/>
        </w:rPr>
      </w:pPr>
      <w:r w:rsidRPr="00F87682">
        <w:rPr>
          <w:bCs/>
        </w:rPr>
        <w:t>Collationné, certifié conforme à la minute étant a</w:t>
      </w:r>
      <w:r w:rsidR="008B2357">
        <w:rPr>
          <w:bCs/>
        </w:rPr>
        <w:t>u greffe de la Cour des comptes.</w:t>
      </w:r>
    </w:p>
    <w:p w:rsidR="004C6AF3" w:rsidRDefault="004C6AF3" w:rsidP="004C6AF3">
      <w:pPr>
        <w:pStyle w:val="PS"/>
        <w:rPr>
          <w:bCs/>
        </w:rPr>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242F20" w:rsidRDefault="008B2357" w:rsidP="004C6AF3">
      <w:pPr>
        <w:pStyle w:val="PS"/>
        <w:spacing w:after="600"/>
      </w:pPr>
      <w:r>
        <w:t>D</w:t>
      </w:r>
      <w:r w:rsidR="00242F20" w:rsidRPr="00F87682">
        <w:t>élivré par moi, secrétaire général.</w:t>
      </w:r>
    </w:p>
    <w:p w:rsidR="00F7425E" w:rsidRDefault="00F7425E" w:rsidP="00F7425E">
      <w:pPr>
        <w:pStyle w:val="P0"/>
        <w:spacing w:before="120"/>
        <w:ind w:left="0" w:firstLine="6096"/>
        <w:jc w:val="center"/>
        <w:rPr>
          <w:b/>
        </w:rPr>
      </w:pPr>
      <w:r>
        <w:rPr>
          <w:b/>
        </w:rPr>
        <w:t>Pour le secrétaire général</w:t>
      </w:r>
    </w:p>
    <w:p w:rsidR="00F7425E" w:rsidRDefault="00F7425E" w:rsidP="00F7425E">
      <w:pPr>
        <w:pStyle w:val="P0"/>
        <w:ind w:left="0" w:firstLine="6096"/>
        <w:jc w:val="center"/>
        <w:rPr>
          <w:b/>
        </w:rPr>
      </w:pPr>
      <w:proofErr w:type="gramStart"/>
      <w:r>
        <w:rPr>
          <w:b/>
        </w:rPr>
        <w:t>et</w:t>
      </w:r>
      <w:proofErr w:type="gramEnd"/>
      <w:r>
        <w:rPr>
          <w:b/>
        </w:rPr>
        <w:t xml:space="preserve"> par délégation, la greffière principale</w:t>
      </w:r>
    </w:p>
    <w:p w:rsidR="00F7425E" w:rsidRDefault="00F7425E" w:rsidP="00F7425E">
      <w:pPr>
        <w:pStyle w:val="P0"/>
        <w:ind w:left="0" w:firstLine="6096"/>
        <w:jc w:val="center"/>
        <w:rPr>
          <w:b/>
        </w:rPr>
      </w:pPr>
      <w:r>
        <w:rPr>
          <w:b/>
        </w:rPr>
        <w:t>Chef du greffe de la Cour des comptes</w:t>
      </w:r>
    </w:p>
    <w:p w:rsidR="00F7425E" w:rsidRDefault="00F7425E" w:rsidP="00F7425E">
      <w:pPr>
        <w:pStyle w:val="P0"/>
        <w:ind w:left="0" w:firstLine="6521"/>
        <w:jc w:val="center"/>
        <w:rPr>
          <w:b/>
        </w:rPr>
      </w:pPr>
    </w:p>
    <w:p w:rsidR="00F7425E" w:rsidRDefault="00F7425E" w:rsidP="00F7425E">
      <w:pPr>
        <w:pStyle w:val="P0"/>
        <w:ind w:left="0" w:firstLine="6521"/>
        <w:jc w:val="center"/>
        <w:rPr>
          <w:b/>
        </w:rPr>
      </w:pPr>
    </w:p>
    <w:p w:rsidR="00F7425E" w:rsidRDefault="00F7425E" w:rsidP="00F7425E">
      <w:pPr>
        <w:pStyle w:val="P0"/>
        <w:ind w:left="0" w:firstLine="6521"/>
        <w:jc w:val="center"/>
        <w:rPr>
          <w:b/>
        </w:rPr>
      </w:pPr>
    </w:p>
    <w:p w:rsidR="00F7425E" w:rsidRDefault="00F7425E" w:rsidP="00F7425E">
      <w:pPr>
        <w:pStyle w:val="P0"/>
        <w:ind w:left="0" w:firstLine="6521"/>
        <w:jc w:val="center"/>
        <w:rPr>
          <w:b/>
        </w:rPr>
      </w:pPr>
    </w:p>
    <w:p w:rsidR="00F7425E" w:rsidRDefault="00F7425E" w:rsidP="00F7425E">
      <w:pPr>
        <w:pStyle w:val="P0"/>
        <w:ind w:left="0" w:firstLine="6237"/>
        <w:jc w:val="center"/>
        <w:rPr>
          <w:b/>
        </w:rPr>
      </w:pPr>
      <w:r>
        <w:rPr>
          <w:b/>
        </w:rPr>
        <w:t>Florence BIOT</w:t>
      </w:r>
    </w:p>
    <w:p w:rsidR="005100E8" w:rsidRPr="00F87682" w:rsidRDefault="005100E8" w:rsidP="004C6AF3">
      <w:pPr>
        <w:pStyle w:val="PS"/>
        <w:spacing w:after="600"/>
      </w:pPr>
    </w:p>
    <w:sectPr w:rsidR="005100E8" w:rsidRPr="00F87682" w:rsidSect="00E368F5">
      <w:headerReference w:type="default" r:id="rId7"/>
      <w:pgSz w:w="11907" w:h="16840"/>
      <w:pgMar w:top="1701"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912" w:rsidRDefault="00B56912">
      <w:r>
        <w:separator/>
      </w:r>
    </w:p>
  </w:endnote>
  <w:endnote w:type="continuationSeparator" w:id="0">
    <w:p w:rsidR="00B56912" w:rsidRDefault="00B56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912" w:rsidRDefault="00B56912">
      <w:r>
        <w:separator/>
      </w:r>
    </w:p>
  </w:footnote>
  <w:footnote w:type="continuationSeparator" w:id="0">
    <w:p w:rsidR="00B56912" w:rsidRDefault="00B569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1C1" w:rsidRDefault="008F61C1">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FB2014">
      <w:rPr>
        <w:rFonts w:ascii="CG Times (WN)" w:hAnsi="CG Times (WN)"/>
        <w:noProof/>
        <w:sz w:val="24"/>
      </w:rPr>
      <w:t>7</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29D2"/>
    <w:rsid w:val="00002CCA"/>
    <w:rsid w:val="00004703"/>
    <w:rsid w:val="0001173A"/>
    <w:rsid w:val="00014D37"/>
    <w:rsid w:val="000170BB"/>
    <w:rsid w:val="000216E0"/>
    <w:rsid w:val="00022E2D"/>
    <w:rsid w:val="00024377"/>
    <w:rsid w:val="00025A4D"/>
    <w:rsid w:val="000261A8"/>
    <w:rsid w:val="000310FA"/>
    <w:rsid w:val="00037B3B"/>
    <w:rsid w:val="00046248"/>
    <w:rsid w:val="00051BE6"/>
    <w:rsid w:val="000552DB"/>
    <w:rsid w:val="00061059"/>
    <w:rsid w:val="0006550C"/>
    <w:rsid w:val="0007108C"/>
    <w:rsid w:val="00073AC0"/>
    <w:rsid w:val="00077206"/>
    <w:rsid w:val="0008053C"/>
    <w:rsid w:val="00084AFE"/>
    <w:rsid w:val="00091C96"/>
    <w:rsid w:val="00092040"/>
    <w:rsid w:val="00093091"/>
    <w:rsid w:val="00094B5C"/>
    <w:rsid w:val="000A2E17"/>
    <w:rsid w:val="000A49BB"/>
    <w:rsid w:val="000A56C2"/>
    <w:rsid w:val="000A6473"/>
    <w:rsid w:val="000B2CA2"/>
    <w:rsid w:val="000B6703"/>
    <w:rsid w:val="000C03F3"/>
    <w:rsid w:val="000C3591"/>
    <w:rsid w:val="000C699D"/>
    <w:rsid w:val="000E25E7"/>
    <w:rsid w:val="000E28F4"/>
    <w:rsid w:val="000F2F94"/>
    <w:rsid w:val="000F50E6"/>
    <w:rsid w:val="000F74C0"/>
    <w:rsid w:val="0011094E"/>
    <w:rsid w:val="00111595"/>
    <w:rsid w:val="00113684"/>
    <w:rsid w:val="00126267"/>
    <w:rsid w:val="00134574"/>
    <w:rsid w:val="00137185"/>
    <w:rsid w:val="0013730C"/>
    <w:rsid w:val="00142425"/>
    <w:rsid w:val="00171BF1"/>
    <w:rsid w:val="001772AB"/>
    <w:rsid w:val="00181C24"/>
    <w:rsid w:val="00183B7E"/>
    <w:rsid w:val="0018760E"/>
    <w:rsid w:val="0019093E"/>
    <w:rsid w:val="001921FD"/>
    <w:rsid w:val="00194AC3"/>
    <w:rsid w:val="001A73ED"/>
    <w:rsid w:val="001C1EDC"/>
    <w:rsid w:val="001E354A"/>
    <w:rsid w:val="001E3721"/>
    <w:rsid w:val="001E4CC7"/>
    <w:rsid w:val="001E58B3"/>
    <w:rsid w:val="001F49C9"/>
    <w:rsid w:val="00206FA2"/>
    <w:rsid w:val="002119A1"/>
    <w:rsid w:val="00220668"/>
    <w:rsid w:val="0022180E"/>
    <w:rsid w:val="00222FDE"/>
    <w:rsid w:val="00225948"/>
    <w:rsid w:val="00242F20"/>
    <w:rsid w:val="002475C7"/>
    <w:rsid w:val="0025317D"/>
    <w:rsid w:val="00253BD0"/>
    <w:rsid w:val="002543F6"/>
    <w:rsid w:val="00257B16"/>
    <w:rsid w:val="00257ECB"/>
    <w:rsid w:val="00260C8D"/>
    <w:rsid w:val="00260CE4"/>
    <w:rsid w:val="00263114"/>
    <w:rsid w:val="0026539C"/>
    <w:rsid w:val="002664DC"/>
    <w:rsid w:val="00271535"/>
    <w:rsid w:val="00272A9C"/>
    <w:rsid w:val="00273FDF"/>
    <w:rsid w:val="0027494C"/>
    <w:rsid w:val="00276AE4"/>
    <w:rsid w:val="00284517"/>
    <w:rsid w:val="00285F5C"/>
    <w:rsid w:val="002911A5"/>
    <w:rsid w:val="00291649"/>
    <w:rsid w:val="002972CF"/>
    <w:rsid w:val="002A3C4F"/>
    <w:rsid w:val="002A6142"/>
    <w:rsid w:val="002B7E74"/>
    <w:rsid w:val="002C18B7"/>
    <w:rsid w:val="002C3969"/>
    <w:rsid w:val="002C56A6"/>
    <w:rsid w:val="002D2E8A"/>
    <w:rsid w:val="002E6370"/>
    <w:rsid w:val="002F6880"/>
    <w:rsid w:val="00303091"/>
    <w:rsid w:val="003072AA"/>
    <w:rsid w:val="00315441"/>
    <w:rsid w:val="0031649A"/>
    <w:rsid w:val="00327487"/>
    <w:rsid w:val="003308F3"/>
    <w:rsid w:val="003326D6"/>
    <w:rsid w:val="0033548E"/>
    <w:rsid w:val="00344CC8"/>
    <w:rsid w:val="00346043"/>
    <w:rsid w:val="00357D35"/>
    <w:rsid w:val="0037005F"/>
    <w:rsid w:val="0037623A"/>
    <w:rsid w:val="00376329"/>
    <w:rsid w:val="003850BA"/>
    <w:rsid w:val="00394E74"/>
    <w:rsid w:val="003A18FC"/>
    <w:rsid w:val="003B5AF6"/>
    <w:rsid w:val="003B6C7E"/>
    <w:rsid w:val="003C0CC3"/>
    <w:rsid w:val="003C0D2D"/>
    <w:rsid w:val="003C757F"/>
    <w:rsid w:val="003E16D1"/>
    <w:rsid w:val="003F0CCB"/>
    <w:rsid w:val="00400254"/>
    <w:rsid w:val="00400C68"/>
    <w:rsid w:val="004010DC"/>
    <w:rsid w:val="0040480E"/>
    <w:rsid w:val="00407A46"/>
    <w:rsid w:val="004106CB"/>
    <w:rsid w:val="0041096F"/>
    <w:rsid w:val="004118F8"/>
    <w:rsid w:val="00412B06"/>
    <w:rsid w:val="00417E4D"/>
    <w:rsid w:val="0042679E"/>
    <w:rsid w:val="00440658"/>
    <w:rsid w:val="004518B0"/>
    <w:rsid w:val="00451C56"/>
    <w:rsid w:val="0046001D"/>
    <w:rsid w:val="00463FFB"/>
    <w:rsid w:val="004675D7"/>
    <w:rsid w:val="00477B69"/>
    <w:rsid w:val="0049191E"/>
    <w:rsid w:val="0049250D"/>
    <w:rsid w:val="004935A7"/>
    <w:rsid w:val="00493C52"/>
    <w:rsid w:val="00494780"/>
    <w:rsid w:val="00495CE8"/>
    <w:rsid w:val="00497A4A"/>
    <w:rsid w:val="004A2023"/>
    <w:rsid w:val="004C2E2C"/>
    <w:rsid w:val="004C6AF3"/>
    <w:rsid w:val="004D4AC6"/>
    <w:rsid w:val="004E15F8"/>
    <w:rsid w:val="004F54F8"/>
    <w:rsid w:val="00501E93"/>
    <w:rsid w:val="005100E8"/>
    <w:rsid w:val="0051297A"/>
    <w:rsid w:val="00514E95"/>
    <w:rsid w:val="005161CD"/>
    <w:rsid w:val="005332A0"/>
    <w:rsid w:val="00533A5B"/>
    <w:rsid w:val="00545673"/>
    <w:rsid w:val="00550997"/>
    <w:rsid w:val="00562328"/>
    <w:rsid w:val="005625D7"/>
    <w:rsid w:val="00563390"/>
    <w:rsid w:val="005637B6"/>
    <w:rsid w:val="005709D7"/>
    <w:rsid w:val="00574ED2"/>
    <w:rsid w:val="0057577F"/>
    <w:rsid w:val="00583809"/>
    <w:rsid w:val="00586822"/>
    <w:rsid w:val="005A05BC"/>
    <w:rsid w:val="005A06BE"/>
    <w:rsid w:val="005C30A3"/>
    <w:rsid w:val="005C34FB"/>
    <w:rsid w:val="005C4F30"/>
    <w:rsid w:val="005C583E"/>
    <w:rsid w:val="005D5226"/>
    <w:rsid w:val="005E66E7"/>
    <w:rsid w:val="005F3773"/>
    <w:rsid w:val="005F4741"/>
    <w:rsid w:val="005F7673"/>
    <w:rsid w:val="00605C00"/>
    <w:rsid w:val="00613214"/>
    <w:rsid w:val="00613D1E"/>
    <w:rsid w:val="00614E34"/>
    <w:rsid w:val="00615565"/>
    <w:rsid w:val="006257E7"/>
    <w:rsid w:val="006365BE"/>
    <w:rsid w:val="0063675B"/>
    <w:rsid w:val="00636C36"/>
    <w:rsid w:val="006402EA"/>
    <w:rsid w:val="00652109"/>
    <w:rsid w:val="00652BCC"/>
    <w:rsid w:val="00652FF4"/>
    <w:rsid w:val="00663AAC"/>
    <w:rsid w:val="006654D4"/>
    <w:rsid w:val="0067236C"/>
    <w:rsid w:val="0067437C"/>
    <w:rsid w:val="00676B29"/>
    <w:rsid w:val="00677715"/>
    <w:rsid w:val="00685CE2"/>
    <w:rsid w:val="00687B10"/>
    <w:rsid w:val="006908FA"/>
    <w:rsid w:val="00694071"/>
    <w:rsid w:val="00696FDF"/>
    <w:rsid w:val="006A0E9C"/>
    <w:rsid w:val="006A6D44"/>
    <w:rsid w:val="006B1B61"/>
    <w:rsid w:val="006B4714"/>
    <w:rsid w:val="006B57F9"/>
    <w:rsid w:val="006B75EC"/>
    <w:rsid w:val="006D3987"/>
    <w:rsid w:val="006D5D56"/>
    <w:rsid w:val="006E5AE1"/>
    <w:rsid w:val="006F1306"/>
    <w:rsid w:val="006F36B9"/>
    <w:rsid w:val="006F7CFA"/>
    <w:rsid w:val="00704382"/>
    <w:rsid w:val="00720ADD"/>
    <w:rsid w:val="00730D63"/>
    <w:rsid w:val="00734B84"/>
    <w:rsid w:val="00741B07"/>
    <w:rsid w:val="007613BC"/>
    <w:rsid w:val="00762D3B"/>
    <w:rsid w:val="007714CF"/>
    <w:rsid w:val="00772B1D"/>
    <w:rsid w:val="00775E5A"/>
    <w:rsid w:val="00780154"/>
    <w:rsid w:val="00791D6C"/>
    <w:rsid w:val="00793C24"/>
    <w:rsid w:val="00795C15"/>
    <w:rsid w:val="00796D03"/>
    <w:rsid w:val="007A5146"/>
    <w:rsid w:val="007A6BE3"/>
    <w:rsid w:val="007B1ABD"/>
    <w:rsid w:val="007C10BE"/>
    <w:rsid w:val="007C5A15"/>
    <w:rsid w:val="007C79CB"/>
    <w:rsid w:val="007E7292"/>
    <w:rsid w:val="007F108B"/>
    <w:rsid w:val="007F757B"/>
    <w:rsid w:val="00803E3A"/>
    <w:rsid w:val="008047C0"/>
    <w:rsid w:val="0080761D"/>
    <w:rsid w:val="008112D1"/>
    <w:rsid w:val="0081302D"/>
    <w:rsid w:val="00814ACC"/>
    <w:rsid w:val="008223B3"/>
    <w:rsid w:val="00823E70"/>
    <w:rsid w:val="00824BF2"/>
    <w:rsid w:val="00834590"/>
    <w:rsid w:val="008360C4"/>
    <w:rsid w:val="008374E7"/>
    <w:rsid w:val="00850969"/>
    <w:rsid w:val="00850E42"/>
    <w:rsid w:val="0085695E"/>
    <w:rsid w:val="0086022C"/>
    <w:rsid w:val="008661FB"/>
    <w:rsid w:val="00876AFA"/>
    <w:rsid w:val="00882BC5"/>
    <w:rsid w:val="008842A3"/>
    <w:rsid w:val="00884B07"/>
    <w:rsid w:val="00892E1D"/>
    <w:rsid w:val="008A0A50"/>
    <w:rsid w:val="008A4FCC"/>
    <w:rsid w:val="008A6CAF"/>
    <w:rsid w:val="008A797C"/>
    <w:rsid w:val="008B0040"/>
    <w:rsid w:val="008B0D5B"/>
    <w:rsid w:val="008B2357"/>
    <w:rsid w:val="008B35D8"/>
    <w:rsid w:val="008C4CEB"/>
    <w:rsid w:val="008C7A98"/>
    <w:rsid w:val="008D7343"/>
    <w:rsid w:val="008F1062"/>
    <w:rsid w:val="008F61C1"/>
    <w:rsid w:val="00905605"/>
    <w:rsid w:val="009061CD"/>
    <w:rsid w:val="009112D0"/>
    <w:rsid w:val="0091189E"/>
    <w:rsid w:val="00911D36"/>
    <w:rsid w:val="00932304"/>
    <w:rsid w:val="009368F4"/>
    <w:rsid w:val="0094325D"/>
    <w:rsid w:val="009537FF"/>
    <w:rsid w:val="00953FA8"/>
    <w:rsid w:val="00954F4A"/>
    <w:rsid w:val="00955425"/>
    <w:rsid w:val="0095771E"/>
    <w:rsid w:val="009735CB"/>
    <w:rsid w:val="00983FE4"/>
    <w:rsid w:val="00990A00"/>
    <w:rsid w:val="0099283A"/>
    <w:rsid w:val="00997176"/>
    <w:rsid w:val="009B5769"/>
    <w:rsid w:val="009C130B"/>
    <w:rsid w:val="009C659F"/>
    <w:rsid w:val="009D30A1"/>
    <w:rsid w:val="009D3458"/>
    <w:rsid w:val="009D6C3E"/>
    <w:rsid w:val="009E3BA3"/>
    <w:rsid w:val="009F01D0"/>
    <w:rsid w:val="00A16DB1"/>
    <w:rsid w:val="00A20939"/>
    <w:rsid w:val="00A31884"/>
    <w:rsid w:val="00A31FB8"/>
    <w:rsid w:val="00A3384C"/>
    <w:rsid w:val="00A36AF4"/>
    <w:rsid w:val="00A43482"/>
    <w:rsid w:val="00A46563"/>
    <w:rsid w:val="00A5778B"/>
    <w:rsid w:val="00A81E68"/>
    <w:rsid w:val="00A84390"/>
    <w:rsid w:val="00A84931"/>
    <w:rsid w:val="00A945B0"/>
    <w:rsid w:val="00A94EBD"/>
    <w:rsid w:val="00AA7867"/>
    <w:rsid w:val="00AB52AD"/>
    <w:rsid w:val="00AC12C0"/>
    <w:rsid w:val="00AC327C"/>
    <w:rsid w:val="00AC7503"/>
    <w:rsid w:val="00AD7326"/>
    <w:rsid w:val="00AE1CA3"/>
    <w:rsid w:val="00AE6298"/>
    <w:rsid w:val="00AF1840"/>
    <w:rsid w:val="00B1016A"/>
    <w:rsid w:val="00B145ED"/>
    <w:rsid w:val="00B27615"/>
    <w:rsid w:val="00B27C24"/>
    <w:rsid w:val="00B35432"/>
    <w:rsid w:val="00B40283"/>
    <w:rsid w:val="00B419F4"/>
    <w:rsid w:val="00B42520"/>
    <w:rsid w:val="00B456F5"/>
    <w:rsid w:val="00B47E95"/>
    <w:rsid w:val="00B566D6"/>
    <w:rsid w:val="00B56912"/>
    <w:rsid w:val="00B6598D"/>
    <w:rsid w:val="00B7142B"/>
    <w:rsid w:val="00B71610"/>
    <w:rsid w:val="00B76631"/>
    <w:rsid w:val="00B8055B"/>
    <w:rsid w:val="00B85488"/>
    <w:rsid w:val="00B91784"/>
    <w:rsid w:val="00B93142"/>
    <w:rsid w:val="00BA0294"/>
    <w:rsid w:val="00BA1145"/>
    <w:rsid w:val="00BA377C"/>
    <w:rsid w:val="00BA40CB"/>
    <w:rsid w:val="00BA536E"/>
    <w:rsid w:val="00BB5C32"/>
    <w:rsid w:val="00BB64A6"/>
    <w:rsid w:val="00BB7B51"/>
    <w:rsid w:val="00BC029E"/>
    <w:rsid w:val="00BC71DE"/>
    <w:rsid w:val="00BD4DF9"/>
    <w:rsid w:val="00BE0AD9"/>
    <w:rsid w:val="00BE0B9D"/>
    <w:rsid w:val="00BF0D84"/>
    <w:rsid w:val="00BF7924"/>
    <w:rsid w:val="00C010F9"/>
    <w:rsid w:val="00C01E95"/>
    <w:rsid w:val="00C046ED"/>
    <w:rsid w:val="00C049D8"/>
    <w:rsid w:val="00C07E9C"/>
    <w:rsid w:val="00C12EF5"/>
    <w:rsid w:val="00C13284"/>
    <w:rsid w:val="00C13301"/>
    <w:rsid w:val="00C139DB"/>
    <w:rsid w:val="00C1733A"/>
    <w:rsid w:val="00C237A8"/>
    <w:rsid w:val="00C301A8"/>
    <w:rsid w:val="00C34F01"/>
    <w:rsid w:val="00C36ECB"/>
    <w:rsid w:val="00C402B9"/>
    <w:rsid w:val="00C426E4"/>
    <w:rsid w:val="00C448B1"/>
    <w:rsid w:val="00C505EF"/>
    <w:rsid w:val="00C520B7"/>
    <w:rsid w:val="00C5215B"/>
    <w:rsid w:val="00C52441"/>
    <w:rsid w:val="00C53445"/>
    <w:rsid w:val="00C647A9"/>
    <w:rsid w:val="00C7062A"/>
    <w:rsid w:val="00C706BA"/>
    <w:rsid w:val="00C770C8"/>
    <w:rsid w:val="00C77F8B"/>
    <w:rsid w:val="00C9045D"/>
    <w:rsid w:val="00C9093F"/>
    <w:rsid w:val="00C922A0"/>
    <w:rsid w:val="00C947A7"/>
    <w:rsid w:val="00C95BED"/>
    <w:rsid w:val="00CA5B36"/>
    <w:rsid w:val="00CB12BE"/>
    <w:rsid w:val="00CB1F6B"/>
    <w:rsid w:val="00CB29AE"/>
    <w:rsid w:val="00CB4DD3"/>
    <w:rsid w:val="00CB519C"/>
    <w:rsid w:val="00CB5674"/>
    <w:rsid w:val="00CC47BD"/>
    <w:rsid w:val="00CC5C01"/>
    <w:rsid w:val="00CC7D0F"/>
    <w:rsid w:val="00CD123B"/>
    <w:rsid w:val="00CD444B"/>
    <w:rsid w:val="00CE1099"/>
    <w:rsid w:val="00CF0A24"/>
    <w:rsid w:val="00D02849"/>
    <w:rsid w:val="00D02962"/>
    <w:rsid w:val="00D16672"/>
    <w:rsid w:val="00D2548E"/>
    <w:rsid w:val="00D259AB"/>
    <w:rsid w:val="00D25A93"/>
    <w:rsid w:val="00D40F89"/>
    <w:rsid w:val="00D41959"/>
    <w:rsid w:val="00D4396D"/>
    <w:rsid w:val="00D458F2"/>
    <w:rsid w:val="00D71B48"/>
    <w:rsid w:val="00D85558"/>
    <w:rsid w:val="00D96655"/>
    <w:rsid w:val="00DA4597"/>
    <w:rsid w:val="00DA797F"/>
    <w:rsid w:val="00DB667A"/>
    <w:rsid w:val="00DB7A98"/>
    <w:rsid w:val="00DC49FE"/>
    <w:rsid w:val="00DC5E7A"/>
    <w:rsid w:val="00DC7BB8"/>
    <w:rsid w:val="00DD54B9"/>
    <w:rsid w:val="00DE081B"/>
    <w:rsid w:val="00DE1044"/>
    <w:rsid w:val="00DE294C"/>
    <w:rsid w:val="00DE5A43"/>
    <w:rsid w:val="00E0254D"/>
    <w:rsid w:val="00E1720F"/>
    <w:rsid w:val="00E246BE"/>
    <w:rsid w:val="00E248D1"/>
    <w:rsid w:val="00E25DEC"/>
    <w:rsid w:val="00E264DB"/>
    <w:rsid w:val="00E27391"/>
    <w:rsid w:val="00E30D8E"/>
    <w:rsid w:val="00E358F8"/>
    <w:rsid w:val="00E35F9B"/>
    <w:rsid w:val="00E364B8"/>
    <w:rsid w:val="00E368F5"/>
    <w:rsid w:val="00E41FBA"/>
    <w:rsid w:val="00E45803"/>
    <w:rsid w:val="00E530C1"/>
    <w:rsid w:val="00E54C63"/>
    <w:rsid w:val="00E55CD9"/>
    <w:rsid w:val="00E744D2"/>
    <w:rsid w:val="00E773DB"/>
    <w:rsid w:val="00E80DF8"/>
    <w:rsid w:val="00E82129"/>
    <w:rsid w:val="00E823A2"/>
    <w:rsid w:val="00E82720"/>
    <w:rsid w:val="00EA1A3B"/>
    <w:rsid w:val="00EB2330"/>
    <w:rsid w:val="00EB404D"/>
    <w:rsid w:val="00EB7826"/>
    <w:rsid w:val="00EC114A"/>
    <w:rsid w:val="00EC329C"/>
    <w:rsid w:val="00ED0400"/>
    <w:rsid w:val="00ED62B7"/>
    <w:rsid w:val="00EE0ACC"/>
    <w:rsid w:val="00EE1B68"/>
    <w:rsid w:val="00EE548A"/>
    <w:rsid w:val="00EE6954"/>
    <w:rsid w:val="00EF30F5"/>
    <w:rsid w:val="00F02E41"/>
    <w:rsid w:val="00F04D45"/>
    <w:rsid w:val="00F2076E"/>
    <w:rsid w:val="00F259AD"/>
    <w:rsid w:val="00F30BC2"/>
    <w:rsid w:val="00F359D1"/>
    <w:rsid w:val="00F3701E"/>
    <w:rsid w:val="00F45E57"/>
    <w:rsid w:val="00F47762"/>
    <w:rsid w:val="00F50ED7"/>
    <w:rsid w:val="00F51499"/>
    <w:rsid w:val="00F55EAE"/>
    <w:rsid w:val="00F63427"/>
    <w:rsid w:val="00F635E4"/>
    <w:rsid w:val="00F65AFE"/>
    <w:rsid w:val="00F67E47"/>
    <w:rsid w:val="00F70ED5"/>
    <w:rsid w:val="00F72B87"/>
    <w:rsid w:val="00F7425E"/>
    <w:rsid w:val="00F7427F"/>
    <w:rsid w:val="00F85E7E"/>
    <w:rsid w:val="00F94E8E"/>
    <w:rsid w:val="00F954CF"/>
    <w:rsid w:val="00F9675B"/>
    <w:rsid w:val="00FB2014"/>
    <w:rsid w:val="00FC2941"/>
    <w:rsid w:val="00FC3FB0"/>
    <w:rsid w:val="00FC4483"/>
    <w:rsid w:val="00FD06CF"/>
    <w:rsid w:val="00FD7A45"/>
    <w:rsid w:val="00FE19CA"/>
    <w:rsid w:val="00FE1E79"/>
    <w:rsid w:val="00FE4186"/>
    <w:rsid w:val="00FF32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A5B36"/>
    <w:pPr>
      <w:spacing w:before="120" w:after="120"/>
      <w:ind w:firstLine="709"/>
      <w:jc w:val="both"/>
    </w:pPr>
    <w:rPr>
      <w:sz w:val="24"/>
    </w:rPr>
  </w:style>
  <w:style w:type="character" w:customStyle="1" w:styleId="CorpsdetexteCar">
    <w:name w:val="Corps de texte Car"/>
    <w:basedOn w:val="Policepardfaut"/>
    <w:uiPriority w:val="99"/>
    <w:semiHidden/>
    <w:rsid w:val="00CA5B36"/>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A5B36"/>
    <w:rPr>
      <w:sz w:val="24"/>
    </w:rPr>
  </w:style>
  <w:style w:type="paragraph" w:customStyle="1" w:styleId="Chambre">
    <w:name w:val="Chambre"/>
    <w:basedOn w:val="Normal"/>
    <w:rsid w:val="00CA5B36"/>
    <w:pPr>
      <w:keepNext/>
      <w:spacing w:before="60" w:after="120"/>
      <w:jc w:val="center"/>
      <w:outlineLvl w:val="5"/>
    </w:pPr>
    <w:rPr>
      <w:b/>
      <w:smallCaps/>
      <w:sz w:val="24"/>
    </w:rPr>
  </w:style>
  <w:style w:type="character" w:customStyle="1" w:styleId="P0Car">
    <w:name w:val="P0 Car"/>
    <w:link w:val="P0"/>
    <w:rsid w:val="00AC7503"/>
    <w:rPr>
      <w:sz w:val="24"/>
      <w:szCs w:val="24"/>
    </w:rPr>
  </w:style>
  <w:style w:type="paragraph" w:styleId="Textedebulles">
    <w:name w:val="Balloon Text"/>
    <w:basedOn w:val="Normal"/>
    <w:link w:val="TextedebullesCar"/>
    <w:uiPriority w:val="99"/>
    <w:semiHidden/>
    <w:unhideWhenUsed/>
    <w:rsid w:val="00417E4D"/>
    <w:rPr>
      <w:rFonts w:ascii="Tahoma" w:hAnsi="Tahoma" w:cs="Tahoma"/>
      <w:sz w:val="16"/>
      <w:szCs w:val="16"/>
    </w:rPr>
  </w:style>
  <w:style w:type="character" w:customStyle="1" w:styleId="TextedebullesCar">
    <w:name w:val="Texte de bulles Car"/>
    <w:link w:val="Textedebulles"/>
    <w:uiPriority w:val="99"/>
    <w:semiHidden/>
    <w:rsid w:val="00417E4D"/>
    <w:rPr>
      <w:rFonts w:ascii="Tahoma" w:hAnsi="Tahoma" w:cs="Tahoma"/>
      <w:sz w:val="16"/>
      <w:szCs w:val="16"/>
    </w:rPr>
  </w:style>
  <w:style w:type="character" w:customStyle="1" w:styleId="PSCar">
    <w:name w:val="PS Car"/>
    <w:link w:val="PS"/>
    <w:rsid w:val="004C6AF3"/>
    <w:rPr>
      <w:sz w:val="24"/>
      <w:szCs w:val="24"/>
    </w:rPr>
  </w:style>
  <w:style w:type="character" w:styleId="Marquedecommentaire">
    <w:name w:val="annotation reference"/>
    <w:uiPriority w:val="99"/>
    <w:semiHidden/>
    <w:unhideWhenUsed/>
    <w:rsid w:val="00613D1E"/>
    <w:rPr>
      <w:sz w:val="16"/>
      <w:szCs w:val="16"/>
    </w:rPr>
  </w:style>
  <w:style w:type="paragraph" w:styleId="Commentaire">
    <w:name w:val="annotation text"/>
    <w:basedOn w:val="Normal"/>
    <w:link w:val="CommentaireCar"/>
    <w:uiPriority w:val="99"/>
    <w:semiHidden/>
    <w:unhideWhenUsed/>
    <w:rsid w:val="00613D1E"/>
  </w:style>
  <w:style w:type="character" w:customStyle="1" w:styleId="CommentaireCar">
    <w:name w:val="Commentaire Car"/>
    <w:basedOn w:val="Policepardfaut"/>
    <w:link w:val="Commentaire"/>
    <w:uiPriority w:val="99"/>
    <w:semiHidden/>
    <w:rsid w:val="00613D1E"/>
  </w:style>
  <w:style w:type="paragraph" w:styleId="Objetducommentaire">
    <w:name w:val="annotation subject"/>
    <w:basedOn w:val="Commentaire"/>
    <w:next w:val="Commentaire"/>
    <w:link w:val="ObjetducommentaireCar"/>
    <w:uiPriority w:val="99"/>
    <w:semiHidden/>
    <w:unhideWhenUsed/>
    <w:rsid w:val="00613D1E"/>
    <w:rPr>
      <w:b/>
      <w:bCs/>
    </w:rPr>
  </w:style>
  <w:style w:type="character" w:customStyle="1" w:styleId="ObjetducommentaireCar">
    <w:name w:val="Objet du commentaire Car"/>
    <w:link w:val="Objetducommentaire"/>
    <w:uiPriority w:val="99"/>
    <w:semiHidden/>
    <w:rsid w:val="00613D1E"/>
    <w:rPr>
      <w:b/>
      <w:bCs/>
    </w:rPr>
  </w:style>
  <w:style w:type="paragraph" w:styleId="Pieddepage">
    <w:name w:val="footer"/>
    <w:basedOn w:val="Normal"/>
    <w:link w:val="PieddepageCar"/>
    <w:uiPriority w:val="99"/>
    <w:unhideWhenUsed/>
    <w:rsid w:val="00046248"/>
    <w:pPr>
      <w:tabs>
        <w:tab w:val="center" w:pos="4536"/>
        <w:tab w:val="right" w:pos="9072"/>
      </w:tabs>
    </w:pPr>
  </w:style>
  <w:style w:type="character" w:customStyle="1" w:styleId="PieddepageCar">
    <w:name w:val="Pied de page Car"/>
    <w:basedOn w:val="Policepardfaut"/>
    <w:link w:val="Pieddepage"/>
    <w:uiPriority w:val="99"/>
    <w:rsid w:val="00046248"/>
  </w:style>
  <w:style w:type="paragraph" w:styleId="Notedebasdepage">
    <w:name w:val="footnote text"/>
    <w:aliases w:val="Note de bas de page Car2 Car,Note de bas de page Car1 Car Car,Note de bas de page Car Car Car Car,Note de bas de page Car1 Car Car Car Car,Note de bas de page Car Car Car Car Car Car,Note de bas de page Car2"/>
    <w:basedOn w:val="Normal"/>
    <w:link w:val="NotedebasdepageCar1"/>
    <w:rsid w:val="00257ECB"/>
  </w:style>
  <w:style w:type="character" w:customStyle="1" w:styleId="NotedebasdepageCar">
    <w:name w:val="Note de bas de page Car"/>
    <w:basedOn w:val="Policepardfaut"/>
    <w:uiPriority w:val="99"/>
    <w:semiHidden/>
    <w:rsid w:val="00257ECB"/>
  </w:style>
  <w:style w:type="character" w:styleId="Appelnotedebasdep">
    <w:name w:val="footnote reference"/>
    <w:aliases w:val="titre, titre"/>
    <w:rsid w:val="00257ECB"/>
    <w:rPr>
      <w:vertAlign w:val="superscript"/>
    </w:rPr>
  </w:style>
  <w:style w:type="character" w:customStyle="1" w:styleId="NotedebasdepageCar1">
    <w:name w:val="Note de bas de page Car1"/>
    <w:aliases w:val="Note de bas de page Car2 Car Car,Note de bas de page Car1 Car Car Car,Note de bas de page Car Car Car Car Car,Note de bas de page Car1 Car Car Car Car Car,Note de bas de page Car Car Car Car Car Car Car"/>
    <w:link w:val="Notedebasdepage"/>
    <w:rsid w:val="00257ECB"/>
  </w:style>
  <w:style w:type="paragraph" w:styleId="Rvision">
    <w:name w:val="Revision"/>
    <w:hidden/>
    <w:uiPriority w:val="99"/>
    <w:semiHidden/>
    <w:rsid w:val="000552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43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14</TotalTime>
  <Pages>7</Pages>
  <Words>2287</Words>
  <Characters>12584</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3</cp:revision>
  <cp:lastPrinted>2014-03-17T07:12:00Z</cp:lastPrinted>
  <dcterms:created xsi:type="dcterms:W3CDTF">2014-06-03T12:35:00Z</dcterms:created>
  <dcterms:modified xsi:type="dcterms:W3CDTF">2014-06-05T18:50:00Z</dcterms:modified>
</cp:coreProperties>
</file>