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</w:tblGrid>
      <w:tr w:rsidR="006B04B9" w:rsidRPr="00CF5A80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B04B9" w:rsidRPr="00CF5A80" w:rsidRDefault="006B04B9" w:rsidP="006B04B9">
            <w:pPr>
              <w:jc w:val="center"/>
              <w:rPr>
                <w:b/>
                <w:caps/>
                <w:sz w:val="24"/>
              </w:rPr>
            </w:pPr>
            <w:r w:rsidRPr="00CF5A80">
              <w:rPr>
                <w:b/>
                <w:caps/>
                <w:sz w:val="24"/>
              </w:rPr>
              <w:t>COUR DES COMPTES</w:t>
            </w:r>
          </w:p>
          <w:p w:rsidR="006B04B9" w:rsidRPr="00CF5A80" w:rsidRDefault="006B04B9" w:rsidP="006B04B9">
            <w:pPr>
              <w:jc w:val="center"/>
              <w:rPr>
                <w:b/>
                <w:caps/>
                <w:sz w:val="24"/>
              </w:rPr>
            </w:pPr>
            <w:r w:rsidRPr="00CF5A80">
              <w:rPr>
                <w:b/>
                <w:caps/>
                <w:sz w:val="24"/>
              </w:rPr>
              <w:t>--------</w:t>
            </w:r>
          </w:p>
          <w:p w:rsidR="007C4595" w:rsidRDefault="007C4595" w:rsidP="006B04B9">
            <w:pPr>
              <w:jc w:val="center"/>
              <w:rPr>
                <w:b/>
                <w:caps/>
                <w:sz w:val="22"/>
                <w:szCs w:val="22"/>
              </w:rPr>
            </w:pPr>
            <w:r>
              <w:rPr>
                <w:b/>
                <w:caps/>
                <w:sz w:val="22"/>
                <w:szCs w:val="22"/>
              </w:rPr>
              <w:t>chambres réunies</w:t>
            </w:r>
          </w:p>
          <w:p w:rsidR="007C4595" w:rsidRDefault="007C4595" w:rsidP="006B04B9">
            <w:pPr>
              <w:jc w:val="center"/>
              <w:rPr>
                <w:b/>
                <w:caps/>
                <w:sz w:val="22"/>
                <w:szCs w:val="22"/>
              </w:rPr>
            </w:pPr>
          </w:p>
          <w:p w:rsidR="006B04B9" w:rsidRPr="00CF5A80" w:rsidRDefault="007C4595" w:rsidP="006B04B9">
            <w:pPr>
              <w:jc w:val="center"/>
              <w:rPr>
                <w:b/>
                <w:caps/>
                <w:sz w:val="24"/>
              </w:rPr>
            </w:pPr>
            <w:r>
              <w:rPr>
                <w:b/>
                <w:caps/>
                <w:sz w:val="22"/>
                <w:szCs w:val="22"/>
              </w:rPr>
              <w:t>Formation plénière</w:t>
            </w:r>
          </w:p>
          <w:p w:rsidR="006B04B9" w:rsidRPr="00CF5A80" w:rsidRDefault="006B04B9" w:rsidP="006B04B9">
            <w:pPr>
              <w:jc w:val="center"/>
              <w:rPr>
                <w:b/>
                <w:caps/>
                <w:sz w:val="24"/>
              </w:rPr>
            </w:pPr>
            <w:r w:rsidRPr="00CF5A80">
              <w:rPr>
                <w:b/>
                <w:caps/>
                <w:sz w:val="24"/>
              </w:rPr>
              <w:t>--------</w:t>
            </w:r>
          </w:p>
          <w:p w:rsidR="006B04B9" w:rsidRPr="000D00F9" w:rsidRDefault="006B04B9" w:rsidP="006B04B9">
            <w:pPr>
              <w:pStyle w:val="Titre1"/>
              <w:jc w:val="center"/>
              <w:rPr>
                <w:b/>
                <w:i/>
                <w:sz w:val="22"/>
                <w:szCs w:val="22"/>
              </w:rPr>
            </w:pPr>
            <w:r w:rsidRPr="000D00F9">
              <w:rPr>
                <w:b/>
                <w:i/>
                <w:sz w:val="22"/>
                <w:szCs w:val="22"/>
              </w:rPr>
              <w:t>Arrêt n°</w:t>
            </w:r>
            <w:r w:rsidR="00E323D5" w:rsidRPr="000D00F9">
              <w:rPr>
                <w:b/>
                <w:i/>
                <w:sz w:val="22"/>
                <w:szCs w:val="22"/>
              </w:rPr>
              <w:t xml:space="preserve"> </w:t>
            </w:r>
            <w:r w:rsidR="00962D1F" w:rsidRPr="000D00F9">
              <w:rPr>
                <w:b/>
                <w:i/>
                <w:sz w:val="22"/>
                <w:szCs w:val="22"/>
              </w:rPr>
              <w:t>70569</w:t>
            </w:r>
          </w:p>
          <w:p w:rsidR="006B04B9" w:rsidRPr="00CF5A80" w:rsidRDefault="006B04B9" w:rsidP="006B04B9">
            <w:pPr>
              <w:jc w:val="center"/>
              <w:rPr>
                <w:b/>
                <w:caps/>
                <w:sz w:val="24"/>
              </w:rPr>
            </w:pPr>
          </w:p>
        </w:tc>
      </w:tr>
    </w:tbl>
    <w:p w:rsidR="006B04B9" w:rsidRPr="006D4EDE" w:rsidRDefault="006B04B9" w:rsidP="006B04B9">
      <w:pPr>
        <w:jc w:val="both"/>
      </w:pPr>
    </w:p>
    <w:p w:rsidR="006B04B9" w:rsidRDefault="00430C7A" w:rsidP="00C300B4">
      <w:pPr>
        <w:ind w:left="4395"/>
        <w:rPr>
          <w:caps/>
          <w:sz w:val="24"/>
          <w:szCs w:val="24"/>
        </w:rPr>
      </w:pPr>
      <w:r w:rsidRPr="00DF73BD">
        <w:rPr>
          <w:caps/>
          <w:sz w:val="24"/>
          <w:szCs w:val="24"/>
        </w:rPr>
        <w:t>COMMUN</w:t>
      </w:r>
      <w:r>
        <w:rPr>
          <w:caps/>
          <w:sz w:val="24"/>
          <w:szCs w:val="24"/>
        </w:rPr>
        <w:t xml:space="preserve">AUTÉ </w:t>
      </w:r>
      <w:r w:rsidR="00F16C63">
        <w:rPr>
          <w:caps/>
          <w:sz w:val="24"/>
          <w:szCs w:val="24"/>
        </w:rPr>
        <w:t>D’</w:t>
      </w:r>
      <w:r>
        <w:rPr>
          <w:caps/>
          <w:sz w:val="24"/>
          <w:szCs w:val="24"/>
        </w:rPr>
        <w:t>AGGLOMÉRATION</w:t>
      </w:r>
      <w:r w:rsidR="00F16C63">
        <w:rPr>
          <w:caps/>
          <w:sz w:val="24"/>
          <w:szCs w:val="24"/>
        </w:rPr>
        <w:t xml:space="preserve"> ROUENNAISE</w:t>
      </w:r>
      <w:r w:rsidR="006B04B9">
        <w:rPr>
          <w:caps/>
          <w:sz w:val="24"/>
          <w:szCs w:val="24"/>
        </w:rPr>
        <w:t xml:space="preserve"> (</w:t>
      </w:r>
      <w:r w:rsidR="00F16C63">
        <w:rPr>
          <w:caps/>
          <w:sz w:val="24"/>
          <w:szCs w:val="24"/>
        </w:rPr>
        <w:t>SEINE-MARITIME</w:t>
      </w:r>
      <w:r w:rsidR="006B04B9">
        <w:rPr>
          <w:caps/>
          <w:sz w:val="24"/>
          <w:szCs w:val="24"/>
        </w:rPr>
        <w:t>)</w:t>
      </w:r>
    </w:p>
    <w:p w:rsidR="006B04B9" w:rsidRDefault="006B04B9" w:rsidP="006B04B9">
      <w:pPr>
        <w:ind w:left="4395"/>
        <w:jc w:val="both"/>
        <w:rPr>
          <w:caps/>
          <w:sz w:val="24"/>
          <w:szCs w:val="24"/>
        </w:rPr>
      </w:pPr>
    </w:p>
    <w:p w:rsidR="00E323D5" w:rsidRPr="00DF73BD" w:rsidRDefault="00E323D5" w:rsidP="006B04B9">
      <w:pPr>
        <w:ind w:left="4395"/>
        <w:jc w:val="both"/>
        <w:rPr>
          <w:caps/>
          <w:sz w:val="24"/>
          <w:szCs w:val="24"/>
        </w:rPr>
      </w:pPr>
    </w:p>
    <w:p w:rsidR="00E323D5" w:rsidRDefault="006B04B9" w:rsidP="006B04B9">
      <w:pPr>
        <w:pStyle w:val="Titre2"/>
        <w:ind w:left="4395"/>
        <w:jc w:val="both"/>
      </w:pPr>
      <w:r w:rsidRPr="00DF73BD">
        <w:t>Appel d’un jugement de la chambre régionale des comptes d</w:t>
      </w:r>
      <w:r>
        <w:t xml:space="preserve">e </w:t>
      </w:r>
      <w:r w:rsidR="006F509C">
        <w:t xml:space="preserve">Basse-Normandie, </w:t>
      </w:r>
    </w:p>
    <w:p w:rsidR="006B04B9" w:rsidRPr="00DF73BD" w:rsidRDefault="006F509C" w:rsidP="006B04B9">
      <w:pPr>
        <w:pStyle w:val="Titre2"/>
        <w:ind w:left="4395"/>
        <w:jc w:val="both"/>
      </w:pPr>
      <w:r>
        <w:t>Haute-Normandie</w:t>
      </w:r>
    </w:p>
    <w:p w:rsidR="006B04B9" w:rsidRPr="00DF73BD" w:rsidRDefault="006B04B9" w:rsidP="006B04B9">
      <w:pPr>
        <w:ind w:left="4395"/>
        <w:jc w:val="both"/>
        <w:rPr>
          <w:sz w:val="24"/>
        </w:rPr>
      </w:pPr>
    </w:p>
    <w:p w:rsidR="006B04B9" w:rsidRPr="00DF73BD" w:rsidRDefault="006B04B9" w:rsidP="006B04B9">
      <w:pPr>
        <w:pStyle w:val="Titre4"/>
        <w:ind w:left="4395"/>
      </w:pPr>
      <w:r w:rsidRPr="00DF73BD">
        <w:t>Rapport n° 201</w:t>
      </w:r>
      <w:r w:rsidR="006F509C">
        <w:t>4</w:t>
      </w:r>
      <w:r w:rsidRPr="00DF73BD">
        <w:t>-</w:t>
      </w:r>
      <w:r w:rsidR="007C4595">
        <w:t>122-0</w:t>
      </w:r>
    </w:p>
    <w:p w:rsidR="006B04B9" w:rsidRPr="00DF73BD" w:rsidRDefault="006B04B9" w:rsidP="006B04B9">
      <w:pPr>
        <w:ind w:left="4395"/>
        <w:jc w:val="both"/>
        <w:rPr>
          <w:sz w:val="24"/>
        </w:rPr>
      </w:pPr>
    </w:p>
    <w:p w:rsidR="006B04B9" w:rsidRPr="00DF73BD" w:rsidRDefault="006B04B9" w:rsidP="006B04B9">
      <w:pPr>
        <w:ind w:left="4395"/>
        <w:jc w:val="both"/>
        <w:rPr>
          <w:sz w:val="24"/>
        </w:rPr>
      </w:pPr>
      <w:r w:rsidRPr="00DF73BD">
        <w:rPr>
          <w:sz w:val="24"/>
        </w:rPr>
        <w:t xml:space="preserve">Audience publique et délibéré du </w:t>
      </w:r>
      <w:r w:rsidR="007C4595">
        <w:rPr>
          <w:sz w:val="24"/>
        </w:rPr>
        <w:t xml:space="preserve">7 mai </w:t>
      </w:r>
      <w:r w:rsidRPr="00DF73BD">
        <w:rPr>
          <w:sz w:val="24"/>
        </w:rPr>
        <w:t>201</w:t>
      </w:r>
      <w:r w:rsidR="006F509C">
        <w:rPr>
          <w:sz w:val="24"/>
        </w:rPr>
        <w:t>4</w:t>
      </w:r>
    </w:p>
    <w:p w:rsidR="006B04B9" w:rsidRPr="00DF73BD" w:rsidRDefault="006B04B9" w:rsidP="006B04B9">
      <w:pPr>
        <w:ind w:left="4395"/>
        <w:jc w:val="both"/>
        <w:rPr>
          <w:sz w:val="24"/>
        </w:rPr>
      </w:pPr>
    </w:p>
    <w:p w:rsidR="006B04B9" w:rsidRDefault="006B04B9" w:rsidP="006B04B9">
      <w:pPr>
        <w:ind w:left="4395"/>
        <w:jc w:val="both"/>
        <w:rPr>
          <w:sz w:val="24"/>
        </w:rPr>
      </w:pPr>
      <w:r w:rsidRPr="00DF73BD">
        <w:rPr>
          <w:sz w:val="24"/>
        </w:rPr>
        <w:t xml:space="preserve">Lecture publique du </w:t>
      </w:r>
      <w:r w:rsidR="007C4595">
        <w:rPr>
          <w:sz w:val="24"/>
        </w:rPr>
        <w:t>9 juillet</w:t>
      </w:r>
      <w:r>
        <w:rPr>
          <w:sz w:val="24"/>
        </w:rPr>
        <w:t xml:space="preserve"> 201</w:t>
      </w:r>
      <w:r w:rsidR="006F509C">
        <w:rPr>
          <w:sz w:val="24"/>
        </w:rPr>
        <w:t>4</w:t>
      </w:r>
    </w:p>
    <w:p w:rsidR="00E320FD" w:rsidRDefault="00E320FD" w:rsidP="006B04B9">
      <w:pPr>
        <w:ind w:left="4395"/>
        <w:jc w:val="both"/>
        <w:rPr>
          <w:sz w:val="24"/>
        </w:rPr>
      </w:pPr>
    </w:p>
    <w:p w:rsidR="00E320FD" w:rsidRPr="00430C7A" w:rsidRDefault="00E320FD" w:rsidP="00E21902">
      <w:pPr>
        <w:pStyle w:val="PS"/>
        <w:spacing w:after="0"/>
        <w:ind w:left="0" w:firstLine="0"/>
        <w:jc w:val="center"/>
        <w:rPr>
          <w:rFonts w:ascii="Times New Roman" w:hAnsi="Times New Roman"/>
          <w:u w:val="single"/>
        </w:rPr>
      </w:pPr>
    </w:p>
    <w:p w:rsidR="00E320FD" w:rsidRPr="00EA3DC3" w:rsidRDefault="00E320FD" w:rsidP="00EA3DC3">
      <w:pPr>
        <w:jc w:val="center"/>
        <w:rPr>
          <w:sz w:val="24"/>
          <w:szCs w:val="24"/>
        </w:rPr>
      </w:pPr>
    </w:p>
    <w:p w:rsidR="00E320FD" w:rsidRDefault="00E320FD" w:rsidP="00EA3DC3">
      <w:pPr>
        <w:jc w:val="center"/>
        <w:rPr>
          <w:sz w:val="24"/>
          <w:szCs w:val="24"/>
        </w:rPr>
      </w:pPr>
      <w:bookmarkStart w:id="0" w:name="_GoBack"/>
      <w:r w:rsidRPr="00EA3DC3">
        <w:rPr>
          <w:sz w:val="24"/>
          <w:szCs w:val="24"/>
        </w:rPr>
        <w:t>LA COUR DES COMPTES a rendu l’arrêt suivant :</w:t>
      </w:r>
    </w:p>
    <w:p w:rsidR="00A12B5D" w:rsidRDefault="00A12B5D" w:rsidP="00EA3DC3">
      <w:pPr>
        <w:jc w:val="center"/>
        <w:rPr>
          <w:sz w:val="24"/>
          <w:szCs w:val="24"/>
        </w:rPr>
      </w:pPr>
    </w:p>
    <w:p w:rsidR="00A12B5D" w:rsidRDefault="00A12B5D" w:rsidP="00551627">
      <w:pPr>
        <w:ind w:left="1985"/>
        <w:rPr>
          <w:sz w:val="24"/>
          <w:szCs w:val="24"/>
        </w:rPr>
      </w:pPr>
      <w:r>
        <w:rPr>
          <w:sz w:val="24"/>
          <w:szCs w:val="24"/>
        </w:rPr>
        <w:t>LA COUR,</w:t>
      </w:r>
    </w:p>
    <w:p w:rsidR="00E320FD" w:rsidRPr="00EA3DC3" w:rsidRDefault="00E320FD" w:rsidP="00EA3DC3">
      <w:pPr>
        <w:jc w:val="center"/>
        <w:rPr>
          <w:sz w:val="24"/>
          <w:szCs w:val="24"/>
        </w:rPr>
      </w:pPr>
    </w:p>
    <w:p w:rsidR="008B7AD3" w:rsidRPr="00DF73BD" w:rsidRDefault="008B7AD3" w:rsidP="006B04B9">
      <w:pPr>
        <w:pStyle w:val="PS"/>
        <w:spacing w:after="0"/>
        <w:ind w:left="0" w:firstLine="2835"/>
        <w:rPr>
          <w:rFonts w:ascii="Times New Roman" w:hAnsi="Times New Roman"/>
        </w:rPr>
      </w:pPr>
    </w:p>
    <w:p w:rsidR="006B04B9" w:rsidRDefault="006B04B9" w:rsidP="006B04B9">
      <w:pPr>
        <w:pStyle w:val="PS"/>
        <w:rPr>
          <w:rFonts w:ascii="Times New Roman" w:hAnsi="Times New Roman"/>
          <w:szCs w:val="24"/>
        </w:rPr>
      </w:pPr>
      <w:r w:rsidRPr="00C03877">
        <w:rPr>
          <w:rFonts w:ascii="Times New Roman" w:hAnsi="Times New Roman"/>
          <w:szCs w:val="24"/>
        </w:rPr>
        <w:t xml:space="preserve">Vu la requête, enregistrée le </w:t>
      </w:r>
      <w:r w:rsidR="006F509C">
        <w:rPr>
          <w:rFonts w:ascii="Times New Roman" w:hAnsi="Times New Roman"/>
          <w:szCs w:val="24"/>
        </w:rPr>
        <w:t>13 décembre</w:t>
      </w:r>
      <w:r w:rsidRPr="00C03877">
        <w:rPr>
          <w:rFonts w:ascii="Times New Roman" w:hAnsi="Times New Roman"/>
          <w:szCs w:val="24"/>
        </w:rPr>
        <w:t xml:space="preserve"> 2013 au greffe de la chambre régionale des comptes </w:t>
      </w:r>
      <w:r w:rsidR="006F509C">
        <w:t>de Basse-Normandie, Haute-Normandie</w:t>
      </w:r>
      <w:r w:rsidRPr="00C03877">
        <w:rPr>
          <w:rFonts w:ascii="Times New Roman" w:hAnsi="Times New Roman"/>
          <w:szCs w:val="24"/>
        </w:rPr>
        <w:t xml:space="preserve">, par laquelle </w:t>
      </w:r>
      <w:r w:rsidR="006F509C">
        <w:t>M.</w:t>
      </w:r>
      <w:r w:rsidR="00E323D5">
        <w:t> </w:t>
      </w:r>
      <w:r w:rsidR="009638C3">
        <w:t>X</w:t>
      </w:r>
      <w:r w:rsidR="006F509C">
        <w:t xml:space="preserve">, comptable </w:t>
      </w:r>
      <w:r w:rsidR="006F509C" w:rsidRPr="000C4A31">
        <w:t xml:space="preserve">de la </w:t>
      </w:r>
      <w:r w:rsidR="006F509C" w:rsidRPr="00430C7A">
        <w:rPr>
          <w:caps/>
        </w:rPr>
        <w:t>communauté d’agglomération rouennaise</w:t>
      </w:r>
      <w:r w:rsidR="006F509C" w:rsidRPr="00C03877">
        <w:rPr>
          <w:rFonts w:ascii="Times New Roman" w:hAnsi="Times New Roman"/>
          <w:szCs w:val="24"/>
        </w:rPr>
        <w:t xml:space="preserve"> </w:t>
      </w:r>
      <w:r w:rsidR="006F509C">
        <w:rPr>
          <w:rFonts w:ascii="Times New Roman" w:hAnsi="Times New Roman"/>
          <w:szCs w:val="24"/>
        </w:rPr>
        <w:t>du 1</w:t>
      </w:r>
      <w:r w:rsidR="006F509C" w:rsidRPr="006F509C">
        <w:rPr>
          <w:rFonts w:ascii="Times New Roman" w:hAnsi="Times New Roman"/>
          <w:szCs w:val="24"/>
          <w:vertAlign w:val="superscript"/>
        </w:rPr>
        <w:t>er</w:t>
      </w:r>
      <w:r w:rsidR="009A0B2C">
        <w:rPr>
          <w:rFonts w:ascii="Times New Roman" w:hAnsi="Times New Roman"/>
          <w:szCs w:val="24"/>
        </w:rPr>
        <w:t xml:space="preserve"> </w:t>
      </w:r>
      <w:r w:rsidR="006F509C">
        <w:rPr>
          <w:rFonts w:ascii="Times New Roman" w:hAnsi="Times New Roman"/>
          <w:szCs w:val="24"/>
        </w:rPr>
        <w:t>janvier</w:t>
      </w:r>
      <w:r w:rsidR="009A0B2C">
        <w:rPr>
          <w:rFonts w:ascii="Times New Roman" w:hAnsi="Times New Roman"/>
          <w:szCs w:val="24"/>
        </w:rPr>
        <w:t xml:space="preserve"> </w:t>
      </w:r>
      <w:r w:rsidR="006F509C">
        <w:rPr>
          <w:rFonts w:ascii="Times New Roman" w:hAnsi="Times New Roman"/>
          <w:szCs w:val="24"/>
        </w:rPr>
        <w:t>2006 au 7 juillet 2008</w:t>
      </w:r>
      <w:r w:rsidRPr="00C03877">
        <w:rPr>
          <w:rFonts w:ascii="Times New Roman" w:hAnsi="Times New Roman"/>
        </w:rPr>
        <w:t>,</w:t>
      </w:r>
      <w:r w:rsidRPr="00C03877">
        <w:rPr>
          <w:rFonts w:ascii="Times New Roman" w:hAnsi="Times New Roman"/>
          <w:b/>
          <w:szCs w:val="24"/>
        </w:rPr>
        <w:t xml:space="preserve"> </w:t>
      </w:r>
      <w:r w:rsidRPr="00C03877">
        <w:rPr>
          <w:rFonts w:ascii="Times New Roman" w:hAnsi="Times New Roman"/>
          <w:szCs w:val="24"/>
        </w:rPr>
        <w:t>a élevé appel du jugement</w:t>
      </w:r>
      <w:r w:rsidRPr="00C03877">
        <w:rPr>
          <w:rFonts w:ascii="Times New Roman" w:hAnsi="Times New Roman"/>
          <w:b/>
          <w:szCs w:val="24"/>
        </w:rPr>
        <w:t xml:space="preserve"> </w:t>
      </w:r>
      <w:r w:rsidR="006F509C" w:rsidRPr="006F509C">
        <w:rPr>
          <w:rFonts w:ascii="Times New Roman" w:hAnsi="Times New Roman"/>
          <w:szCs w:val="24"/>
        </w:rPr>
        <w:t>n°</w:t>
      </w:r>
      <w:r w:rsidR="008B7AD3">
        <w:rPr>
          <w:rFonts w:ascii="Times New Roman" w:hAnsi="Times New Roman"/>
          <w:szCs w:val="24"/>
        </w:rPr>
        <w:t> </w:t>
      </w:r>
      <w:r w:rsidR="006F509C" w:rsidRPr="006F509C">
        <w:rPr>
          <w:rFonts w:ascii="Times New Roman" w:hAnsi="Times New Roman"/>
          <w:szCs w:val="24"/>
        </w:rPr>
        <w:t>2013-0021</w:t>
      </w:r>
      <w:r w:rsidR="006F509C" w:rsidRPr="00A23F47">
        <w:rPr>
          <w:sz w:val="18"/>
          <w:szCs w:val="18"/>
        </w:rPr>
        <w:t xml:space="preserve"> </w:t>
      </w:r>
      <w:r w:rsidRPr="00C03877">
        <w:rPr>
          <w:rFonts w:ascii="Times New Roman" w:hAnsi="Times New Roman"/>
          <w:szCs w:val="24"/>
        </w:rPr>
        <w:t xml:space="preserve">du </w:t>
      </w:r>
      <w:r w:rsidR="006F509C">
        <w:rPr>
          <w:rFonts w:ascii="Times New Roman" w:hAnsi="Times New Roman"/>
          <w:szCs w:val="24"/>
        </w:rPr>
        <w:t>27</w:t>
      </w:r>
      <w:r w:rsidR="009A0B2C">
        <w:rPr>
          <w:rFonts w:ascii="Times New Roman" w:hAnsi="Times New Roman"/>
          <w:szCs w:val="24"/>
        </w:rPr>
        <w:t xml:space="preserve"> </w:t>
      </w:r>
      <w:r w:rsidR="006F509C">
        <w:rPr>
          <w:rFonts w:ascii="Times New Roman" w:hAnsi="Times New Roman"/>
          <w:szCs w:val="24"/>
        </w:rPr>
        <w:t>septembre</w:t>
      </w:r>
      <w:r w:rsidR="009A0B2C">
        <w:rPr>
          <w:rFonts w:ascii="Times New Roman" w:hAnsi="Times New Roman"/>
          <w:szCs w:val="24"/>
        </w:rPr>
        <w:t xml:space="preserve"> </w:t>
      </w:r>
      <w:r w:rsidRPr="00C03877">
        <w:rPr>
          <w:rFonts w:ascii="Times New Roman" w:hAnsi="Times New Roman"/>
          <w:szCs w:val="24"/>
        </w:rPr>
        <w:t xml:space="preserve">2013 par lequel ladite </w:t>
      </w:r>
      <w:r w:rsidR="006F509C">
        <w:rPr>
          <w:rFonts w:ascii="Times New Roman" w:hAnsi="Times New Roman"/>
          <w:szCs w:val="24"/>
        </w:rPr>
        <w:t>chambre</w:t>
      </w:r>
      <w:r w:rsidRPr="00C03877">
        <w:rPr>
          <w:rFonts w:ascii="Times New Roman" w:hAnsi="Times New Roman"/>
          <w:szCs w:val="24"/>
        </w:rPr>
        <w:t xml:space="preserve"> l’a constitué </w:t>
      </w:r>
      <w:r w:rsidR="006F509C">
        <w:t>débiteur de cette collectivité pour la somme de 4 612,76</w:t>
      </w:r>
      <w:r w:rsidR="00E323D5">
        <w:t> </w:t>
      </w:r>
      <w:r w:rsidR="006F509C">
        <w:t>€, augmentée des intérêts de droit calculés à compter du</w:t>
      </w:r>
      <w:r w:rsidR="009A0B2C">
        <w:t xml:space="preserve"> </w:t>
      </w:r>
      <w:r w:rsidR="006F509C">
        <w:t>4 janvier 2013</w:t>
      </w:r>
      <w:r w:rsidR="009A0B2C">
        <w:rPr>
          <w:rFonts w:ascii="Times New Roman" w:hAnsi="Times New Roman"/>
          <w:szCs w:val="24"/>
        </w:rPr>
        <w:t> </w:t>
      </w:r>
      <w:r w:rsidRPr="00C03877">
        <w:rPr>
          <w:rFonts w:ascii="Times New Roman" w:hAnsi="Times New Roman"/>
          <w:szCs w:val="24"/>
        </w:rPr>
        <w:t>;</w:t>
      </w:r>
    </w:p>
    <w:p w:rsidR="007C4595" w:rsidRPr="00430C7A" w:rsidRDefault="007C4595" w:rsidP="006B04B9">
      <w:pPr>
        <w:pStyle w:val="PS"/>
        <w:rPr>
          <w:rFonts w:ascii="Times New Roman" w:hAnsi="Times New Roman"/>
          <w:szCs w:val="24"/>
        </w:rPr>
      </w:pPr>
      <w:r w:rsidRPr="00430C7A">
        <w:rPr>
          <w:rFonts w:ascii="Times New Roman" w:hAnsi="Times New Roman"/>
          <w:szCs w:val="24"/>
        </w:rPr>
        <w:t>Vu le réquisitoire n°</w:t>
      </w:r>
      <w:r w:rsidR="00E323D5">
        <w:rPr>
          <w:rFonts w:ascii="Times New Roman" w:hAnsi="Times New Roman"/>
          <w:szCs w:val="24"/>
        </w:rPr>
        <w:t> </w:t>
      </w:r>
      <w:r w:rsidRPr="00430C7A">
        <w:rPr>
          <w:rFonts w:ascii="Times New Roman" w:hAnsi="Times New Roman"/>
          <w:szCs w:val="24"/>
        </w:rPr>
        <w:t xml:space="preserve">2012-039 du 20 décembre 2012 par lequel le </w:t>
      </w:r>
      <w:r w:rsidR="00E323D5">
        <w:rPr>
          <w:rFonts w:ascii="Times New Roman" w:hAnsi="Times New Roman"/>
          <w:szCs w:val="24"/>
        </w:rPr>
        <w:t>P</w:t>
      </w:r>
      <w:r w:rsidRPr="00430C7A">
        <w:rPr>
          <w:rFonts w:ascii="Times New Roman" w:hAnsi="Times New Roman"/>
          <w:szCs w:val="24"/>
        </w:rPr>
        <w:t>rocureur financier près la chambre régionale des comptes</w:t>
      </w:r>
      <w:r w:rsidR="009A0B2C">
        <w:rPr>
          <w:rFonts w:ascii="Times New Roman" w:hAnsi="Times New Roman"/>
          <w:szCs w:val="24"/>
        </w:rPr>
        <w:t xml:space="preserve"> </w:t>
      </w:r>
      <w:r w:rsidRPr="00430C7A">
        <w:rPr>
          <w:rFonts w:ascii="Times New Roman" w:hAnsi="Times New Roman"/>
          <w:szCs w:val="24"/>
        </w:rPr>
        <w:t>de Basse-Normandie, Haute-Normandie a saisi cette chambre d'éléments à</w:t>
      </w:r>
      <w:r w:rsidR="009A0B2C">
        <w:rPr>
          <w:rFonts w:ascii="Times New Roman" w:hAnsi="Times New Roman"/>
          <w:szCs w:val="24"/>
        </w:rPr>
        <w:t xml:space="preserve"> </w:t>
      </w:r>
      <w:r w:rsidRPr="00430C7A">
        <w:rPr>
          <w:rFonts w:ascii="Times New Roman" w:hAnsi="Times New Roman"/>
          <w:szCs w:val="24"/>
        </w:rPr>
        <w:t>charge à l'encontre de M.</w:t>
      </w:r>
      <w:r w:rsidR="00E323D5">
        <w:rPr>
          <w:rFonts w:ascii="Times New Roman" w:hAnsi="Times New Roman"/>
          <w:szCs w:val="24"/>
        </w:rPr>
        <w:t> </w:t>
      </w:r>
      <w:r w:rsidRPr="00430C7A">
        <w:rPr>
          <w:rFonts w:ascii="Times New Roman" w:hAnsi="Times New Roman"/>
          <w:szCs w:val="24"/>
        </w:rPr>
        <w:t xml:space="preserve"> </w:t>
      </w:r>
      <w:r w:rsidR="009638C3">
        <w:rPr>
          <w:rFonts w:ascii="Times New Roman" w:hAnsi="Times New Roman"/>
          <w:szCs w:val="24"/>
        </w:rPr>
        <w:t>X</w:t>
      </w:r>
      <w:r w:rsidRPr="00430C7A">
        <w:rPr>
          <w:rFonts w:ascii="Times New Roman" w:hAnsi="Times New Roman"/>
          <w:szCs w:val="24"/>
        </w:rPr>
        <w:t> ;</w:t>
      </w:r>
    </w:p>
    <w:p w:rsidR="006B04B9" w:rsidRDefault="006B04B9" w:rsidP="006B04B9">
      <w:pPr>
        <w:pStyle w:val="PS"/>
        <w:rPr>
          <w:rFonts w:ascii="Times New Roman" w:hAnsi="Times New Roman"/>
          <w:szCs w:val="24"/>
        </w:rPr>
      </w:pPr>
      <w:r w:rsidRPr="00DF73BD">
        <w:rPr>
          <w:rFonts w:ascii="Times New Roman" w:hAnsi="Times New Roman"/>
          <w:szCs w:val="24"/>
        </w:rPr>
        <w:t>Vu le réquisitoire</w:t>
      </w:r>
      <w:r w:rsidR="007C4595" w:rsidRPr="007C4595">
        <w:rPr>
          <w:rFonts w:ascii="Times New Roman" w:hAnsi="Times New Roman"/>
          <w:szCs w:val="24"/>
        </w:rPr>
        <w:t xml:space="preserve"> </w:t>
      </w:r>
      <w:r w:rsidR="007C4595" w:rsidRPr="00DF73BD">
        <w:rPr>
          <w:rFonts w:ascii="Times New Roman" w:hAnsi="Times New Roman"/>
          <w:szCs w:val="24"/>
        </w:rPr>
        <w:t>n°</w:t>
      </w:r>
      <w:r w:rsidR="00E323D5">
        <w:rPr>
          <w:rFonts w:ascii="Times New Roman" w:hAnsi="Times New Roman"/>
          <w:szCs w:val="24"/>
        </w:rPr>
        <w:t> </w:t>
      </w:r>
      <w:r w:rsidR="007C4595" w:rsidRPr="00DF73BD">
        <w:rPr>
          <w:rFonts w:ascii="Times New Roman" w:hAnsi="Times New Roman"/>
          <w:szCs w:val="24"/>
        </w:rPr>
        <w:t>201</w:t>
      </w:r>
      <w:r w:rsidR="007C4595">
        <w:rPr>
          <w:rFonts w:ascii="Times New Roman" w:hAnsi="Times New Roman"/>
          <w:szCs w:val="24"/>
        </w:rPr>
        <w:t>4</w:t>
      </w:r>
      <w:r w:rsidR="007C4595" w:rsidRPr="00DF73BD">
        <w:rPr>
          <w:rFonts w:ascii="Times New Roman" w:hAnsi="Times New Roman"/>
          <w:szCs w:val="24"/>
        </w:rPr>
        <w:t>-</w:t>
      </w:r>
      <w:r w:rsidR="007C4595">
        <w:rPr>
          <w:rFonts w:ascii="Times New Roman" w:hAnsi="Times New Roman"/>
          <w:szCs w:val="24"/>
        </w:rPr>
        <w:t>9</w:t>
      </w:r>
      <w:r w:rsidR="007C4595" w:rsidRPr="00DF73BD">
        <w:rPr>
          <w:rFonts w:ascii="Times New Roman" w:hAnsi="Times New Roman"/>
          <w:szCs w:val="24"/>
        </w:rPr>
        <w:t xml:space="preserve"> du </w:t>
      </w:r>
      <w:r w:rsidR="007C4595">
        <w:rPr>
          <w:rFonts w:ascii="Times New Roman" w:hAnsi="Times New Roman"/>
          <w:szCs w:val="24"/>
        </w:rPr>
        <w:t>31 janvier 2014</w:t>
      </w:r>
      <w:r w:rsidRPr="00DF73BD">
        <w:rPr>
          <w:rFonts w:ascii="Times New Roman" w:hAnsi="Times New Roman"/>
          <w:szCs w:val="24"/>
        </w:rPr>
        <w:t xml:space="preserve"> du </w:t>
      </w:r>
      <w:r w:rsidR="00E323D5">
        <w:rPr>
          <w:rFonts w:ascii="Times New Roman" w:hAnsi="Times New Roman"/>
          <w:szCs w:val="24"/>
        </w:rPr>
        <w:t>P</w:t>
      </w:r>
      <w:r w:rsidRPr="00DF73BD">
        <w:rPr>
          <w:rFonts w:ascii="Times New Roman" w:hAnsi="Times New Roman"/>
          <w:szCs w:val="24"/>
        </w:rPr>
        <w:t>rocureur général près la Cour des comptes transmettant la requête</w:t>
      </w:r>
      <w:r w:rsidR="007C4595">
        <w:rPr>
          <w:rFonts w:ascii="Times New Roman" w:hAnsi="Times New Roman"/>
          <w:szCs w:val="24"/>
        </w:rPr>
        <w:t xml:space="preserve"> précitée </w:t>
      </w:r>
      <w:r w:rsidRPr="00DF73BD">
        <w:rPr>
          <w:rFonts w:ascii="Times New Roman" w:hAnsi="Times New Roman"/>
          <w:szCs w:val="24"/>
        </w:rPr>
        <w:t>à la Cour ;</w:t>
      </w:r>
    </w:p>
    <w:p w:rsidR="007C4595" w:rsidRDefault="007C4595" w:rsidP="006B04B9">
      <w:pPr>
        <w:pStyle w:val="PS"/>
        <w:rPr>
          <w:rFonts w:ascii="Times New Roman" w:hAnsi="Times New Roman"/>
          <w:szCs w:val="24"/>
        </w:rPr>
      </w:pPr>
      <w:r w:rsidRPr="00430C7A">
        <w:rPr>
          <w:rFonts w:ascii="Times New Roman" w:hAnsi="Times New Roman"/>
          <w:szCs w:val="24"/>
        </w:rPr>
        <w:t xml:space="preserve">Vu le réquisitoire supplétif du </w:t>
      </w:r>
      <w:r w:rsidR="00E323D5">
        <w:rPr>
          <w:rFonts w:ascii="Times New Roman" w:hAnsi="Times New Roman"/>
          <w:szCs w:val="24"/>
        </w:rPr>
        <w:t>P</w:t>
      </w:r>
      <w:r w:rsidRPr="00430C7A">
        <w:rPr>
          <w:rFonts w:ascii="Times New Roman" w:hAnsi="Times New Roman"/>
          <w:szCs w:val="24"/>
        </w:rPr>
        <w:t>rocureur général n°</w:t>
      </w:r>
      <w:r w:rsidR="00E323D5">
        <w:rPr>
          <w:rFonts w:ascii="Times New Roman" w:hAnsi="Times New Roman"/>
          <w:szCs w:val="24"/>
        </w:rPr>
        <w:t> </w:t>
      </w:r>
      <w:r w:rsidRPr="00430C7A">
        <w:rPr>
          <w:rFonts w:ascii="Times New Roman" w:hAnsi="Times New Roman"/>
          <w:szCs w:val="24"/>
        </w:rPr>
        <w:t xml:space="preserve">2014-48 du 31 mars 2014 priant le </w:t>
      </w:r>
      <w:r w:rsidR="00E323D5">
        <w:rPr>
          <w:rFonts w:ascii="Times New Roman" w:hAnsi="Times New Roman"/>
          <w:szCs w:val="24"/>
        </w:rPr>
        <w:t>P</w:t>
      </w:r>
      <w:r w:rsidRPr="00430C7A">
        <w:rPr>
          <w:rFonts w:ascii="Times New Roman" w:hAnsi="Times New Roman"/>
          <w:szCs w:val="24"/>
        </w:rPr>
        <w:t>remier président de saisir les chambres réunies de l'affaire susvisée</w:t>
      </w:r>
      <w:r w:rsidR="009A0B2C">
        <w:rPr>
          <w:rFonts w:ascii="Times New Roman" w:hAnsi="Times New Roman"/>
          <w:szCs w:val="24"/>
        </w:rPr>
        <w:t> ;</w:t>
      </w:r>
    </w:p>
    <w:p w:rsidR="0002083B" w:rsidRPr="00AA7277" w:rsidRDefault="0002083B" w:rsidP="006B04B9">
      <w:pPr>
        <w:pStyle w:val="PS"/>
        <w:rPr>
          <w:rFonts w:ascii="Times New Roman" w:hAnsi="Times New Roman"/>
          <w:szCs w:val="24"/>
        </w:rPr>
      </w:pPr>
    </w:p>
    <w:p w:rsidR="006B04B9" w:rsidRDefault="006B04B9" w:rsidP="006B04B9">
      <w:pPr>
        <w:pStyle w:val="PS"/>
        <w:rPr>
          <w:rFonts w:ascii="Times New Roman" w:hAnsi="Times New Roman"/>
        </w:rPr>
      </w:pPr>
      <w:r w:rsidRPr="00DF73BD">
        <w:rPr>
          <w:rFonts w:ascii="Times New Roman" w:hAnsi="Times New Roman"/>
        </w:rPr>
        <w:lastRenderedPageBreak/>
        <w:t>Vu les pièces de la procédure suivie en première instance ;</w:t>
      </w:r>
    </w:p>
    <w:p w:rsidR="006B04B9" w:rsidRPr="00430C7A" w:rsidRDefault="006B04B9" w:rsidP="006B04B9">
      <w:pPr>
        <w:pStyle w:val="PS"/>
        <w:rPr>
          <w:rFonts w:ascii="Times New Roman" w:hAnsi="Times New Roman"/>
        </w:rPr>
      </w:pPr>
      <w:r w:rsidRPr="00DF73BD">
        <w:rPr>
          <w:rFonts w:ascii="Times New Roman" w:hAnsi="Times New Roman"/>
        </w:rPr>
        <w:t>Vu le code des juridictions financières</w:t>
      </w:r>
      <w:r w:rsidR="009A0B2C">
        <w:rPr>
          <w:rFonts w:ascii="Times New Roman" w:hAnsi="Times New Roman"/>
        </w:rPr>
        <w:t xml:space="preserve"> </w:t>
      </w:r>
      <w:r w:rsidR="007C4595" w:rsidRPr="00430C7A">
        <w:rPr>
          <w:rFonts w:ascii="Times New Roman" w:hAnsi="Times New Roman"/>
        </w:rPr>
        <w:t>et notamment son article</w:t>
      </w:r>
      <w:r w:rsidR="009A0B2C">
        <w:rPr>
          <w:rFonts w:ascii="Times New Roman" w:hAnsi="Times New Roman"/>
        </w:rPr>
        <w:t xml:space="preserve"> </w:t>
      </w:r>
      <w:r w:rsidR="007C4595" w:rsidRPr="00430C7A">
        <w:rPr>
          <w:rFonts w:ascii="Times New Roman" w:hAnsi="Times New Roman"/>
        </w:rPr>
        <w:t>R</w:t>
      </w:r>
      <w:r w:rsidR="00E323D5">
        <w:rPr>
          <w:rFonts w:ascii="Times New Roman" w:hAnsi="Times New Roman"/>
        </w:rPr>
        <w:t>. </w:t>
      </w:r>
      <w:r w:rsidR="007C4595" w:rsidRPr="00430C7A">
        <w:rPr>
          <w:rFonts w:ascii="Times New Roman" w:hAnsi="Times New Roman"/>
        </w:rPr>
        <w:t xml:space="preserve">112-18, </w:t>
      </w:r>
      <w:r w:rsidR="009E7D97" w:rsidRPr="00430C7A">
        <w:rPr>
          <w:rFonts w:ascii="Times New Roman" w:hAnsi="Times New Roman"/>
        </w:rPr>
        <w:t>II</w:t>
      </w:r>
      <w:r w:rsidR="007C4595" w:rsidRPr="00430C7A">
        <w:rPr>
          <w:rFonts w:ascii="Times New Roman" w:hAnsi="Times New Roman"/>
        </w:rPr>
        <w:t xml:space="preserve">, alinéa </w:t>
      </w:r>
      <w:r w:rsidR="009E7D97" w:rsidRPr="00430C7A">
        <w:rPr>
          <w:rFonts w:ascii="Times New Roman" w:hAnsi="Times New Roman"/>
        </w:rPr>
        <w:t>2</w:t>
      </w:r>
      <w:r w:rsidR="009A0B2C">
        <w:rPr>
          <w:rFonts w:ascii="Times New Roman" w:hAnsi="Times New Roman"/>
        </w:rPr>
        <w:t> ;</w:t>
      </w:r>
    </w:p>
    <w:p w:rsidR="009E7D97" w:rsidRDefault="006B04B9" w:rsidP="006B04B9">
      <w:pPr>
        <w:pStyle w:val="PS"/>
        <w:rPr>
          <w:rFonts w:ascii="Times New Roman" w:hAnsi="Times New Roman"/>
        </w:rPr>
      </w:pPr>
      <w:r w:rsidRPr="00C45521">
        <w:rPr>
          <w:rFonts w:ascii="Times New Roman" w:hAnsi="Times New Roman"/>
        </w:rPr>
        <w:t>Vu l’article 60 de la loi de finances n°</w:t>
      </w:r>
      <w:r w:rsidR="00E323D5">
        <w:rPr>
          <w:rFonts w:ascii="Times New Roman" w:hAnsi="Times New Roman"/>
        </w:rPr>
        <w:t> </w:t>
      </w:r>
      <w:r w:rsidRPr="00C45521">
        <w:rPr>
          <w:rFonts w:ascii="Times New Roman" w:hAnsi="Times New Roman"/>
        </w:rPr>
        <w:t>63-156 du 23 février 1963 modifiée</w:t>
      </w:r>
      <w:r w:rsidR="009E7D97">
        <w:rPr>
          <w:rFonts w:ascii="Times New Roman" w:hAnsi="Times New Roman"/>
        </w:rPr>
        <w:t> ;</w:t>
      </w:r>
    </w:p>
    <w:p w:rsidR="006B04B9" w:rsidRPr="00C45521" w:rsidRDefault="009E7D97" w:rsidP="006B04B9">
      <w:pPr>
        <w:pStyle w:val="PS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Vu </w:t>
      </w:r>
      <w:r w:rsidR="006B04B9" w:rsidRPr="00C45521">
        <w:rPr>
          <w:rFonts w:ascii="Times New Roman" w:hAnsi="Times New Roman"/>
        </w:rPr>
        <w:t>l’article 90 de la loi</w:t>
      </w:r>
      <w:r>
        <w:rPr>
          <w:rFonts w:ascii="Times New Roman" w:hAnsi="Times New Roman"/>
        </w:rPr>
        <w:t xml:space="preserve"> de finances rectificative</w:t>
      </w:r>
      <w:r w:rsidR="006B04B9" w:rsidRPr="00C45521">
        <w:rPr>
          <w:rFonts w:ascii="Times New Roman" w:hAnsi="Times New Roman"/>
        </w:rPr>
        <w:t xml:space="preserve"> n°</w:t>
      </w:r>
      <w:r w:rsidR="00E323D5">
        <w:rPr>
          <w:rFonts w:ascii="Times New Roman" w:hAnsi="Times New Roman"/>
        </w:rPr>
        <w:t> </w:t>
      </w:r>
      <w:r w:rsidR="006B04B9" w:rsidRPr="00C45521">
        <w:rPr>
          <w:rFonts w:ascii="Times New Roman" w:hAnsi="Times New Roman"/>
        </w:rPr>
        <w:t>2011-1978 du 28 décembre 2011</w:t>
      </w:r>
      <w:r w:rsidR="009A0B2C">
        <w:rPr>
          <w:rFonts w:ascii="Times New Roman" w:hAnsi="Times New Roman"/>
        </w:rPr>
        <w:t> ;</w:t>
      </w:r>
    </w:p>
    <w:p w:rsidR="006B04B9" w:rsidRPr="00DF73BD" w:rsidRDefault="006B04B9" w:rsidP="006B04B9">
      <w:pPr>
        <w:pStyle w:val="PS"/>
        <w:rPr>
          <w:rFonts w:ascii="Times New Roman" w:hAnsi="Times New Roman"/>
          <w:szCs w:val="24"/>
        </w:rPr>
      </w:pPr>
      <w:r w:rsidRPr="00DF73BD">
        <w:rPr>
          <w:rFonts w:ascii="Times New Roman" w:hAnsi="Times New Roman"/>
        </w:rPr>
        <w:t xml:space="preserve">Vu le rapport de M. </w:t>
      </w:r>
      <w:r>
        <w:rPr>
          <w:rFonts w:ascii="Times New Roman" w:hAnsi="Times New Roman"/>
        </w:rPr>
        <w:t>Roch-Olivier Maistre</w:t>
      </w:r>
      <w:r w:rsidRPr="00DF73BD">
        <w:rPr>
          <w:rFonts w:ascii="Times New Roman" w:hAnsi="Times New Roman"/>
        </w:rPr>
        <w:t xml:space="preserve">, conseiller </w:t>
      </w:r>
      <w:r>
        <w:rPr>
          <w:rFonts w:ascii="Times New Roman" w:hAnsi="Times New Roman"/>
        </w:rPr>
        <w:t>maître</w:t>
      </w:r>
      <w:r w:rsidRPr="00DF73BD">
        <w:rPr>
          <w:rFonts w:ascii="Times New Roman" w:hAnsi="Times New Roman"/>
        </w:rPr>
        <w:t> ;</w:t>
      </w:r>
    </w:p>
    <w:p w:rsidR="006B04B9" w:rsidRDefault="006B04B9" w:rsidP="006B04B9">
      <w:pPr>
        <w:pStyle w:val="PS"/>
        <w:rPr>
          <w:rFonts w:ascii="Times New Roman" w:hAnsi="Times New Roman"/>
          <w:i/>
        </w:rPr>
      </w:pPr>
      <w:r w:rsidRPr="00DF73BD">
        <w:rPr>
          <w:rFonts w:ascii="Times New Roman" w:hAnsi="Times New Roman"/>
        </w:rPr>
        <w:t xml:space="preserve">Vu les conclusions du Procureur général </w:t>
      </w:r>
      <w:r w:rsidRPr="00430C7A">
        <w:rPr>
          <w:rFonts w:ascii="Times New Roman" w:hAnsi="Times New Roman"/>
        </w:rPr>
        <w:t>n</w:t>
      </w:r>
      <w:r w:rsidRPr="009E7D97">
        <w:rPr>
          <w:rFonts w:ascii="Times New Roman" w:hAnsi="Times New Roman"/>
          <w:i/>
        </w:rPr>
        <w:t>°</w:t>
      </w:r>
      <w:r w:rsidR="00E323D5">
        <w:rPr>
          <w:rFonts w:ascii="Times New Roman" w:hAnsi="Times New Roman"/>
          <w:i/>
        </w:rPr>
        <w:t> </w:t>
      </w:r>
      <w:r w:rsidR="009E7D97" w:rsidRPr="00430C7A">
        <w:rPr>
          <w:rFonts w:ascii="Times New Roman" w:hAnsi="Times New Roman"/>
        </w:rPr>
        <w:t>185</w:t>
      </w:r>
      <w:r w:rsidRPr="00430C7A">
        <w:rPr>
          <w:rFonts w:ascii="Times New Roman" w:hAnsi="Times New Roman"/>
        </w:rPr>
        <w:t xml:space="preserve"> du </w:t>
      </w:r>
      <w:r w:rsidR="009E7D97" w:rsidRPr="00430C7A">
        <w:rPr>
          <w:rFonts w:ascii="Times New Roman" w:hAnsi="Times New Roman"/>
        </w:rPr>
        <w:t xml:space="preserve">20 mars </w:t>
      </w:r>
      <w:r w:rsidRPr="00430C7A">
        <w:rPr>
          <w:rFonts w:ascii="Times New Roman" w:hAnsi="Times New Roman"/>
        </w:rPr>
        <w:t>201</w:t>
      </w:r>
      <w:r w:rsidR="006F509C" w:rsidRPr="00430C7A">
        <w:rPr>
          <w:rFonts w:ascii="Times New Roman" w:hAnsi="Times New Roman"/>
        </w:rPr>
        <w:t>4</w:t>
      </w:r>
      <w:r w:rsidR="009A0B2C">
        <w:rPr>
          <w:rFonts w:ascii="Times New Roman" w:hAnsi="Times New Roman"/>
        </w:rPr>
        <w:t> ;</w:t>
      </w:r>
    </w:p>
    <w:p w:rsidR="009E7D97" w:rsidRPr="00430C7A" w:rsidRDefault="009E7D97" w:rsidP="006B04B9">
      <w:pPr>
        <w:pStyle w:val="PS"/>
        <w:rPr>
          <w:rFonts w:ascii="Times New Roman" w:hAnsi="Times New Roman"/>
        </w:rPr>
      </w:pPr>
      <w:r w:rsidRPr="00430C7A">
        <w:rPr>
          <w:rFonts w:ascii="Times New Roman" w:hAnsi="Times New Roman"/>
        </w:rPr>
        <w:t>Vu les observations écrites complémentaires,</w:t>
      </w:r>
      <w:r w:rsidR="00E45B9A" w:rsidRPr="00430C7A">
        <w:rPr>
          <w:rFonts w:ascii="Times New Roman" w:hAnsi="Times New Roman"/>
        </w:rPr>
        <w:t xml:space="preserve"> </w:t>
      </w:r>
      <w:r w:rsidRPr="00430C7A">
        <w:rPr>
          <w:rFonts w:ascii="Times New Roman" w:hAnsi="Times New Roman"/>
        </w:rPr>
        <w:t>en date du 4 avril 2014, présentées par M.</w:t>
      </w:r>
      <w:r w:rsidR="00E323D5">
        <w:rPr>
          <w:rFonts w:ascii="Times New Roman" w:hAnsi="Times New Roman"/>
        </w:rPr>
        <w:t> </w:t>
      </w:r>
      <w:r w:rsidRPr="00430C7A">
        <w:rPr>
          <w:rFonts w:ascii="Times New Roman" w:hAnsi="Times New Roman"/>
        </w:rPr>
        <w:t xml:space="preserve"> </w:t>
      </w:r>
      <w:r w:rsidR="009638C3">
        <w:rPr>
          <w:rFonts w:ascii="Times New Roman" w:hAnsi="Times New Roman"/>
        </w:rPr>
        <w:t>X</w:t>
      </w:r>
      <w:r w:rsidRPr="00430C7A">
        <w:rPr>
          <w:rFonts w:ascii="Times New Roman" w:hAnsi="Times New Roman"/>
        </w:rPr>
        <w:t> ;</w:t>
      </w:r>
    </w:p>
    <w:p w:rsidR="009E7D97" w:rsidRDefault="006B04B9" w:rsidP="006B04B9">
      <w:pPr>
        <w:pStyle w:val="PS"/>
        <w:rPr>
          <w:rFonts w:ascii="Times New Roman" w:hAnsi="Times New Roman"/>
        </w:rPr>
      </w:pPr>
      <w:r w:rsidRPr="00DF73BD">
        <w:rPr>
          <w:rFonts w:ascii="Times New Roman" w:hAnsi="Times New Roman"/>
        </w:rPr>
        <w:t>Entendu, lors de l’audience publique de ce jour, M</w:t>
      </w:r>
      <w:r>
        <w:rPr>
          <w:rFonts w:ascii="Times New Roman" w:hAnsi="Times New Roman"/>
        </w:rPr>
        <w:t>.</w:t>
      </w:r>
      <w:r w:rsidR="00E323D5">
        <w:rPr>
          <w:rFonts w:ascii="Times New Roman" w:hAnsi="Times New Roman"/>
        </w:rPr>
        <w:t> </w:t>
      </w:r>
      <w:r>
        <w:rPr>
          <w:rFonts w:ascii="Times New Roman" w:hAnsi="Times New Roman"/>
        </w:rPr>
        <w:t>Maistre</w:t>
      </w:r>
      <w:r w:rsidRPr="00DF73BD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e</w:t>
      </w:r>
      <w:r w:rsidRPr="00DF73BD">
        <w:rPr>
          <w:rFonts w:ascii="Times New Roman" w:hAnsi="Times New Roman"/>
        </w:rPr>
        <w:t>n</w:t>
      </w:r>
      <w:r w:rsidR="009A0B2C">
        <w:rPr>
          <w:rFonts w:ascii="Times New Roman" w:hAnsi="Times New Roman"/>
        </w:rPr>
        <w:t xml:space="preserve"> </w:t>
      </w:r>
      <w:r w:rsidRPr="00DF73BD">
        <w:rPr>
          <w:rFonts w:ascii="Times New Roman" w:hAnsi="Times New Roman"/>
        </w:rPr>
        <w:t xml:space="preserve">son rapport, </w:t>
      </w:r>
      <w:r>
        <w:rPr>
          <w:rFonts w:ascii="Times New Roman" w:hAnsi="Times New Roman"/>
        </w:rPr>
        <w:t>M.</w:t>
      </w:r>
      <w:r w:rsidR="00E323D5">
        <w:rPr>
          <w:rFonts w:ascii="Times New Roman" w:hAnsi="Times New Roman"/>
        </w:rPr>
        <w:t> </w:t>
      </w:r>
      <w:r w:rsidR="00E45B9A">
        <w:rPr>
          <w:rFonts w:ascii="Times New Roman" w:hAnsi="Times New Roman"/>
        </w:rPr>
        <w:t>Gilles Johanet</w:t>
      </w:r>
      <w:r w:rsidR="009E7D97">
        <w:rPr>
          <w:rFonts w:ascii="Times New Roman" w:hAnsi="Times New Roman"/>
        </w:rPr>
        <w:t>,</w:t>
      </w:r>
      <w:r w:rsidR="00E45B9A">
        <w:rPr>
          <w:rFonts w:ascii="Times New Roman" w:hAnsi="Times New Roman"/>
        </w:rPr>
        <w:t xml:space="preserve"> </w:t>
      </w:r>
      <w:r w:rsidR="00E323D5">
        <w:rPr>
          <w:rFonts w:ascii="Times New Roman" w:hAnsi="Times New Roman"/>
        </w:rPr>
        <w:t>P</w:t>
      </w:r>
      <w:r w:rsidR="009E7D97">
        <w:rPr>
          <w:rFonts w:ascii="Times New Roman" w:hAnsi="Times New Roman"/>
        </w:rPr>
        <w:t>rocureur</w:t>
      </w:r>
      <w:r>
        <w:rPr>
          <w:rFonts w:ascii="Times New Roman" w:hAnsi="Times New Roman"/>
        </w:rPr>
        <w:t xml:space="preserve"> général,</w:t>
      </w:r>
      <w:r w:rsidRPr="00DF73BD">
        <w:rPr>
          <w:rFonts w:ascii="Times New Roman" w:hAnsi="Times New Roman"/>
        </w:rPr>
        <w:t xml:space="preserve"> en les conclusions du</w:t>
      </w:r>
      <w:r w:rsidR="009A0B2C">
        <w:rPr>
          <w:rFonts w:ascii="Times New Roman" w:hAnsi="Times New Roman"/>
        </w:rPr>
        <w:t xml:space="preserve"> </w:t>
      </w:r>
      <w:r w:rsidRPr="00DF73BD">
        <w:rPr>
          <w:rFonts w:ascii="Times New Roman" w:hAnsi="Times New Roman"/>
        </w:rPr>
        <w:t xml:space="preserve">ministère public, l’appelant, </w:t>
      </w:r>
      <w:r w:rsidRPr="002C5E60">
        <w:rPr>
          <w:rFonts w:ascii="Times New Roman" w:hAnsi="Times New Roman"/>
        </w:rPr>
        <w:t>M</w:t>
      </w:r>
      <w:r w:rsidR="006F509C">
        <w:rPr>
          <w:rFonts w:ascii="Times New Roman" w:hAnsi="Times New Roman"/>
        </w:rPr>
        <w:t>.</w:t>
      </w:r>
      <w:r w:rsidR="00E323D5">
        <w:rPr>
          <w:rFonts w:ascii="Times New Roman" w:hAnsi="Times New Roman"/>
        </w:rPr>
        <w:t> </w:t>
      </w:r>
      <w:r w:rsidR="006F509C">
        <w:rPr>
          <w:rFonts w:ascii="Times New Roman" w:hAnsi="Times New Roman"/>
        </w:rPr>
        <w:t xml:space="preserve"> </w:t>
      </w:r>
      <w:r w:rsidR="009638C3">
        <w:rPr>
          <w:rFonts w:ascii="Times New Roman" w:hAnsi="Times New Roman"/>
        </w:rPr>
        <w:t>X</w:t>
      </w:r>
      <w:r w:rsidRPr="002C5E60">
        <w:rPr>
          <w:rFonts w:ascii="Times New Roman" w:hAnsi="Times New Roman"/>
        </w:rPr>
        <w:t xml:space="preserve">, </w:t>
      </w:r>
      <w:r w:rsidR="006F509C">
        <w:rPr>
          <w:rFonts w:ascii="Times New Roman" w:hAnsi="Times New Roman"/>
        </w:rPr>
        <w:t>informé de l’audience</w:t>
      </w:r>
      <w:r w:rsidRPr="00DF73BD">
        <w:rPr>
          <w:rFonts w:ascii="Times New Roman" w:hAnsi="Times New Roman"/>
        </w:rPr>
        <w:t>,</w:t>
      </w:r>
      <w:r w:rsidR="00E45B9A">
        <w:rPr>
          <w:rFonts w:ascii="Times New Roman" w:hAnsi="Times New Roman"/>
        </w:rPr>
        <w:t xml:space="preserve"> </w:t>
      </w:r>
      <w:r w:rsidR="009E7D97">
        <w:rPr>
          <w:rFonts w:ascii="Times New Roman" w:hAnsi="Times New Roman"/>
        </w:rPr>
        <w:t>étant absent ;</w:t>
      </w:r>
    </w:p>
    <w:p w:rsidR="006B04B9" w:rsidRPr="00BD32A3" w:rsidRDefault="006B04B9" w:rsidP="006B04B9">
      <w:pPr>
        <w:pStyle w:val="PS"/>
        <w:rPr>
          <w:rFonts w:ascii="Times New Roman" w:hAnsi="Times New Roman"/>
        </w:rPr>
      </w:pPr>
      <w:r w:rsidRPr="00BD32A3">
        <w:rPr>
          <w:rFonts w:ascii="Times New Roman" w:hAnsi="Times New Roman"/>
        </w:rPr>
        <w:t>Après avoir entendu en délibéré M.</w:t>
      </w:r>
      <w:r w:rsidR="00E323D5">
        <w:rPr>
          <w:rFonts w:ascii="Times New Roman" w:hAnsi="Times New Roman"/>
        </w:rPr>
        <w:t> </w:t>
      </w:r>
      <w:r w:rsidR="00E45B9A">
        <w:rPr>
          <w:rFonts w:ascii="Times New Roman" w:hAnsi="Times New Roman"/>
        </w:rPr>
        <w:t>Jean Gautier</w:t>
      </w:r>
      <w:r w:rsidRPr="00BD32A3">
        <w:rPr>
          <w:rFonts w:ascii="Times New Roman" w:hAnsi="Times New Roman"/>
        </w:rPr>
        <w:t>, conseiller maître, en ses observations ;</w:t>
      </w:r>
    </w:p>
    <w:p w:rsidR="006B04B9" w:rsidRPr="006F509C" w:rsidRDefault="006B04B9" w:rsidP="006B04B9">
      <w:pPr>
        <w:pStyle w:val="PS"/>
        <w:rPr>
          <w:rFonts w:ascii="Times New Roman" w:hAnsi="Times New Roman"/>
        </w:rPr>
      </w:pPr>
      <w:r w:rsidRPr="006F509C">
        <w:rPr>
          <w:rFonts w:ascii="Times New Roman" w:hAnsi="Times New Roman"/>
        </w:rPr>
        <w:t xml:space="preserve">Attendu que, par le jugement </w:t>
      </w:r>
      <w:r w:rsidR="00CE0902">
        <w:rPr>
          <w:rFonts w:ascii="Times New Roman" w:hAnsi="Times New Roman"/>
        </w:rPr>
        <w:t>entrepris</w:t>
      </w:r>
      <w:r w:rsidRPr="006F509C">
        <w:rPr>
          <w:rFonts w:ascii="Times New Roman" w:hAnsi="Times New Roman"/>
        </w:rPr>
        <w:t xml:space="preserve">, la </w:t>
      </w:r>
      <w:r w:rsidR="006F509C" w:rsidRPr="006F509C">
        <w:rPr>
          <w:rFonts w:ascii="Times New Roman" w:hAnsi="Times New Roman"/>
          <w:szCs w:val="24"/>
        </w:rPr>
        <w:t xml:space="preserve">chambre régionale des comptes </w:t>
      </w:r>
      <w:r w:rsidR="006F509C" w:rsidRPr="006F509C">
        <w:rPr>
          <w:rFonts w:ascii="Times New Roman" w:hAnsi="Times New Roman"/>
        </w:rPr>
        <w:t xml:space="preserve">de Basse-Normandie, Haute-Normandie </w:t>
      </w:r>
      <w:r w:rsidR="006F509C" w:rsidRPr="006F509C">
        <w:rPr>
          <w:rFonts w:ascii="Times New Roman" w:hAnsi="Times New Roman"/>
          <w:szCs w:val="24"/>
        </w:rPr>
        <w:t>a constitué M.</w:t>
      </w:r>
      <w:r w:rsidR="00E323D5">
        <w:rPr>
          <w:rFonts w:ascii="Times New Roman" w:hAnsi="Times New Roman"/>
          <w:szCs w:val="24"/>
        </w:rPr>
        <w:t> </w:t>
      </w:r>
      <w:r w:rsidR="009638C3">
        <w:rPr>
          <w:rFonts w:ascii="Times New Roman" w:hAnsi="Times New Roman"/>
          <w:szCs w:val="24"/>
        </w:rPr>
        <w:t>X</w:t>
      </w:r>
      <w:r w:rsidR="006F509C" w:rsidRPr="006F509C">
        <w:rPr>
          <w:rFonts w:ascii="Times New Roman" w:hAnsi="Times New Roman"/>
          <w:szCs w:val="24"/>
        </w:rPr>
        <w:t xml:space="preserve"> </w:t>
      </w:r>
      <w:r w:rsidR="006F509C" w:rsidRPr="006F509C">
        <w:rPr>
          <w:rFonts w:ascii="Times New Roman" w:hAnsi="Times New Roman"/>
        </w:rPr>
        <w:t>débiteur de la communauté d’agglomération rouennaise</w:t>
      </w:r>
      <w:r w:rsidR="006F509C" w:rsidRPr="006F509C">
        <w:rPr>
          <w:rFonts w:ascii="Times New Roman" w:hAnsi="Times New Roman"/>
          <w:szCs w:val="24"/>
        </w:rPr>
        <w:t xml:space="preserve"> </w:t>
      </w:r>
      <w:r w:rsidR="006F509C" w:rsidRPr="006F509C">
        <w:rPr>
          <w:rFonts w:ascii="Times New Roman" w:hAnsi="Times New Roman"/>
        </w:rPr>
        <w:t>pour la somme de</w:t>
      </w:r>
      <w:r w:rsidR="009A0B2C">
        <w:rPr>
          <w:rFonts w:ascii="Times New Roman" w:hAnsi="Times New Roman"/>
        </w:rPr>
        <w:t xml:space="preserve"> </w:t>
      </w:r>
      <w:r w:rsidR="006F509C" w:rsidRPr="006F509C">
        <w:rPr>
          <w:rFonts w:ascii="Times New Roman" w:hAnsi="Times New Roman"/>
        </w:rPr>
        <w:t>4 612,76</w:t>
      </w:r>
      <w:r w:rsidR="00E323D5">
        <w:rPr>
          <w:rFonts w:ascii="Times New Roman" w:hAnsi="Times New Roman"/>
        </w:rPr>
        <w:t> </w:t>
      </w:r>
      <w:r w:rsidR="006F509C" w:rsidRPr="006F509C">
        <w:rPr>
          <w:rFonts w:ascii="Times New Roman" w:hAnsi="Times New Roman"/>
        </w:rPr>
        <w:t>€, augmentée des intérêts de droit calculés à compter du</w:t>
      </w:r>
      <w:r w:rsidR="009A0B2C">
        <w:rPr>
          <w:rFonts w:ascii="Times New Roman" w:hAnsi="Times New Roman"/>
        </w:rPr>
        <w:t xml:space="preserve"> </w:t>
      </w:r>
      <w:r w:rsidR="006F509C" w:rsidRPr="006F509C">
        <w:rPr>
          <w:rFonts w:ascii="Times New Roman" w:hAnsi="Times New Roman"/>
        </w:rPr>
        <w:t>4</w:t>
      </w:r>
      <w:r w:rsidR="009A0B2C">
        <w:rPr>
          <w:rFonts w:ascii="Times New Roman" w:hAnsi="Times New Roman"/>
        </w:rPr>
        <w:t xml:space="preserve"> </w:t>
      </w:r>
      <w:r w:rsidR="006F509C" w:rsidRPr="006F509C">
        <w:rPr>
          <w:rFonts w:ascii="Times New Roman" w:hAnsi="Times New Roman"/>
        </w:rPr>
        <w:t>janvier</w:t>
      </w:r>
      <w:r w:rsidR="009A0B2C">
        <w:rPr>
          <w:rFonts w:ascii="Times New Roman" w:hAnsi="Times New Roman"/>
        </w:rPr>
        <w:t xml:space="preserve"> </w:t>
      </w:r>
      <w:r w:rsidR="006F509C" w:rsidRPr="006F509C">
        <w:rPr>
          <w:rFonts w:ascii="Times New Roman" w:hAnsi="Times New Roman"/>
        </w:rPr>
        <w:t>2013,</w:t>
      </w:r>
      <w:r w:rsidRPr="006F509C">
        <w:rPr>
          <w:rFonts w:ascii="Times New Roman" w:hAnsi="Times New Roman"/>
        </w:rPr>
        <w:t xml:space="preserve"> </w:t>
      </w:r>
      <w:r w:rsidR="006F509C" w:rsidRPr="006F509C">
        <w:rPr>
          <w:rFonts w:ascii="Times New Roman" w:hAnsi="Times New Roman"/>
        </w:rPr>
        <w:t>à raison d’une absence de diligences complètes, adéquates et rapides en vue d</w:t>
      </w:r>
      <w:r w:rsidR="006F509C">
        <w:rPr>
          <w:rFonts w:ascii="Times New Roman" w:hAnsi="Times New Roman"/>
        </w:rPr>
        <w:t>u</w:t>
      </w:r>
      <w:r w:rsidR="006F509C" w:rsidRPr="006F509C">
        <w:rPr>
          <w:rFonts w:ascii="Times New Roman" w:hAnsi="Times New Roman"/>
        </w:rPr>
        <w:t xml:space="preserve"> recouvrement d’un</w:t>
      </w:r>
      <w:r w:rsidR="006F509C">
        <w:rPr>
          <w:rFonts w:ascii="Times New Roman" w:hAnsi="Times New Roman"/>
        </w:rPr>
        <w:t>e créance</w:t>
      </w:r>
      <w:r w:rsidR="006F509C" w:rsidRPr="006F509C">
        <w:rPr>
          <w:rFonts w:ascii="Times New Roman" w:hAnsi="Times New Roman"/>
        </w:rPr>
        <w:t xml:space="preserve"> devenu</w:t>
      </w:r>
      <w:r w:rsidR="006F509C">
        <w:rPr>
          <w:rFonts w:ascii="Times New Roman" w:hAnsi="Times New Roman"/>
        </w:rPr>
        <w:t>e</w:t>
      </w:r>
      <w:r w:rsidR="006F509C" w:rsidRPr="006F509C">
        <w:rPr>
          <w:rFonts w:ascii="Times New Roman" w:hAnsi="Times New Roman"/>
        </w:rPr>
        <w:t xml:space="preserve"> irrécouvrable durant sa gestion le 20 septembre 2006</w:t>
      </w:r>
      <w:r w:rsidR="009A0B2C">
        <w:rPr>
          <w:rFonts w:ascii="Times New Roman" w:hAnsi="Times New Roman"/>
        </w:rPr>
        <w:t> ;</w:t>
      </w:r>
    </w:p>
    <w:p w:rsidR="003A0814" w:rsidRDefault="006B04B9" w:rsidP="003A0814">
      <w:pPr>
        <w:spacing w:before="120" w:after="480"/>
        <w:ind w:left="1701" w:firstLine="1134"/>
        <w:jc w:val="both"/>
        <w:rPr>
          <w:sz w:val="24"/>
          <w:szCs w:val="24"/>
        </w:rPr>
      </w:pPr>
      <w:r w:rsidRPr="003A0814">
        <w:rPr>
          <w:sz w:val="24"/>
          <w:szCs w:val="24"/>
        </w:rPr>
        <w:t>Attendu que l</w:t>
      </w:r>
      <w:r w:rsidR="003A0814" w:rsidRPr="003A0814">
        <w:rPr>
          <w:sz w:val="24"/>
          <w:szCs w:val="24"/>
        </w:rPr>
        <w:t>e requérant fait valoir à titre principal que l’exercice</w:t>
      </w:r>
      <w:r w:rsidR="009A0B2C">
        <w:rPr>
          <w:sz w:val="24"/>
          <w:szCs w:val="24"/>
        </w:rPr>
        <w:t xml:space="preserve"> </w:t>
      </w:r>
      <w:r w:rsidR="003A0814" w:rsidRPr="003A0814">
        <w:rPr>
          <w:sz w:val="24"/>
          <w:szCs w:val="24"/>
        </w:rPr>
        <w:t>2006 était atteint par la prescription extinctive, aucune charge n’ayant été notifiée au comptable dans le délai de cinq ans suivant la production des comptes en question ; qu’en effet le réquisitoire du procureur financier près la chambre régionale ne lui a été notifié que le 4</w:t>
      </w:r>
      <w:r w:rsidR="009A0B2C">
        <w:rPr>
          <w:sz w:val="24"/>
          <w:szCs w:val="24"/>
        </w:rPr>
        <w:t xml:space="preserve"> </w:t>
      </w:r>
      <w:r w:rsidR="003A0814" w:rsidRPr="003A0814">
        <w:rPr>
          <w:sz w:val="24"/>
          <w:szCs w:val="24"/>
        </w:rPr>
        <w:t>janvier</w:t>
      </w:r>
      <w:r w:rsidR="009A0B2C">
        <w:rPr>
          <w:sz w:val="24"/>
          <w:szCs w:val="24"/>
        </w:rPr>
        <w:t xml:space="preserve"> </w:t>
      </w:r>
      <w:r w:rsidR="003A0814" w:rsidRPr="003A0814">
        <w:rPr>
          <w:sz w:val="24"/>
          <w:szCs w:val="24"/>
        </w:rPr>
        <w:t>2013, soit après le 31</w:t>
      </w:r>
      <w:r w:rsidR="009A0B2C">
        <w:rPr>
          <w:sz w:val="24"/>
          <w:szCs w:val="24"/>
        </w:rPr>
        <w:t xml:space="preserve"> </w:t>
      </w:r>
      <w:r w:rsidR="003A0814" w:rsidRPr="003A0814">
        <w:rPr>
          <w:sz w:val="24"/>
          <w:szCs w:val="24"/>
        </w:rPr>
        <w:t>décembre de la cinquième année suivant le dépôt de ses comptes de l’exercice 2006 le 5</w:t>
      </w:r>
      <w:r w:rsidR="009A0B2C">
        <w:rPr>
          <w:sz w:val="24"/>
          <w:szCs w:val="24"/>
        </w:rPr>
        <w:t xml:space="preserve"> </w:t>
      </w:r>
      <w:r w:rsidR="00E45B9A">
        <w:rPr>
          <w:sz w:val="24"/>
          <w:szCs w:val="24"/>
        </w:rPr>
        <w:t>décembre</w:t>
      </w:r>
      <w:r w:rsidR="009A0B2C">
        <w:rPr>
          <w:sz w:val="24"/>
          <w:szCs w:val="24"/>
        </w:rPr>
        <w:t xml:space="preserve"> </w:t>
      </w:r>
      <w:r w:rsidR="003A0814" w:rsidRPr="003A0814">
        <w:rPr>
          <w:sz w:val="24"/>
          <w:szCs w:val="24"/>
        </w:rPr>
        <w:t>2007 ;</w:t>
      </w:r>
    </w:p>
    <w:p w:rsidR="003A0814" w:rsidRPr="003A0814" w:rsidRDefault="008B7AD3" w:rsidP="003A0814">
      <w:pPr>
        <w:spacing w:before="120" w:after="480"/>
        <w:ind w:left="1701" w:firstLine="1134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6B04B9" w:rsidRPr="003A0814">
        <w:rPr>
          <w:sz w:val="24"/>
          <w:szCs w:val="24"/>
        </w:rPr>
        <w:t>Considérant</w:t>
      </w:r>
      <w:r w:rsidR="003A0814" w:rsidRPr="003A0814">
        <w:rPr>
          <w:sz w:val="24"/>
          <w:szCs w:val="24"/>
        </w:rPr>
        <w:t>, en premier lieu, qu’aux termes de l’article 60 IV de la loi n°</w:t>
      </w:r>
      <w:r w:rsidR="003676F0">
        <w:rPr>
          <w:sz w:val="24"/>
          <w:szCs w:val="24"/>
        </w:rPr>
        <w:t> </w:t>
      </w:r>
      <w:r w:rsidR="003A0814" w:rsidRPr="003A0814">
        <w:rPr>
          <w:sz w:val="24"/>
          <w:szCs w:val="24"/>
        </w:rPr>
        <w:t>63-156 du 23 février 1963, « </w:t>
      </w:r>
      <w:r w:rsidR="003A0814" w:rsidRPr="003A0814">
        <w:rPr>
          <w:i/>
          <w:sz w:val="24"/>
          <w:szCs w:val="24"/>
        </w:rPr>
        <w:t>Le premier acte de la mise en jeu de la responsabilité ne peut plus intervenir au-delà du 31</w:t>
      </w:r>
      <w:r w:rsidR="009A0B2C">
        <w:rPr>
          <w:i/>
          <w:sz w:val="24"/>
          <w:szCs w:val="24"/>
        </w:rPr>
        <w:t xml:space="preserve"> </w:t>
      </w:r>
      <w:r w:rsidR="003A0814" w:rsidRPr="003A0814">
        <w:rPr>
          <w:i/>
          <w:sz w:val="24"/>
          <w:szCs w:val="24"/>
        </w:rPr>
        <w:t>décembre de la cinquième année suivant celle au cours de laquelle le comptable a produit ses comptes au juge des comptes ou, lorsqu'il n'est pas tenu à cette obligation, celle au cours de laquelle il a produit les justifications de ses opérations. Dès lors qu'aucune charge n'a été notifiée dans ce délai à son encontre, le comptable est déchargé de sa gestion au titre de l'exercice concerné. (…)</w:t>
      </w:r>
      <w:r w:rsidR="003A0814" w:rsidRPr="003A0814">
        <w:rPr>
          <w:sz w:val="24"/>
          <w:szCs w:val="24"/>
        </w:rPr>
        <w:t> » ; que</w:t>
      </w:r>
      <w:r w:rsidR="00E45B9A">
        <w:rPr>
          <w:sz w:val="24"/>
          <w:szCs w:val="24"/>
        </w:rPr>
        <w:t>,</w:t>
      </w:r>
      <w:r w:rsidR="003A0814" w:rsidRPr="003A0814">
        <w:rPr>
          <w:sz w:val="24"/>
          <w:szCs w:val="24"/>
        </w:rPr>
        <w:t xml:space="preserve"> dans le cas d’espèce, les comptes de l’exercice</w:t>
      </w:r>
      <w:r w:rsidR="009A0B2C">
        <w:rPr>
          <w:sz w:val="24"/>
          <w:szCs w:val="24"/>
        </w:rPr>
        <w:t xml:space="preserve"> </w:t>
      </w:r>
      <w:r w:rsidR="003A0814" w:rsidRPr="003A0814">
        <w:rPr>
          <w:sz w:val="24"/>
          <w:szCs w:val="24"/>
        </w:rPr>
        <w:t>2006 ont été produits par le comptable le 5</w:t>
      </w:r>
      <w:r w:rsidR="009A0B2C">
        <w:rPr>
          <w:sz w:val="24"/>
          <w:szCs w:val="24"/>
        </w:rPr>
        <w:t xml:space="preserve"> </w:t>
      </w:r>
      <w:r w:rsidR="003A0814" w:rsidRPr="003A0814">
        <w:rPr>
          <w:sz w:val="24"/>
          <w:szCs w:val="24"/>
        </w:rPr>
        <w:t>décembre</w:t>
      </w:r>
      <w:r w:rsidR="009A0B2C">
        <w:rPr>
          <w:sz w:val="24"/>
          <w:szCs w:val="24"/>
        </w:rPr>
        <w:t xml:space="preserve"> </w:t>
      </w:r>
      <w:r w:rsidR="003A0814" w:rsidRPr="003A0814">
        <w:rPr>
          <w:sz w:val="24"/>
          <w:szCs w:val="24"/>
        </w:rPr>
        <w:t>2007 ; qu’en conséquence la prescription extinctive était atteinte au 31</w:t>
      </w:r>
      <w:r w:rsidR="009A0B2C">
        <w:rPr>
          <w:sz w:val="24"/>
          <w:szCs w:val="24"/>
        </w:rPr>
        <w:t xml:space="preserve"> </w:t>
      </w:r>
      <w:r w:rsidR="003A0814" w:rsidRPr="003A0814">
        <w:rPr>
          <w:sz w:val="24"/>
          <w:szCs w:val="24"/>
        </w:rPr>
        <w:t>décembre</w:t>
      </w:r>
      <w:r w:rsidR="009A0B2C">
        <w:rPr>
          <w:sz w:val="24"/>
          <w:szCs w:val="24"/>
        </w:rPr>
        <w:t xml:space="preserve"> </w:t>
      </w:r>
      <w:r w:rsidR="003A0814" w:rsidRPr="003A0814">
        <w:rPr>
          <w:sz w:val="24"/>
          <w:szCs w:val="24"/>
        </w:rPr>
        <w:t>2012 ;</w:t>
      </w:r>
    </w:p>
    <w:p w:rsidR="003A0814" w:rsidRDefault="003A0814" w:rsidP="003A0814">
      <w:pPr>
        <w:spacing w:before="120" w:after="480"/>
        <w:ind w:left="1701" w:firstLine="1134"/>
        <w:jc w:val="both"/>
        <w:rPr>
          <w:sz w:val="24"/>
          <w:szCs w:val="24"/>
        </w:rPr>
      </w:pPr>
      <w:r w:rsidRPr="003A0814">
        <w:rPr>
          <w:sz w:val="24"/>
          <w:szCs w:val="24"/>
        </w:rPr>
        <w:t xml:space="preserve">Considérant, en second lieu, que le réquisitoire du </w:t>
      </w:r>
      <w:r w:rsidR="003676F0">
        <w:rPr>
          <w:sz w:val="24"/>
          <w:szCs w:val="24"/>
        </w:rPr>
        <w:t>P</w:t>
      </w:r>
      <w:r w:rsidRPr="003A0814">
        <w:rPr>
          <w:sz w:val="24"/>
          <w:szCs w:val="24"/>
        </w:rPr>
        <w:t>rocureur financier près la chambre régionale des comptes de Basse-Normandie, Haute-Normandie n°</w:t>
      </w:r>
      <w:r w:rsidR="003676F0">
        <w:rPr>
          <w:sz w:val="24"/>
          <w:szCs w:val="24"/>
        </w:rPr>
        <w:t> </w:t>
      </w:r>
      <w:r w:rsidRPr="003A0814">
        <w:rPr>
          <w:sz w:val="24"/>
          <w:szCs w:val="24"/>
        </w:rPr>
        <w:t>2012-039 du 20</w:t>
      </w:r>
      <w:r w:rsidR="009A0B2C">
        <w:rPr>
          <w:sz w:val="24"/>
          <w:szCs w:val="24"/>
        </w:rPr>
        <w:t xml:space="preserve"> </w:t>
      </w:r>
      <w:r w:rsidRPr="003A0814">
        <w:rPr>
          <w:sz w:val="24"/>
          <w:szCs w:val="24"/>
        </w:rPr>
        <w:t>décembre</w:t>
      </w:r>
      <w:r w:rsidR="009A0B2C">
        <w:rPr>
          <w:sz w:val="24"/>
          <w:szCs w:val="24"/>
        </w:rPr>
        <w:t xml:space="preserve"> </w:t>
      </w:r>
      <w:r w:rsidRPr="003A0814">
        <w:rPr>
          <w:sz w:val="24"/>
          <w:szCs w:val="24"/>
        </w:rPr>
        <w:t>2012 soulevant une présomption de charge unique à l’encontre du comptable lui a été notifié le</w:t>
      </w:r>
      <w:r w:rsidR="009A0B2C">
        <w:rPr>
          <w:sz w:val="24"/>
          <w:szCs w:val="24"/>
        </w:rPr>
        <w:t xml:space="preserve"> </w:t>
      </w:r>
      <w:r w:rsidRPr="003A0814">
        <w:rPr>
          <w:sz w:val="24"/>
          <w:szCs w:val="24"/>
        </w:rPr>
        <w:t>4</w:t>
      </w:r>
      <w:r w:rsidR="009A0B2C">
        <w:rPr>
          <w:sz w:val="24"/>
          <w:szCs w:val="24"/>
        </w:rPr>
        <w:t xml:space="preserve"> </w:t>
      </w:r>
      <w:r w:rsidRPr="003A0814">
        <w:rPr>
          <w:sz w:val="24"/>
          <w:szCs w:val="24"/>
        </w:rPr>
        <w:t>janvier</w:t>
      </w:r>
      <w:r w:rsidR="009A0B2C">
        <w:rPr>
          <w:sz w:val="24"/>
          <w:szCs w:val="24"/>
        </w:rPr>
        <w:t xml:space="preserve"> </w:t>
      </w:r>
      <w:r w:rsidRPr="003A0814">
        <w:rPr>
          <w:sz w:val="24"/>
          <w:szCs w:val="24"/>
        </w:rPr>
        <w:t>2013, date de l’accusé de réception ; qu’ainsi la notification de cette charge est intervenue alors que la prescription extinctive du compte</w:t>
      </w:r>
      <w:r w:rsidR="009A0B2C">
        <w:rPr>
          <w:sz w:val="24"/>
          <w:szCs w:val="24"/>
        </w:rPr>
        <w:t xml:space="preserve"> </w:t>
      </w:r>
      <w:r w:rsidRPr="003A0814">
        <w:rPr>
          <w:sz w:val="24"/>
          <w:szCs w:val="24"/>
        </w:rPr>
        <w:t>2006 était acquise ;</w:t>
      </w:r>
    </w:p>
    <w:p w:rsidR="00CE0902" w:rsidRPr="00430C7A" w:rsidRDefault="00CE0902" w:rsidP="003A0814">
      <w:pPr>
        <w:spacing w:before="120" w:after="480"/>
        <w:ind w:left="1701" w:firstLine="1134"/>
        <w:jc w:val="both"/>
        <w:rPr>
          <w:sz w:val="24"/>
          <w:szCs w:val="24"/>
        </w:rPr>
      </w:pPr>
      <w:r w:rsidRPr="00430C7A">
        <w:rPr>
          <w:sz w:val="24"/>
          <w:szCs w:val="24"/>
        </w:rPr>
        <w:t>Considérant que le ministère public, dans ses conclusions du 20</w:t>
      </w:r>
      <w:r w:rsidR="003676F0" w:rsidRPr="00430C7A">
        <w:rPr>
          <w:sz w:val="24"/>
          <w:szCs w:val="24"/>
        </w:rPr>
        <w:t> </w:t>
      </w:r>
      <w:r w:rsidRPr="00430C7A">
        <w:rPr>
          <w:sz w:val="24"/>
          <w:szCs w:val="24"/>
        </w:rPr>
        <w:t>mars</w:t>
      </w:r>
      <w:r w:rsidR="003676F0" w:rsidRPr="00430C7A">
        <w:rPr>
          <w:sz w:val="24"/>
          <w:szCs w:val="24"/>
        </w:rPr>
        <w:t> </w:t>
      </w:r>
      <w:r w:rsidRPr="00430C7A">
        <w:rPr>
          <w:sz w:val="24"/>
          <w:szCs w:val="24"/>
        </w:rPr>
        <w:t>2014, fait valoir que si la date de la notification au comptable était retenue pour le calcul du délai de la prescription, un réquisitoire émis à</w:t>
      </w:r>
      <w:r w:rsidR="009A0B2C">
        <w:rPr>
          <w:sz w:val="24"/>
          <w:szCs w:val="24"/>
        </w:rPr>
        <w:t xml:space="preserve"> </w:t>
      </w:r>
      <w:r w:rsidRPr="00430C7A">
        <w:rPr>
          <w:sz w:val="24"/>
          <w:szCs w:val="24"/>
        </w:rPr>
        <w:t>l'encontre de plusieurs comptables sur un même exercice pourrait conduire, en fonction des dates des accusés de réception, à ce que la responsabilité des uns puisse être engagée et non pas celle des autres</w:t>
      </w:r>
      <w:r w:rsidR="009A0B2C">
        <w:rPr>
          <w:sz w:val="24"/>
          <w:szCs w:val="24"/>
        </w:rPr>
        <w:t> ;</w:t>
      </w:r>
    </w:p>
    <w:p w:rsidR="00CE0902" w:rsidRPr="00430C7A" w:rsidRDefault="00CE0902" w:rsidP="003A0814">
      <w:pPr>
        <w:spacing w:before="120" w:after="480"/>
        <w:ind w:left="1701" w:firstLine="1134"/>
        <w:jc w:val="both"/>
        <w:rPr>
          <w:sz w:val="26"/>
          <w:szCs w:val="24"/>
        </w:rPr>
      </w:pPr>
      <w:r w:rsidRPr="00430C7A">
        <w:rPr>
          <w:sz w:val="24"/>
          <w:szCs w:val="24"/>
        </w:rPr>
        <w:t>Considérant que ce débat est sans effet sur les circonstances de l'espèce dans laquelle la prescription extinctive du compte 2006 était acquise à la date de l'accusé de réception du réquisitoire  par le comptable</w:t>
      </w:r>
      <w:r w:rsidR="009A0B2C">
        <w:rPr>
          <w:sz w:val="24"/>
          <w:szCs w:val="24"/>
        </w:rPr>
        <w:t> ;</w:t>
      </w:r>
    </w:p>
    <w:p w:rsidR="00343BEB" w:rsidRPr="00430C7A" w:rsidRDefault="003A0814" w:rsidP="003A0814">
      <w:pPr>
        <w:spacing w:before="120" w:after="480"/>
        <w:ind w:left="1701" w:firstLine="1134"/>
        <w:jc w:val="both"/>
        <w:rPr>
          <w:sz w:val="24"/>
          <w:szCs w:val="24"/>
        </w:rPr>
      </w:pPr>
      <w:r w:rsidRPr="00430C7A">
        <w:rPr>
          <w:sz w:val="24"/>
          <w:szCs w:val="24"/>
        </w:rPr>
        <w:t xml:space="preserve">Considérant qu’il résulte de l’ensemble des éléments ainsi rappelé que c’est à tort que la chambre régionale des comptes </w:t>
      </w:r>
      <w:r w:rsidR="003676F0">
        <w:rPr>
          <w:sz w:val="24"/>
          <w:szCs w:val="24"/>
        </w:rPr>
        <w:br/>
      </w:r>
      <w:r w:rsidRPr="00430C7A">
        <w:rPr>
          <w:sz w:val="24"/>
          <w:szCs w:val="24"/>
        </w:rPr>
        <w:t xml:space="preserve">de Basse-Normandie, Haute-Normandie </w:t>
      </w:r>
      <w:r w:rsidR="00343BEB" w:rsidRPr="00430C7A">
        <w:rPr>
          <w:sz w:val="24"/>
          <w:szCs w:val="24"/>
        </w:rPr>
        <w:t>a motivé sa décision en affirmant que « </w:t>
      </w:r>
      <w:r w:rsidRPr="00AA7277">
        <w:rPr>
          <w:i/>
          <w:sz w:val="24"/>
          <w:szCs w:val="24"/>
        </w:rPr>
        <w:t>la date de transmission du réquisitoire au greffe de la chambre a pour effet d’interrompre la prescription prévue à l’article</w:t>
      </w:r>
      <w:r w:rsidR="003676F0" w:rsidRPr="00430C7A">
        <w:rPr>
          <w:i/>
          <w:sz w:val="24"/>
          <w:szCs w:val="24"/>
        </w:rPr>
        <w:t> </w:t>
      </w:r>
      <w:r w:rsidRPr="00AA7277">
        <w:rPr>
          <w:i/>
          <w:sz w:val="24"/>
          <w:szCs w:val="24"/>
        </w:rPr>
        <w:t>60</w:t>
      </w:r>
      <w:r w:rsidR="003676F0" w:rsidRPr="00430C7A">
        <w:rPr>
          <w:i/>
          <w:sz w:val="24"/>
          <w:szCs w:val="24"/>
        </w:rPr>
        <w:t> </w:t>
      </w:r>
      <w:r w:rsidRPr="00AA7277">
        <w:rPr>
          <w:i/>
          <w:sz w:val="24"/>
          <w:szCs w:val="24"/>
        </w:rPr>
        <w:t>IV</w:t>
      </w:r>
      <w:r w:rsidR="00343BEB" w:rsidRPr="00430C7A">
        <w:rPr>
          <w:i/>
          <w:sz w:val="24"/>
          <w:szCs w:val="24"/>
        </w:rPr>
        <w:t xml:space="preserve"> de la loi du 23</w:t>
      </w:r>
      <w:r w:rsidR="003676F0" w:rsidRPr="00430C7A">
        <w:rPr>
          <w:i/>
          <w:sz w:val="24"/>
          <w:szCs w:val="24"/>
        </w:rPr>
        <w:t> </w:t>
      </w:r>
      <w:r w:rsidR="00343BEB" w:rsidRPr="00AA7277">
        <w:rPr>
          <w:i/>
          <w:sz w:val="24"/>
          <w:szCs w:val="24"/>
        </w:rPr>
        <w:t>février</w:t>
      </w:r>
      <w:r w:rsidR="003676F0" w:rsidRPr="00430C7A">
        <w:rPr>
          <w:i/>
          <w:sz w:val="24"/>
          <w:szCs w:val="24"/>
        </w:rPr>
        <w:t> </w:t>
      </w:r>
      <w:r w:rsidR="00343BEB" w:rsidRPr="00AA7277">
        <w:rPr>
          <w:i/>
          <w:sz w:val="24"/>
          <w:szCs w:val="24"/>
        </w:rPr>
        <w:t>1963</w:t>
      </w:r>
      <w:r w:rsidRPr="00430C7A">
        <w:rPr>
          <w:i/>
          <w:sz w:val="24"/>
          <w:szCs w:val="24"/>
        </w:rPr>
        <w:t xml:space="preserve"> précité</w:t>
      </w:r>
      <w:r w:rsidR="00343BEB" w:rsidRPr="00430C7A">
        <w:rPr>
          <w:i/>
          <w:sz w:val="24"/>
          <w:szCs w:val="24"/>
        </w:rPr>
        <w:t>e</w:t>
      </w:r>
      <w:r w:rsidR="00343BEB" w:rsidRPr="00430C7A">
        <w:rPr>
          <w:sz w:val="24"/>
          <w:szCs w:val="24"/>
        </w:rPr>
        <w:t> »</w:t>
      </w:r>
      <w:r w:rsidR="003676F0">
        <w:rPr>
          <w:sz w:val="24"/>
          <w:szCs w:val="24"/>
        </w:rPr>
        <w:t> ;</w:t>
      </w:r>
    </w:p>
    <w:p w:rsidR="00343BEB" w:rsidRPr="00430C7A" w:rsidRDefault="00343BEB" w:rsidP="003A0814">
      <w:pPr>
        <w:spacing w:before="120" w:after="480"/>
        <w:ind w:left="1701" w:firstLine="1134"/>
        <w:jc w:val="both"/>
        <w:rPr>
          <w:sz w:val="24"/>
          <w:szCs w:val="24"/>
        </w:rPr>
      </w:pPr>
      <w:r w:rsidRPr="00430C7A">
        <w:rPr>
          <w:sz w:val="24"/>
          <w:szCs w:val="24"/>
        </w:rPr>
        <w:t>Considérant qu'en statuant ainsi, la chambre régionale des comptes a commis une erreur de droit et qu'il y a donc lieu d'infirmer le jugement pour ce motif ;</w:t>
      </w:r>
    </w:p>
    <w:p w:rsidR="00343BEB" w:rsidRPr="00430C7A" w:rsidRDefault="00343BEB" w:rsidP="003A0814">
      <w:pPr>
        <w:spacing w:before="120" w:after="480"/>
        <w:ind w:left="1701" w:firstLine="1134"/>
        <w:jc w:val="both"/>
        <w:rPr>
          <w:sz w:val="24"/>
          <w:szCs w:val="24"/>
        </w:rPr>
      </w:pPr>
      <w:r w:rsidRPr="00430C7A">
        <w:rPr>
          <w:sz w:val="24"/>
          <w:szCs w:val="24"/>
        </w:rPr>
        <w:t>Considérant qu'il appartient à la Cour, par l'effet dévolutif de l'appel, de se prononcer sur la charge soulevée dans le réquisitoire</w:t>
      </w:r>
      <w:r w:rsidR="009A0B2C">
        <w:rPr>
          <w:sz w:val="24"/>
          <w:szCs w:val="24"/>
        </w:rPr>
        <w:t xml:space="preserve"> </w:t>
      </w:r>
      <w:r w:rsidRPr="00430C7A">
        <w:rPr>
          <w:sz w:val="24"/>
          <w:szCs w:val="24"/>
        </w:rPr>
        <w:t>n°</w:t>
      </w:r>
      <w:r w:rsidR="003676F0">
        <w:rPr>
          <w:sz w:val="24"/>
          <w:szCs w:val="24"/>
        </w:rPr>
        <w:t> </w:t>
      </w:r>
      <w:r w:rsidRPr="00430C7A">
        <w:rPr>
          <w:sz w:val="24"/>
          <w:szCs w:val="24"/>
        </w:rPr>
        <w:t>2012-039 du 20</w:t>
      </w:r>
      <w:r w:rsidR="009A0B2C">
        <w:rPr>
          <w:sz w:val="24"/>
          <w:szCs w:val="24"/>
        </w:rPr>
        <w:t xml:space="preserve"> </w:t>
      </w:r>
      <w:r w:rsidRPr="00430C7A">
        <w:rPr>
          <w:sz w:val="24"/>
          <w:szCs w:val="24"/>
        </w:rPr>
        <w:t>décembre</w:t>
      </w:r>
      <w:r w:rsidR="009A0B2C">
        <w:rPr>
          <w:sz w:val="24"/>
          <w:szCs w:val="24"/>
        </w:rPr>
        <w:t xml:space="preserve"> </w:t>
      </w:r>
      <w:r w:rsidRPr="00430C7A">
        <w:rPr>
          <w:sz w:val="24"/>
          <w:szCs w:val="24"/>
        </w:rPr>
        <w:t xml:space="preserve">2012 du </w:t>
      </w:r>
      <w:r w:rsidR="00430C7A">
        <w:rPr>
          <w:sz w:val="24"/>
          <w:szCs w:val="24"/>
        </w:rPr>
        <w:t>P</w:t>
      </w:r>
      <w:r w:rsidRPr="00430C7A">
        <w:rPr>
          <w:sz w:val="24"/>
          <w:szCs w:val="24"/>
        </w:rPr>
        <w:t>rocureur financier près la chambre régionale des comptes de Basse-Normandie, Haute-Normandie</w:t>
      </w:r>
      <w:r w:rsidR="009A0B2C">
        <w:rPr>
          <w:sz w:val="24"/>
          <w:szCs w:val="24"/>
        </w:rPr>
        <w:t> ;</w:t>
      </w:r>
    </w:p>
    <w:p w:rsidR="003A0814" w:rsidRPr="00430C7A" w:rsidRDefault="00192FB3" w:rsidP="003A0814">
      <w:pPr>
        <w:spacing w:before="120" w:after="480"/>
        <w:ind w:left="1701" w:firstLine="1134"/>
        <w:jc w:val="both"/>
        <w:rPr>
          <w:sz w:val="24"/>
          <w:szCs w:val="24"/>
        </w:rPr>
      </w:pPr>
      <w:r w:rsidRPr="00430C7A">
        <w:rPr>
          <w:sz w:val="24"/>
          <w:szCs w:val="24"/>
        </w:rPr>
        <w:t>Considérant que,</w:t>
      </w:r>
      <w:r w:rsidR="00D9697C" w:rsidRPr="00430C7A">
        <w:rPr>
          <w:sz w:val="24"/>
          <w:szCs w:val="24"/>
        </w:rPr>
        <w:t xml:space="preserve"> compte tenu des circonstances précitées,</w:t>
      </w:r>
      <w:r w:rsidRPr="00430C7A">
        <w:rPr>
          <w:sz w:val="24"/>
          <w:szCs w:val="24"/>
        </w:rPr>
        <w:t xml:space="preserve"> sans qu'il soit besoin d'examiner les autres moyens,</w:t>
      </w:r>
      <w:r w:rsidR="003A0814" w:rsidRPr="00430C7A">
        <w:rPr>
          <w:sz w:val="24"/>
          <w:szCs w:val="24"/>
        </w:rPr>
        <w:t xml:space="preserve"> M.</w:t>
      </w:r>
      <w:r w:rsidR="003676F0">
        <w:rPr>
          <w:sz w:val="24"/>
          <w:szCs w:val="24"/>
        </w:rPr>
        <w:t> </w:t>
      </w:r>
      <w:r w:rsidR="009638C3">
        <w:rPr>
          <w:sz w:val="24"/>
          <w:szCs w:val="24"/>
        </w:rPr>
        <w:t>X</w:t>
      </w:r>
      <w:r w:rsidR="003A0814" w:rsidRPr="00430C7A">
        <w:rPr>
          <w:sz w:val="24"/>
          <w:szCs w:val="24"/>
        </w:rPr>
        <w:t xml:space="preserve"> doit être considéré comme déchargé de sa gestion pour 2006 par effet de la loi ;</w:t>
      </w:r>
    </w:p>
    <w:p w:rsidR="006B04B9" w:rsidRPr="00DF73BD" w:rsidRDefault="006B04B9" w:rsidP="006B04B9">
      <w:pPr>
        <w:pStyle w:val="PS"/>
        <w:ind w:left="0" w:firstLine="2835"/>
        <w:rPr>
          <w:rFonts w:ascii="Times New Roman" w:hAnsi="Times New Roman"/>
          <w:szCs w:val="24"/>
        </w:rPr>
      </w:pPr>
      <w:r w:rsidRPr="00DF73BD">
        <w:rPr>
          <w:rFonts w:ascii="Times New Roman" w:hAnsi="Times New Roman"/>
          <w:szCs w:val="24"/>
        </w:rPr>
        <w:t>Par ces motifs,</w:t>
      </w:r>
    </w:p>
    <w:p w:rsidR="00192FB3" w:rsidRPr="00DF73BD" w:rsidRDefault="003676F0" w:rsidP="006B04B9">
      <w:pPr>
        <w:pStyle w:val="PS"/>
        <w:spacing w:after="360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8B7AD3">
        <w:rPr>
          <w:rFonts w:ascii="Times New Roman" w:hAnsi="Times New Roman"/>
        </w:rPr>
        <w:t>É</w:t>
      </w:r>
      <w:r>
        <w:rPr>
          <w:rFonts w:ascii="Times New Roman" w:hAnsi="Times New Roman"/>
        </w:rPr>
        <w:t>CIDE</w:t>
      </w:r>
      <w:r w:rsidR="00192FB3">
        <w:rPr>
          <w:rFonts w:ascii="Times New Roman" w:hAnsi="Times New Roman"/>
        </w:rPr>
        <w:t> :</w:t>
      </w:r>
    </w:p>
    <w:p w:rsidR="006B04B9" w:rsidRPr="00430C7A" w:rsidRDefault="006B04B9" w:rsidP="009A0B2C">
      <w:pPr>
        <w:pStyle w:val="PS"/>
        <w:tabs>
          <w:tab w:val="left" w:pos="2835"/>
          <w:tab w:val="left" w:pos="3544"/>
        </w:tabs>
        <w:spacing w:after="0"/>
        <w:ind w:firstLine="0"/>
        <w:rPr>
          <w:rFonts w:ascii="Times New Roman" w:hAnsi="Times New Roman"/>
        </w:rPr>
      </w:pPr>
      <w:r w:rsidRPr="009A0B2C">
        <w:rPr>
          <w:rFonts w:ascii="Times New Roman" w:hAnsi="Times New Roman"/>
          <w:b/>
          <w:u w:val="single"/>
        </w:rPr>
        <w:t>Article 1</w:t>
      </w:r>
      <w:r w:rsidRPr="00430C7A">
        <w:rPr>
          <w:rFonts w:ascii="Times New Roman" w:hAnsi="Times New Roman"/>
          <w:b/>
        </w:rPr>
        <w:t> </w:t>
      </w:r>
      <w:r w:rsidR="003A0814" w:rsidRPr="00430C7A">
        <w:rPr>
          <w:rFonts w:ascii="Times New Roman" w:hAnsi="Times New Roman"/>
          <w:b/>
        </w:rPr>
        <w:t>-</w:t>
      </w:r>
      <w:r w:rsidR="009A0B2C">
        <w:rPr>
          <w:rFonts w:ascii="Times New Roman" w:hAnsi="Times New Roman"/>
          <w:b/>
        </w:rPr>
        <w:t xml:space="preserve"> </w:t>
      </w:r>
      <w:r w:rsidRPr="00430C7A">
        <w:rPr>
          <w:rFonts w:ascii="Times New Roman" w:hAnsi="Times New Roman"/>
        </w:rPr>
        <w:t>L</w:t>
      </w:r>
      <w:r w:rsidR="003A0814" w:rsidRPr="00430C7A">
        <w:rPr>
          <w:szCs w:val="24"/>
        </w:rPr>
        <w:t xml:space="preserve">e jugement de la chambre régionale des comptes </w:t>
      </w:r>
      <w:r w:rsidR="003A0814" w:rsidRPr="00430C7A">
        <w:rPr>
          <w:rFonts w:ascii="Times New Roman" w:hAnsi="Times New Roman"/>
          <w:szCs w:val="24"/>
        </w:rPr>
        <w:t>de</w:t>
      </w:r>
      <w:r w:rsidR="003676F0">
        <w:rPr>
          <w:rFonts w:ascii="Times New Roman" w:hAnsi="Times New Roman"/>
          <w:szCs w:val="24"/>
        </w:rPr>
        <w:t> </w:t>
      </w:r>
      <w:r w:rsidR="003A0814" w:rsidRPr="00430C7A">
        <w:rPr>
          <w:rFonts w:ascii="Times New Roman" w:hAnsi="Times New Roman"/>
          <w:szCs w:val="24"/>
        </w:rPr>
        <w:t>Basse-Normandie, Haute-Normandie</w:t>
      </w:r>
      <w:r w:rsidR="003A0814" w:rsidRPr="00430C7A">
        <w:rPr>
          <w:szCs w:val="24"/>
        </w:rPr>
        <w:t xml:space="preserve"> </w:t>
      </w:r>
      <w:r w:rsidR="003A0814" w:rsidRPr="00430C7A">
        <w:rPr>
          <w:rFonts w:ascii="Times New Roman" w:hAnsi="Times New Roman"/>
          <w:szCs w:val="24"/>
        </w:rPr>
        <w:t>n</w:t>
      </w:r>
      <w:r w:rsidR="003676F0" w:rsidRPr="00430C7A">
        <w:rPr>
          <w:rFonts w:ascii="Times New Roman" w:hAnsi="Times New Roman"/>
          <w:szCs w:val="24"/>
        </w:rPr>
        <w:t>° </w:t>
      </w:r>
      <w:r w:rsidR="003A0814" w:rsidRPr="00430C7A">
        <w:rPr>
          <w:rFonts w:ascii="Times New Roman" w:hAnsi="Times New Roman"/>
          <w:szCs w:val="24"/>
        </w:rPr>
        <w:t>2013-0021</w:t>
      </w:r>
      <w:r w:rsidR="003A0814" w:rsidRPr="00430C7A">
        <w:rPr>
          <w:szCs w:val="24"/>
        </w:rPr>
        <w:t xml:space="preserve"> </w:t>
      </w:r>
      <w:r w:rsidR="003A0814" w:rsidRPr="00430C7A">
        <w:rPr>
          <w:rFonts w:ascii="Times New Roman" w:hAnsi="Times New Roman"/>
          <w:szCs w:val="24"/>
        </w:rPr>
        <w:t>du 27</w:t>
      </w:r>
      <w:r w:rsidR="009A0B2C">
        <w:rPr>
          <w:rFonts w:ascii="Times New Roman" w:hAnsi="Times New Roman"/>
          <w:szCs w:val="24"/>
        </w:rPr>
        <w:t xml:space="preserve"> </w:t>
      </w:r>
      <w:r w:rsidR="003A0814" w:rsidRPr="00430C7A">
        <w:rPr>
          <w:rFonts w:ascii="Times New Roman" w:hAnsi="Times New Roman"/>
          <w:szCs w:val="24"/>
        </w:rPr>
        <w:t>septembre</w:t>
      </w:r>
      <w:r w:rsidR="009A0B2C">
        <w:rPr>
          <w:rFonts w:ascii="Times New Roman" w:hAnsi="Times New Roman"/>
          <w:szCs w:val="24"/>
        </w:rPr>
        <w:t xml:space="preserve"> </w:t>
      </w:r>
      <w:r w:rsidR="003A0814" w:rsidRPr="00430C7A">
        <w:rPr>
          <w:rFonts w:ascii="Times New Roman" w:hAnsi="Times New Roman"/>
          <w:szCs w:val="24"/>
        </w:rPr>
        <w:t>2013</w:t>
      </w:r>
      <w:r w:rsidR="003A0814" w:rsidRPr="00430C7A">
        <w:rPr>
          <w:szCs w:val="24"/>
        </w:rPr>
        <w:t xml:space="preserve"> est infirmé</w:t>
      </w:r>
      <w:r w:rsidR="00192FB3" w:rsidRPr="00430C7A">
        <w:rPr>
          <w:szCs w:val="24"/>
        </w:rPr>
        <w:t xml:space="preserve"> en tant qu'il n'a pas retenu la prescription extinctive du compte</w:t>
      </w:r>
      <w:r w:rsidR="009A0B2C">
        <w:rPr>
          <w:szCs w:val="24"/>
        </w:rPr>
        <w:t xml:space="preserve"> </w:t>
      </w:r>
      <w:r w:rsidR="00192FB3" w:rsidRPr="00430C7A">
        <w:rPr>
          <w:szCs w:val="24"/>
        </w:rPr>
        <w:t>2006, alors que celle-ci était acquise.</w:t>
      </w:r>
    </w:p>
    <w:p w:rsidR="006B04B9" w:rsidRPr="00192FB3" w:rsidRDefault="006B04B9" w:rsidP="009A0B2C">
      <w:pPr>
        <w:pStyle w:val="PS"/>
        <w:tabs>
          <w:tab w:val="left" w:pos="1560"/>
          <w:tab w:val="left" w:pos="3544"/>
        </w:tabs>
        <w:spacing w:after="0"/>
        <w:ind w:firstLine="0"/>
        <w:rPr>
          <w:rFonts w:ascii="Times New Roman" w:hAnsi="Times New Roman"/>
          <w:i/>
        </w:rPr>
      </w:pPr>
    </w:p>
    <w:p w:rsidR="003A0814" w:rsidRPr="005002F5" w:rsidRDefault="003A0814" w:rsidP="009A0B2C">
      <w:pPr>
        <w:pStyle w:val="PS"/>
        <w:tabs>
          <w:tab w:val="left" w:pos="1560"/>
        </w:tabs>
        <w:spacing w:after="0"/>
        <w:ind w:firstLine="0"/>
        <w:rPr>
          <w:rFonts w:ascii="Times New Roman" w:hAnsi="Times New Roman"/>
        </w:rPr>
      </w:pPr>
      <w:r w:rsidRPr="009A0B2C">
        <w:rPr>
          <w:rFonts w:ascii="Times New Roman" w:hAnsi="Times New Roman"/>
          <w:b/>
          <w:u w:val="single"/>
        </w:rPr>
        <w:t>Article 2</w:t>
      </w:r>
      <w:r>
        <w:rPr>
          <w:rFonts w:ascii="Times New Roman" w:hAnsi="Times New Roman"/>
          <w:b/>
        </w:rPr>
        <w:t> </w:t>
      </w:r>
      <w:r w:rsidR="005002F5" w:rsidRPr="005002F5">
        <w:rPr>
          <w:rFonts w:ascii="Times New Roman" w:hAnsi="Times New Roman"/>
        </w:rPr>
        <w:t>-</w:t>
      </w:r>
      <w:r w:rsidR="009A0B2C">
        <w:rPr>
          <w:rFonts w:ascii="Times New Roman" w:hAnsi="Times New Roman"/>
        </w:rPr>
        <w:t xml:space="preserve"> </w:t>
      </w:r>
      <w:r w:rsidRPr="005002F5">
        <w:rPr>
          <w:rFonts w:ascii="Times New Roman" w:hAnsi="Times New Roman"/>
        </w:rPr>
        <w:t>M.</w:t>
      </w:r>
      <w:r w:rsidR="003676F0">
        <w:rPr>
          <w:rFonts w:ascii="Times New Roman" w:hAnsi="Times New Roman"/>
        </w:rPr>
        <w:t> </w:t>
      </w:r>
      <w:r w:rsidR="009638C3">
        <w:rPr>
          <w:rFonts w:ascii="Times New Roman" w:hAnsi="Times New Roman"/>
        </w:rPr>
        <w:t>X</w:t>
      </w:r>
      <w:r w:rsidRPr="005002F5">
        <w:rPr>
          <w:rFonts w:ascii="Times New Roman" w:hAnsi="Times New Roman"/>
        </w:rPr>
        <w:t xml:space="preserve"> </w:t>
      </w:r>
      <w:r w:rsidR="005002F5" w:rsidRPr="005002F5">
        <w:rPr>
          <w:rFonts w:ascii="Times New Roman" w:hAnsi="Times New Roman"/>
        </w:rPr>
        <w:t xml:space="preserve">est </w:t>
      </w:r>
      <w:r w:rsidR="00EA3DC3">
        <w:rPr>
          <w:rFonts w:ascii="Times New Roman" w:hAnsi="Times New Roman"/>
        </w:rPr>
        <w:t xml:space="preserve">réputé </w:t>
      </w:r>
      <w:r w:rsidR="005002F5" w:rsidRPr="005002F5">
        <w:rPr>
          <w:rFonts w:ascii="Times New Roman" w:hAnsi="Times New Roman"/>
        </w:rPr>
        <w:t>déchargé de sa gestion pour</w:t>
      </w:r>
      <w:r w:rsidR="009A0B2C">
        <w:rPr>
          <w:rFonts w:ascii="Times New Roman" w:hAnsi="Times New Roman"/>
        </w:rPr>
        <w:t xml:space="preserve"> </w:t>
      </w:r>
      <w:r w:rsidR="005002F5" w:rsidRPr="005002F5">
        <w:rPr>
          <w:rFonts w:ascii="Times New Roman" w:hAnsi="Times New Roman"/>
        </w:rPr>
        <w:t xml:space="preserve">2006 </w:t>
      </w:r>
      <w:r w:rsidR="00192FB3">
        <w:rPr>
          <w:rFonts w:ascii="Times New Roman" w:hAnsi="Times New Roman"/>
        </w:rPr>
        <w:t>par effet</w:t>
      </w:r>
      <w:r w:rsidR="005002F5" w:rsidRPr="005002F5">
        <w:rPr>
          <w:rFonts w:ascii="Times New Roman" w:hAnsi="Times New Roman"/>
        </w:rPr>
        <w:t xml:space="preserve"> de la loi.</w:t>
      </w:r>
    </w:p>
    <w:p w:rsidR="006B04B9" w:rsidRDefault="006B04B9" w:rsidP="009A0B2C">
      <w:pPr>
        <w:pStyle w:val="PS"/>
        <w:tabs>
          <w:tab w:val="left" w:pos="2835"/>
          <w:tab w:val="left" w:pos="3544"/>
        </w:tabs>
        <w:spacing w:after="0"/>
        <w:ind w:firstLine="0"/>
        <w:rPr>
          <w:rFonts w:ascii="Times New Roman" w:hAnsi="Times New Roman"/>
        </w:rPr>
      </w:pPr>
    </w:p>
    <w:p w:rsidR="006B04B9" w:rsidRPr="00DF73BD" w:rsidRDefault="006B04B9" w:rsidP="009A0B2C">
      <w:pPr>
        <w:pStyle w:val="PS"/>
        <w:tabs>
          <w:tab w:val="left" w:pos="2835"/>
          <w:tab w:val="left" w:pos="3544"/>
        </w:tabs>
        <w:spacing w:after="0"/>
        <w:ind w:firstLine="0"/>
        <w:rPr>
          <w:rFonts w:ascii="Times New Roman" w:hAnsi="Times New Roman"/>
        </w:rPr>
      </w:pPr>
    </w:p>
    <w:p w:rsidR="006B04B9" w:rsidRDefault="006B04B9" w:rsidP="009A0B2C">
      <w:pPr>
        <w:ind w:left="1701"/>
        <w:jc w:val="center"/>
        <w:rPr>
          <w:rFonts w:ascii="CG Times (WN)" w:hAnsi="CG Times (WN)"/>
          <w:sz w:val="24"/>
        </w:rPr>
      </w:pPr>
      <w:r>
        <w:rPr>
          <w:szCs w:val="24"/>
        </w:rPr>
        <w:t>----------------</w:t>
      </w:r>
    </w:p>
    <w:p w:rsidR="006B04B9" w:rsidRDefault="006B04B9" w:rsidP="009A0B2C">
      <w:pPr>
        <w:pStyle w:val="PS"/>
        <w:spacing w:after="0"/>
        <w:ind w:firstLine="0"/>
        <w:jc w:val="center"/>
        <w:rPr>
          <w:rFonts w:ascii="Times New Roman" w:hAnsi="Times New Roman"/>
          <w:szCs w:val="24"/>
        </w:rPr>
      </w:pPr>
    </w:p>
    <w:p w:rsidR="003676F0" w:rsidRPr="00DF73BD" w:rsidRDefault="003676F0" w:rsidP="009A0B2C">
      <w:pPr>
        <w:pStyle w:val="PS"/>
        <w:spacing w:after="0"/>
        <w:ind w:firstLine="0"/>
        <w:jc w:val="center"/>
        <w:rPr>
          <w:rFonts w:ascii="Times New Roman" w:hAnsi="Times New Roman"/>
          <w:szCs w:val="24"/>
        </w:rPr>
      </w:pPr>
    </w:p>
    <w:p w:rsidR="006B04B9" w:rsidRDefault="006B04B9" w:rsidP="009A0B2C">
      <w:pPr>
        <w:pStyle w:val="PS"/>
        <w:spacing w:after="360"/>
        <w:ind w:firstLine="0"/>
        <w:rPr>
          <w:rFonts w:ascii="Times New Roman" w:hAnsi="Times New Roman"/>
          <w:szCs w:val="24"/>
        </w:rPr>
      </w:pPr>
      <w:r w:rsidRPr="00422C71">
        <w:rPr>
          <w:rFonts w:ascii="Times New Roman" w:hAnsi="Times New Roman"/>
        </w:rPr>
        <w:t xml:space="preserve">Fait et jugé en la Cour des comptes, </w:t>
      </w:r>
      <w:r w:rsidR="00192FB3">
        <w:rPr>
          <w:rFonts w:ascii="Times New Roman" w:hAnsi="Times New Roman"/>
        </w:rPr>
        <w:t>chambres réunies, formation plénière</w:t>
      </w:r>
      <w:r w:rsidR="00C300B4">
        <w:rPr>
          <w:rFonts w:ascii="Times New Roman" w:hAnsi="Times New Roman"/>
        </w:rPr>
        <w:t xml:space="preserve">. </w:t>
      </w:r>
      <w:r w:rsidRPr="00422C71">
        <w:rPr>
          <w:rFonts w:ascii="Times New Roman" w:hAnsi="Times New Roman"/>
        </w:rPr>
        <w:t>Présents</w:t>
      </w:r>
      <w:r w:rsidR="009A0B2C">
        <w:rPr>
          <w:rFonts w:ascii="Times New Roman" w:hAnsi="Times New Roman"/>
        </w:rPr>
        <w:t> </w:t>
      </w:r>
      <w:r w:rsidR="005002F5" w:rsidRPr="00422C71">
        <w:rPr>
          <w:rFonts w:ascii="Times New Roman" w:hAnsi="Times New Roman"/>
        </w:rPr>
        <w:t>:</w:t>
      </w:r>
      <w:r w:rsidR="003676F0">
        <w:rPr>
          <w:rFonts w:ascii="Times New Roman" w:hAnsi="Times New Roman"/>
        </w:rPr>
        <w:t xml:space="preserve"> </w:t>
      </w:r>
      <w:r w:rsidR="009A0B2C">
        <w:rPr>
          <w:rFonts w:ascii="Times New Roman" w:hAnsi="Times New Roman"/>
        </w:rPr>
        <w:t>M</w:t>
      </w:r>
      <w:r w:rsidR="00192FB3">
        <w:rPr>
          <w:rFonts w:ascii="Times New Roman" w:hAnsi="Times New Roman"/>
        </w:rPr>
        <w:t>M.</w:t>
      </w:r>
      <w:r w:rsidR="003676F0">
        <w:rPr>
          <w:rFonts w:ascii="Times New Roman" w:hAnsi="Times New Roman"/>
        </w:rPr>
        <w:t> </w:t>
      </w:r>
      <w:r w:rsidR="00192FB3">
        <w:rPr>
          <w:rFonts w:ascii="Times New Roman" w:hAnsi="Times New Roman"/>
        </w:rPr>
        <w:t>Migaud</w:t>
      </w:r>
      <w:r w:rsidR="00D542AF">
        <w:rPr>
          <w:rFonts w:ascii="Times New Roman" w:hAnsi="Times New Roman"/>
        </w:rPr>
        <w:t>,</w:t>
      </w:r>
      <w:r w:rsidR="00192FB3">
        <w:rPr>
          <w:rFonts w:ascii="Times New Roman" w:hAnsi="Times New Roman"/>
        </w:rPr>
        <w:t xml:space="preserve"> </w:t>
      </w:r>
      <w:r w:rsidR="003676F0">
        <w:rPr>
          <w:rFonts w:ascii="Times New Roman" w:hAnsi="Times New Roman"/>
        </w:rPr>
        <w:t>P</w:t>
      </w:r>
      <w:r w:rsidR="00192FB3">
        <w:rPr>
          <w:rFonts w:ascii="Times New Roman" w:hAnsi="Times New Roman"/>
        </w:rPr>
        <w:t>remier président,</w:t>
      </w:r>
      <w:r w:rsidR="003676F0">
        <w:rPr>
          <w:rFonts w:ascii="Times New Roman" w:hAnsi="Times New Roman"/>
        </w:rPr>
        <w:t xml:space="preserve"> </w:t>
      </w:r>
      <w:r w:rsidR="00430C7A">
        <w:rPr>
          <w:rFonts w:ascii="Times New Roman" w:hAnsi="Times New Roman"/>
        </w:rPr>
        <w:t xml:space="preserve">présidant la séance, </w:t>
      </w:r>
      <w:r w:rsidR="0035747A">
        <w:rPr>
          <w:rFonts w:ascii="Times New Roman" w:hAnsi="Times New Roman"/>
        </w:rPr>
        <w:t xml:space="preserve">Durrleman, Briet, Vachia, </w:t>
      </w:r>
      <w:r w:rsidR="00192FB3">
        <w:rPr>
          <w:rFonts w:ascii="Times New Roman" w:hAnsi="Times New Roman"/>
        </w:rPr>
        <w:t>président</w:t>
      </w:r>
      <w:r w:rsidR="00855A6D">
        <w:rPr>
          <w:rFonts w:ascii="Times New Roman" w:hAnsi="Times New Roman"/>
        </w:rPr>
        <w:t>s</w:t>
      </w:r>
      <w:r w:rsidR="00192FB3">
        <w:rPr>
          <w:rFonts w:ascii="Times New Roman" w:hAnsi="Times New Roman"/>
        </w:rPr>
        <w:t xml:space="preserve"> de chambre,</w:t>
      </w:r>
      <w:r w:rsidRPr="00422C71">
        <w:rPr>
          <w:rFonts w:ascii="Times New Roman" w:hAnsi="Times New Roman"/>
        </w:rPr>
        <w:t xml:space="preserve"> </w:t>
      </w:r>
      <w:r w:rsidR="009A0B2C" w:rsidRPr="009A0B2C">
        <w:rPr>
          <w:rFonts w:ascii="Times New Roman" w:hAnsi="Times New Roman"/>
        </w:rPr>
        <w:t>M</w:t>
      </w:r>
      <w:r w:rsidR="009A0B2C" w:rsidRPr="009A0B2C">
        <w:rPr>
          <w:rFonts w:ascii="Times New Roman" w:hAnsi="Times New Roman"/>
          <w:vertAlign w:val="superscript"/>
        </w:rPr>
        <w:t>me</w:t>
      </w:r>
      <w:r w:rsidR="009A0B2C">
        <w:rPr>
          <w:rFonts w:ascii="Times New Roman" w:hAnsi="Times New Roman"/>
        </w:rPr>
        <w:t xml:space="preserve"> </w:t>
      </w:r>
      <w:r w:rsidR="00EA3DC3">
        <w:rPr>
          <w:rFonts w:ascii="Times New Roman" w:hAnsi="Times New Roman"/>
        </w:rPr>
        <w:t>L</w:t>
      </w:r>
      <w:r w:rsidR="009E441A">
        <w:rPr>
          <w:rFonts w:ascii="Times New Roman" w:hAnsi="Times New Roman"/>
        </w:rPr>
        <w:t>é</w:t>
      </w:r>
      <w:r w:rsidR="00EA3DC3">
        <w:rPr>
          <w:rFonts w:ascii="Times New Roman" w:hAnsi="Times New Roman"/>
        </w:rPr>
        <w:t xml:space="preserve">vy-Rosenwald, conseillère maître, </w:t>
      </w:r>
      <w:r w:rsidR="00192FB3">
        <w:rPr>
          <w:rFonts w:ascii="Times New Roman" w:hAnsi="Times New Roman"/>
        </w:rPr>
        <w:t>MM</w:t>
      </w:r>
      <w:r w:rsidR="0035747A">
        <w:rPr>
          <w:rFonts w:ascii="Times New Roman" w:hAnsi="Times New Roman"/>
        </w:rPr>
        <w:t>.</w:t>
      </w:r>
      <w:r w:rsidR="00C300B4">
        <w:rPr>
          <w:rFonts w:ascii="Times New Roman" w:hAnsi="Times New Roman"/>
        </w:rPr>
        <w:t> </w:t>
      </w:r>
      <w:r w:rsidR="0035747A">
        <w:rPr>
          <w:rFonts w:ascii="Times New Roman" w:hAnsi="Times New Roman"/>
        </w:rPr>
        <w:t>Lafaure, Jean Gautier, Sabbe</w:t>
      </w:r>
      <w:r w:rsidR="005002F5">
        <w:rPr>
          <w:rFonts w:ascii="Times New Roman" w:hAnsi="Times New Roman"/>
        </w:rPr>
        <w:t>,</w:t>
      </w:r>
      <w:r w:rsidR="0035747A">
        <w:rPr>
          <w:rFonts w:ascii="Times New Roman" w:hAnsi="Times New Roman"/>
        </w:rPr>
        <w:t xml:space="preserve"> Rigaudiat, Baccou et Feller, </w:t>
      </w:r>
      <w:r w:rsidRPr="00422C71">
        <w:rPr>
          <w:rFonts w:ascii="Times New Roman" w:hAnsi="Times New Roman"/>
        </w:rPr>
        <w:t>conseillers maîtres.</w:t>
      </w:r>
    </w:p>
    <w:p w:rsidR="001C6A19" w:rsidRPr="002A3EC1" w:rsidRDefault="001C6A19" w:rsidP="009A0B2C">
      <w:pPr>
        <w:widowControl w:val="0"/>
        <w:spacing w:after="120"/>
        <w:ind w:left="1701"/>
        <w:jc w:val="both"/>
        <w:rPr>
          <w:sz w:val="24"/>
          <w:szCs w:val="24"/>
        </w:rPr>
      </w:pPr>
      <w:r w:rsidRPr="002A3EC1">
        <w:rPr>
          <w:sz w:val="24"/>
          <w:szCs w:val="24"/>
        </w:rPr>
        <w:t xml:space="preserve">Signé : </w:t>
      </w:r>
      <w:r>
        <w:rPr>
          <w:sz w:val="24"/>
          <w:szCs w:val="24"/>
        </w:rPr>
        <w:t>Migaud</w:t>
      </w:r>
      <w:r w:rsidRPr="002A3EC1">
        <w:rPr>
          <w:sz w:val="24"/>
          <w:szCs w:val="24"/>
        </w:rPr>
        <w:t xml:space="preserve">, président, et </w:t>
      </w:r>
      <w:r>
        <w:rPr>
          <w:sz w:val="24"/>
          <w:szCs w:val="24"/>
        </w:rPr>
        <w:t>Le Baron</w:t>
      </w:r>
      <w:r w:rsidRPr="002A3EC1">
        <w:rPr>
          <w:sz w:val="24"/>
          <w:szCs w:val="24"/>
        </w:rPr>
        <w:t>, greffier.</w:t>
      </w:r>
    </w:p>
    <w:p w:rsidR="001C6A19" w:rsidRPr="002A3EC1" w:rsidRDefault="001C6A19" w:rsidP="009A0B2C">
      <w:pPr>
        <w:widowControl w:val="0"/>
        <w:spacing w:before="120" w:after="120"/>
        <w:ind w:left="1701"/>
        <w:jc w:val="both"/>
        <w:rPr>
          <w:sz w:val="24"/>
          <w:szCs w:val="24"/>
        </w:rPr>
      </w:pPr>
      <w:r w:rsidRPr="002A3EC1">
        <w:rPr>
          <w:sz w:val="24"/>
          <w:szCs w:val="24"/>
        </w:rPr>
        <w:t>Collationné, certifié conforme à la minute étant a</w:t>
      </w:r>
      <w:r w:rsidR="0002083B">
        <w:rPr>
          <w:sz w:val="24"/>
          <w:szCs w:val="24"/>
        </w:rPr>
        <w:t>u greffe de la Cour des comptes et d</w:t>
      </w:r>
      <w:r w:rsidRPr="002A3EC1">
        <w:rPr>
          <w:sz w:val="24"/>
          <w:szCs w:val="24"/>
        </w:rPr>
        <w:t>élivré par moi, secrétaire général.</w:t>
      </w:r>
    </w:p>
    <w:p w:rsidR="001C6A19" w:rsidRDefault="001C6A19" w:rsidP="009A0B2C">
      <w:pPr>
        <w:pStyle w:val="Retraitcorpsdetexte"/>
      </w:pPr>
    </w:p>
    <w:p w:rsidR="001C6A19" w:rsidRDefault="001C6A19" w:rsidP="001C6A19">
      <w:pPr>
        <w:pStyle w:val="PS"/>
        <w:spacing w:after="0"/>
        <w:ind w:firstLine="3119"/>
        <w:jc w:val="center"/>
        <w:rPr>
          <w:b/>
          <w:bCs/>
        </w:rPr>
      </w:pPr>
      <w:r>
        <w:rPr>
          <w:b/>
          <w:bCs/>
        </w:rPr>
        <w:t>Pour le secrétaire général</w:t>
      </w:r>
    </w:p>
    <w:p w:rsidR="001C6A19" w:rsidRDefault="001C6A19" w:rsidP="001C6A19">
      <w:pPr>
        <w:pStyle w:val="PS"/>
        <w:spacing w:after="0"/>
        <w:ind w:firstLine="3119"/>
        <w:jc w:val="center"/>
        <w:rPr>
          <w:b/>
          <w:bCs/>
        </w:rPr>
      </w:pPr>
      <w:r>
        <w:rPr>
          <w:b/>
          <w:bCs/>
        </w:rPr>
        <w:t>et par délégation, la greffière principale,</w:t>
      </w:r>
    </w:p>
    <w:p w:rsidR="001C6A19" w:rsidRDefault="001C6A19" w:rsidP="001C6A19">
      <w:pPr>
        <w:pStyle w:val="PS"/>
        <w:spacing w:after="1320"/>
        <w:ind w:firstLine="3119"/>
        <w:jc w:val="center"/>
        <w:rPr>
          <w:b/>
          <w:bCs/>
        </w:rPr>
      </w:pPr>
      <w:r>
        <w:rPr>
          <w:b/>
          <w:bCs/>
        </w:rPr>
        <w:t>Chef du greffe de la Cour des comptes</w:t>
      </w:r>
    </w:p>
    <w:p w:rsidR="001C6A19" w:rsidRDefault="001C6A19" w:rsidP="001C6A19">
      <w:pPr>
        <w:pStyle w:val="PS"/>
        <w:spacing w:after="600"/>
        <w:ind w:firstLine="3261"/>
        <w:jc w:val="center"/>
        <w:rPr>
          <w:b/>
          <w:bCs/>
        </w:rPr>
      </w:pPr>
      <w:r>
        <w:rPr>
          <w:b/>
          <w:bCs/>
        </w:rPr>
        <w:t>Florence BIOT</w:t>
      </w:r>
    </w:p>
    <w:bookmarkEnd w:id="0"/>
    <w:p w:rsidR="006B04B9" w:rsidRPr="00EA3DC3" w:rsidRDefault="006B04B9" w:rsidP="00EA3DC3">
      <w:pPr>
        <w:pStyle w:val="P0"/>
        <w:ind w:left="0" w:firstLine="4253"/>
        <w:rPr>
          <w:b/>
          <w:lang w:val="fr-FR"/>
        </w:rPr>
      </w:pPr>
    </w:p>
    <w:sectPr w:rsidR="006B04B9" w:rsidRPr="00EA3DC3" w:rsidSect="006B04B9">
      <w:footerReference w:type="default" r:id="rId8"/>
      <w:pgSz w:w="11906" w:h="16838"/>
      <w:pgMar w:top="851" w:right="1418" w:bottom="567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381" w:rsidRDefault="00EE0381" w:rsidP="006B04B9">
      <w:r>
        <w:separator/>
      </w:r>
    </w:p>
  </w:endnote>
  <w:endnote w:type="continuationSeparator" w:id="0">
    <w:p w:rsidR="00EE0381" w:rsidRDefault="00EE0381" w:rsidP="006B0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4B9" w:rsidRDefault="006B04B9">
    <w:pPr>
      <w:pStyle w:val="Pieddepage"/>
      <w:jc w:val="right"/>
    </w:pPr>
    <w:r>
      <w:fldChar w:fldCharType="begin"/>
    </w:r>
    <w:r w:rsidR="007A779B">
      <w:instrText>PAGE</w:instrText>
    </w:r>
    <w:r>
      <w:instrText xml:space="preserve">   \* MERGEFORMAT</w:instrText>
    </w:r>
    <w:r>
      <w:fldChar w:fldCharType="separate"/>
    </w:r>
    <w:r w:rsidR="008A3269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381" w:rsidRDefault="00EE0381" w:rsidP="006B04B9">
      <w:r>
        <w:separator/>
      </w:r>
    </w:p>
  </w:footnote>
  <w:footnote w:type="continuationSeparator" w:id="0">
    <w:p w:rsidR="00EE0381" w:rsidRDefault="00EE0381" w:rsidP="006B04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6605B"/>
    <w:multiLevelType w:val="hybridMultilevel"/>
    <w:tmpl w:val="50C655D0"/>
    <w:lvl w:ilvl="0" w:tplc="C7ACAA3C">
      <w:numFmt w:val="bullet"/>
      <w:lvlText w:val="-"/>
      <w:lvlJc w:val="left"/>
      <w:pPr>
        <w:ind w:left="319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">
    <w:nsid w:val="09F5356B"/>
    <w:multiLevelType w:val="hybridMultilevel"/>
    <w:tmpl w:val="FB2C80C4"/>
    <w:lvl w:ilvl="0" w:tplc="040C000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61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9381" w:hanging="360"/>
      </w:pPr>
      <w:rPr>
        <w:rFonts w:ascii="Wingdings" w:hAnsi="Wingdings" w:hint="default"/>
      </w:rPr>
    </w:lvl>
  </w:abstractNum>
  <w:abstractNum w:abstractNumId="2">
    <w:nsid w:val="2E802D67"/>
    <w:multiLevelType w:val="hybridMultilevel"/>
    <w:tmpl w:val="818C679C"/>
    <w:lvl w:ilvl="0" w:tplc="4D82E2EE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F4605C"/>
    <w:multiLevelType w:val="hybridMultilevel"/>
    <w:tmpl w:val="F83CD294"/>
    <w:lvl w:ilvl="0" w:tplc="1D0EE89E">
      <w:start w:val="13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5DC0303"/>
    <w:multiLevelType w:val="multilevel"/>
    <w:tmpl w:val="496644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5">
    <w:nsid w:val="4E9E5AF0"/>
    <w:multiLevelType w:val="hybridMultilevel"/>
    <w:tmpl w:val="B816C42C"/>
    <w:lvl w:ilvl="0" w:tplc="80FA8C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B94DCE"/>
    <w:multiLevelType w:val="multilevel"/>
    <w:tmpl w:val="402C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875D27"/>
    <w:multiLevelType w:val="hybridMultilevel"/>
    <w:tmpl w:val="9962EF20"/>
    <w:lvl w:ilvl="0" w:tplc="A48E6302">
      <w:numFmt w:val="bullet"/>
      <w:lvlText w:val="-"/>
      <w:lvlJc w:val="left"/>
      <w:pPr>
        <w:ind w:left="319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8">
    <w:nsid w:val="67B85A18"/>
    <w:multiLevelType w:val="hybridMultilevel"/>
    <w:tmpl w:val="F774AD3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8F17640"/>
    <w:multiLevelType w:val="hybridMultilevel"/>
    <w:tmpl w:val="6A6AE78E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E282891"/>
    <w:multiLevelType w:val="hybridMultilevel"/>
    <w:tmpl w:val="A0AEC408"/>
    <w:lvl w:ilvl="0" w:tplc="D1BEDF00">
      <w:numFmt w:val="bullet"/>
      <w:lvlText w:val="-"/>
      <w:lvlJc w:val="left"/>
      <w:pPr>
        <w:ind w:left="3195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4"/>
  </w:num>
  <w:num w:numId="9">
    <w:abstractNumId w:val="9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gnword-docGUID" w:val="{90CA219E-4FF0-4B5D-9573-1C669B76E8B2}"/>
    <w:docVar w:name="dgnword-eventsink" w:val="131575992"/>
  </w:docVars>
  <w:rsids>
    <w:rsidRoot w:val="006C3E92"/>
    <w:rsid w:val="0002083B"/>
    <w:rsid w:val="000D00F9"/>
    <w:rsid w:val="00192FB3"/>
    <w:rsid w:val="001C6A19"/>
    <w:rsid w:val="001F2080"/>
    <w:rsid w:val="00203DAE"/>
    <w:rsid w:val="00207C2A"/>
    <w:rsid w:val="00343BEB"/>
    <w:rsid w:val="0035747A"/>
    <w:rsid w:val="003676F0"/>
    <w:rsid w:val="00381316"/>
    <w:rsid w:val="003A0814"/>
    <w:rsid w:val="003C1F8D"/>
    <w:rsid w:val="003D127E"/>
    <w:rsid w:val="00430C7A"/>
    <w:rsid w:val="004C553C"/>
    <w:rsid w:val="004F74F2"/>
    <w:rsid w:val="005002F5"/>
    <w:rsid w:val="00551627"/>
    <w:rsid w:val="005621A8"/>
    <w:rsid w:val="005E01B5"/>
    <w:rsid w:val="00630FDE"/>
    <w:rsid w:val="00681CF7"/>
    <w:rsid w:val="006A3E56"/>
    <w:rsid w:val="006B04B9"/>
    <w:rsid w:val="006C3E92"/>
    <w:rsid w:val="006F509C"/>
    <w:rsid w:val="00752B1F"/>
    <w:rsid w:val="007A779B"/>
    <w:rsid w:val="007B38BA"/>
    <w:rsid w:val="007C2079"/>
    <w:rsid w:val="007C4595"/>
    <w:rsid w:val="007C4856"/>
    <w:rsid w:val="007F1ACE"/>
    <w:rsid w:val="00855A6D"/>
    <w:rsid w:val="008A3269"/>
    <w:rsid w:val="008B7AD3"/>
    <w:rsid w:val="008D64A4"/>
    <w:rsid w:val="008F536A"/>
    <w:rsid w:val="00962D1F"/>
    <w:rsid w:val="009638C3"/>
    <w:rsid w:val="009A0B2C"/>
    <w:rsid w:val="009E441A"/>
    <w:rsid w:val="009E7AA5"/>
    <w:rsid w:val="009E7D97"/>
    <w:rsid w:val="00A12B5D"/>
    <w:rsid w:val="00AA6779"/>
    <w:rsid w:val="00AA7277"/>
    <w:rsid w:val="00AE4B9A"/>
    <w:rsid w:val="00AF6907"/>
    <w:rsid w:val="00AF7C3F"/>
    <w:rsid w:val="00B10E9B"/>
    <w:rsid w:val="00B51A72"/>
    <w:rsid w:val="00C300B4"/>
    <w:rsid w:val="00C52E82"/>
    <w:rsid w:val="00CE0902"/>
    <w:rsid w:val="00D542AF"/>
    <w:rsid w:val="00D9697C"/>
    <w:rsid w:val="00DC224A"/>
    <w:rsid w:val="00DC701F"/>
    <w:rsid w:val="00E21902"/>
    <w:rsid w:val="00E320FD"/>
    <w:rsid w:val="00E323D5"/>
    <w:rsid w:val="00E43C70"/>
    <w:rsid w:val="00E45B9A"/>
    <w:rsid w:val="00E73AC3"/>
    <w:rsid w:val="00E83802"/>
    <w:rsid w:val="00EA3DC3"/>
    <w:rsid w:val="00EB6526"/>
    <w:rsid w:val="00EC3DBA"/>
    <w:rsid w:val="00EE0381"/>
    <w:rsid w:val="00F16C63"/>
    <w:rsid w:val="00FB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A43"/>
  </w:style>
  <w:style w:type="paragraph" w:styleId="Titre1">
    <w:name w:val="heading 1"/>
    <w:basedOn w:val="Normal"/>
    <w:next w:val="Normal"/>
    <w:qFormat/>
    <w:pPr>
      <w:keepNext/>
      <w:jc w:val="right"/>
      <w:outlineLvl w:val="0"/>
    </w:pPr>
    <w:rPr>
      <w:sz w:val="24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itre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paragraph" w:styleId="Titre4">
    <w:name w:val="heading 4"/>
    <w:basedOn w:val="Normal"/>
    <w:next w:val="Normal"/>
    <w:qFormat/>
    <w:pPr>
      <w:keepNext/>
      <w:ind w:left="5670"/>
      <w:jc w:val="both"/>
      <w:outlineLvl w:val="3"/>
    </w:pPr>
    <w:rPr>
      <w:sz w:val="24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sz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</w:style>
  <w:style w:type="paragraph" w:customStyle="1" w:styleId="apostille">
    <w:name w:val="apostille"/>
    <w:basedOn w:val="Normal"/>
    <w:pPr>
      <w:spacing w:before="120"/>
      <w:jc w:val="right"/>
    </w:pPr>
    <w:rPr>
      <w:b/>
      <w:i/>
      <w:smallCaps/>
      <w:sz w:val="24"/>
    </w:rPr>
  </w:style>
  <w:style w:type="paragraph" w:customStyle="1" w:styleId="obs">
    <w:name w:val="obs"/>
    <w:basedOn w:val="Normal"/>
    <w:pPr>
      <w:spacing w:before="240" w:after="120"/>
      <w:jc w:val="both"/>
    </w:pPr>
    <w:rPr>
      <w:b/>
      <w:sz w:val="24"/>
    </w:rPr>
  </w:style>
  <w:style w:type="character" w:styleId="Appelnotedebasdep">
    <w:name w:val="footnote reference"/>
    <w:semiHidden/>
    <w:rPr>
      <w:vertAlign w:val="superscript"/>
    </w:rPr>
  </w:style>
  <w:style w:type="paragraph" w:styleId="Corpsdetexte">
    <w:name w:val="Body Text"/>
    <w:basedOn w:val="Normal"/>
    <w:pPr>
      <w:jc w:val="both"/>
    </w:pPr>
    <w:rPr>
      <w:sz w:val="24"/>
    </w:rPr>
  </w:style>
  <w:style w:type="paragraph" w:styleId="Corpsdetexte2">
    <w:name w:val="Body Text 2"/>
    <w:basedOn w:val="Normal"/>
    <w:rPr>
      <w:sz w:val="24"/>
    </w:rPr>
  </w:style>
  <w:style w:type="paragraph" w:customStyle="1" w:styleId="paragraphe">
    <w:name w:val="paragraphe"/>
    <w:rsid w:val="00847E1B"/>
    <w:pPr>
      <w:spacing w:after="240" w:line="240" w:lineRule="exact"/>
      <w:ind w:left="2268" w:firstLine="1418"/>
      <w:jc w:val="both"/>
    </w:pPr>
    <w:rPr>
      <w:rFonts w:ascii="Tms Rmn" w:hAnsi="Tms Rmn"/>
      <w:sz w:val="24"/>
    </w:rPr>
  </w:style>
  <w:style w:type="paragraph" w:styleId="Textedebulles">
    <w:name w:val="Balloon Text"/>
    <w:basedOn w:val="Normal"/>
    <w:semiHidden/>
    <w:rsid w:val="001D2A4A"/>
    <w:rPr>
      <w:rFonts w:ascii="Tahoma" w:hAnsi="Tahoma" w:cs="Tahoma"/>
      <w:sz w:val="16"/>
      <w:szCs w:val="16"/>
    </w:rPr>
  </w:style>
  <w:style w:type="paragraph" w:customStyle="1" w:styleId="PS">
    <w:name w:val="PS"/>
    <w:basedOn w:val="Normal"/>
    <w:link w:val="PSCar"/>
    <w:rsid w:val="00B82C1D"/>
    <w:pPr>
      <w:spacing w:after="480"/>
      <w:ind w:left="1701" w:firstLine="1134"/>
      <w:jc w:val="both"/>
    </w:pPr>
    <w:rPr>
      <w:rFonts w:ascii="CG Times (WN)" w:hAnsi="CG Times (WN)"/>
      <w:sz w:val="24"/>
    </w:rPr>
  </w:style>
  <w:style w:type="character" w:customStyle="1" w:styleId="PSCar">
    <w:name w:val="PS Car"/>
    <w:link w:val="PS"/>
    <w:rsid w:val="00B82C1D"/>
    <w:rPr>
      <w:rFonts w:ascii="CG Times (WN)" w:hAnsi="CG Times (WN)"/>
      <w:sz w:val="24"/>
      <w:lang w:val="fr-FR" w:eastAsia="fr-FR" w:bidi="ar-SA"/>
    </w:rPr>
  </w:style>
  <w:style w:type="paragraph" w:styleId="NormalWeb">
    <w:name w:val="Normal (Web)"/>
    <w:basedOn w:val="Normal"/>
    <w:uiPriority w:val="99"/>
    <w:rsid w:val="002E6CEF"/>
    <w:pPr>
      <w:spacing w:before="100" w:beforeAutospacing="1" w:after="100" w:afterAutospacing="1"/>
    </w:pPr>
    <w:rPr>
      <w:sz w:val="24"/>
      <w:szCs w:val="24"/>
    </w:rPr>
  </w:style>
  <w:style w:type="paragraph" w:customStyle="1" w:styleId="ps0">
    <w:name w:val="ps"/>
    <w:basedOn w:val="Normal"/>
    <w:rsid w:val="00D01634"/>
    <w:pPr>
      <w:spacing w:before="100" w:beforeAutospacing="1" w:after="100" w:afterAutospacing="1"/>
    </w:pPr>
    <w:rPr>
      <w:sz w:val="24"/>
      <w:szCs w:val="24"/>
    </w:rPr>
  </w:style>
  <w:style w:type="character" w:styleId="Lienhypertexte">
    <w:name w:val="Hyperlink"/>
    <w:rsid w:val="00D01634"/>
    <w:rPr>
      <w:color w:val="0000FF"/>
      <w:u w:val="single"/>
    </w:rPr>
  </w:style>
  <w:style w:type="paragraph" w:customStyle="1" w:styleId="western">
    <w:name w:val="western"/>
    <w:basedOn w:val="Normal"/>
    <w:rsid w:val="007614B8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En-tte">
    <w:name w:val="header"/>
    <w:basedOn w:val="Normal"/>
    <w:rsid w:val="000A180A"/>
    <w:pPr>
      <w:tabs>
        <w:tab w:val="center" w:pos="4536"/>
        <w:tab w:val="right" w:pos="9072"/>
      </w:tabs>
      <w:spacing w:before="120"/>
      <w:jc w:val="both"/>
    </w:pPr>
    <w:rPr>
      <w:sz w:val="24"/>
    </w:rPr>
  </w:style>
  <w:style w:type="paragraph" w:customStyle="1" w:styleId="alina-western">
    <w:name w:val="alinéa-western"/>
    <w:basedOn w:val="Normal"/>
    <w:rsid w:val="009948B1"/>
    <w:pPr>
      <w:spacing w:before="119" w:after="119"/>
      <w:ind w:firstLine="284"/>
      <w:jc w:val="both"/>
    </w:pPr>
    <w:rPr>
      <w:color w:val="000000"/>
      <w:sz w:val="24"/>
      <w:szCs w:val="24"/>
    </w:rPr>
  </w:style>
  <w:style w:type="paragraph" w:styleId="Textebrut">
    <w:name w:val="Plain Text"/>
    <w:basedOn w:val="Normal"/>
    <w:link w:val="TextebrutCar"/>
    <w:uiPriority w:val="99"/>
    <w:semiHidden/>
    <w:unhideWhenUsed/>
    <w:rsid w:val="00061A1C"/>
    <w:rPr>
      <w:rFonts w:ascii="Courier New" w:hAnsi="Courier New"/>
      <w:lang w:val="x-none" w:eastAsia="x-none"/>
    </w:rPr>
  </w:style>
  <w:style w:type="character" w:customStyle="1" w:styleId="TextebrutCar">
    <w:name w:val="Texte brut Car"/>
    <w:link w:val="Textebrut"/>
    <w:uiPriority w:val="99"/>
    <w:semiHidden/>
    <w:rsid w:val="00061A1C"/>
    <w:rPr>
      <w:rFonts w:ascii="Courier New" w:hAnsi="Courier New" w:cs="Courier New"/>
    </w:rPr>
  </w:style>
  <w:style w:type="character" w:styleId="Marquedecommentaire">
    <w:name w:val="annotation reference"/>
    <w:uiPriority w:val="99"/>
    <w:semiHidden/>
    <w:unhideWhenUsed/>
    <w:rsid w:val="00B3661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3661D"/>
  </w:style>
  <w:style w:type="character" w:customStyle="1" w:styleId="CommentaireCar">
    <w:name w:val="Commentaire Car"/>
    <w:basedOn w:val="Policepardfaut"/>
    <w:link w:val="Commentaire"/>
    <w:uiPriority w:val="99"/>
    <w:semiHidden/>
    <w:rsid w:val="00B3661D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3661D"/>
    <w:rPr>
      <w:b/>
      <w:bCs/>
      <w:lang w:val="x-none" w:eastAsia="x-none"/>
    </w:rPr>
  </w:style>
  <w:style w:type="character" w:customStyle="1" w:styleId="ObjetducommentaireCar">
    <w:name w:val="Objet du commentaire Car"/>
    <w:link w:val="Objetducommentaire"/>
    <w:uiPriority w:val="99"/>
    <w:semiHidden/>
    <w:rsid w:val="00B3661D"/>
    <w:rPr>
      <w:b/>
      <w:bCs/>
    </w:rPr>
  </w:style>
  <w:style w:type="paragraph" w:styleId="Pieddepage">
    <w:name w:val="footer"/>
    <w:basedOn w:val="Normal"/>
    <w:link w:val="PieddepageCar"/>
    <w:uiPriority w:val="99"/>
    <w:unhideWhenUsed/>
    <w:rsid w:val="001D536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D536C"/>
  </w:style>
  <w:style w:type="table" w:styleId="Grilledutableau">
    <w:name w:val="Table Grid"/>
    <w:basedOn w:val="TableauNormal"/>
    <w:uiPriority w:val="59"/>
    <w:rsid w:val="00BA1E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0">
    <w:name w:val="P0"/>
    <w:basedOn w:val="Normal"/>
    <w:link w:val="P0Car"/>
    <w:rsid w:val="00BA1275"/>
    <w:pPr>
      <w:ind w:left="1701"/>
      <w:jc w:val="both"/>
    </w:pPr>
    <w:rPr>
      <w:sz w:val="24"/>
      <w:szCs w:val="24"/>
      <w:lang w:val="x-none" w:eastAsia="x-none"/>
    </w:rPr>
  </w:style>
  <w:style w:type="character" w:customStyle="1" w:styleId="P0Car">
    <w:name w:val="P0 Car"/>
    <w:link w:val="P0"/>
    <w:rsid w:val="00BA1275"/>
    <w:rPr>
      <w:sz w:val="24"/>
      <w:szCs w:val="24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1C6A19"/>
    <w:pPr>
      <w:spacing w:after="120" w:line="276" w:lineRule="auto"/>
      <w:ind w:left="283"/>
    </w:pPr>
    <w:rPr>
      <w:rFonts w:ascii="Calibri" w:eastAsia="Calibri" w:hAnsi="Calibri"/>
      <w:sz w:val="22"/>
      <w:szCs w:val="22"/>
      <w:lang w:eastAsia="en-US"/>
    </w:rPr>
  </w:style>
  <w:style w:type="character" w:customStyle="1" w:styleId="RetraitcorpsdetexteCar">
    <w:name w:val="Retrait corps de texte Car"/>
    <w:link w:val="Retraitcorpsdetexte"/>
    <w:uiPriority w:val="99"/>
    <w:semiHidden/>
    <w:rsid w:val="001C6A19"/>
    <w:rPr>
      <w:rFonts w:ascii="Calibri" w:eastAsia="Calibri" w:hAnsi="Calibri"/>
      <w:sz w:val="22"/>
      <w:szCs w:val="22"/>
      <w:lang w:eastAsia="en-US"/>
    </w:rPr>
  </w:style>
  <w:style w:type="paragraph" w:styleId="Rvision">
    <w:name w:val="Revision"/>
    <w:hidden/>
    <w:uiPriority w:val="99"/>
    <w:semiHidden/>
    <w:rsid w:val="005516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53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3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98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38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52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374">
      <w:bodyDiv w:val="1"/>
      <w:marLeft w:val="4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6056">
      <w:bodyDiv w:val="1"/>
      <w:marLeft w:val="4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michelet\Local%20Settings\Temporary%20Internet%20Files\Content.Outlook\JCEB4NJV\2011%2006%20Val%20d'Is&#233;re%20-%20projet%20arr&#234;t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2011 06 Val d'Isére - projet arrêt.dot</Template>
  <TotalTime>13</TotalTime>
  <Pages>4</Pages>
  <Words>1080</Words>
  <Characters>5943</Characters>
  <Application>Microsoft Office Word</Application>
  <DocSecurity>0</DocSecurity>
  <Lines>49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Montferrat, arrêt</vt:lpstr>
      <vt:lpstr>Montferrat, arrêt</vt:lpstr>
    </vt:vector>
  </TitlesOfParts>
  <Company>COUR DES COMPTES</Company>
  <LinksUpToDate>false</LinksUpToDate>
  <CharactersWithSpaces>7009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Montferrat, arrêt</dc:title>
  <dc:creator>michelet</dc:creator>
  <cp:lastModifiedBy>Lecroisey, Marie Thérèse</cp:lastModifiedBy>
  <cp:revision>4</cp:revision>
  <cp:lastPrinted>2014-07-08T15:35:00Z</cp:lastPrinted>
  <dcterms:created xsi:type="dcterms:W3CDTF">2014-08-08T16:06:00Z</dcterms:created>
  <dcterms:modified xsi:type="dcterms:W3CDTF">2014-09-04T09:25:00Z</dcterms:modified>
</cp:coreProperties>
</file>