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E84E46" w:rsidRPr="00AF7DBC" w:rsidRDefault="00E84E46" w:rsidP="00B209BC">
      <w:pPr>
        <w:spacing w:after="80"/>
        <w:ind w:right="6095" w:firstLine="0"/>
        <w:jc w:val="center"/>
        <w:rPr>
          <w:b/>
        </w:rPr>
      </w:pPr>
      <w:r w:rsidRPr="00AF7DBC">
        <w:rPr>
          <w:b/>
        </w:rPr>
        <w:t>COUR DES COMPTES</w:t>
      </w:r>
    </w:p>
    <w:p w:rsidR="00E84E46" w:rsidRPr="00AF7DBC" w:rsidRDefault="00E84E46" w:rsidP="00B209BC">
      <w:pPr>
        <w:spacing w:after="80"/>
        <w:ind w:right="6095" w:firstLine="0"/>
        <w:jc w:val="center"/>
        <w:rPr>
          <w:b/>
        </w:rPr>
      </w:pPr>
      <w:r w:rsidRPr="00AF7DBC">
        <w:rPr>
          <w:b/>
        </w:rPr>
        <w:t>--------</w:t>
      </w:r>
    </w:p>
    <w:p w:rsidR="00E84E46" w:rsidRPr="00AF7DBC" w:rsidRDefault="00E84E46" w:rsidP="00B209BC">
      <w:pPr>
        <w:spacing w:after="80"/>
        <w:ind w:right="6095" w:firstLine="0"/>
        <w:jc w:val="center"/>
        <w:rPr>
          <w:b/>
        </w:rPr>
      </w:pPr>
      <w:r w:rsidRPr="00AF7DBC">
        <w:rPr>
          <w:b/>
        </w:rPr>
        <w:t>QUATRIEME CHAMBRE</w:t>
      </w:r>
    </w:p>
    <w:p w:rsidR="00E84E46" w:rsidRPr="00AF7DBC" w:rsidRDefault="00E84E46" w:rsidP="00B209BC">
      <w:pPr>
        <w:spacing w:after="80"/>
        <w:ind w:right="6095" w:firstLine="0"/>
        <w:jc w:val="center"/>
        <w:rPr>
          <w:b/>
        </w:rPr>
      </w:pPr>
      <w:r w:rsidRPr="00AF7DBC">
        <w:rPr>
          <w:b/>
        </w:rPr>
        <w:t>--------</w:t>
      </w:r>
    </w:p>
    <w:p w:rsidR="00E84E46" w:rsidRPr="00AF7DBC" w:rsidRDefault="00E84E46" w:rsidP="00B209BC">
      <w:pPr>
        <w:spacing w:after="80"/>
        <w:ind w:right="6095" w:firstLine="0"/>
        <w:jc w:val="center"/>
        <w:rPr>
          <w:b/>
        </w:rPr>
      </w:pPr>
      <w:r w:rsidRPr="00AF7DBC">
        <w:rPr>
          <w:b/>
        </w:rPr>
        <w:t>PREMIERE SECTION</w:t>
      </w:r>
    </w:p>
    <w:p w:rsidR="002356F7" w:rsidRPr="00AF7DBC" w:rsidRDefault="002356F7" w:rsidP="00B209BC">
      <w:pPr>
        <w:spacing w:after="80"/>
        <w:ind w:right="6095" w:firstLine="0"/>
        <w:jc w:val="center"/>
        <w:rPr>
          <w:b/>
        </w:rPr>
      </w:pPr>
      <w:r w:rsidRPr="00AF7DBC">
        <w:rPr>
          <w:b/>
        </w:rPr>
        <w:t>--------</w:t>
      </w:r>
    </w:p>
    <w:p w:rsidR="00E84E46" w:rsidRPr="0032540B" w:rsidRDefault="00E84E46" w:rsidP="00B209BC">
      <w:pPr>
        <w:spacing w:after="80"/>
        <w:ind w:right="6095" w:firstLine="0"/>
        <w:jc w:val="center"/>
        <w:rPr>
          <w:b/>
          <w:i/>
          <w:sz w:val="22"/>
          <w:szCs w:val="22"/>
        </w:rPr>
      </w:pPr>
      <w:r w:rsidRPr="0032540B">
        <w:rPr>
          <w:b/>
          <w:i/>
          <w:sz w:val="22"/>
          <w:szCs w:val="22"/>
        </w:rPr>
        <w:t>Arrêt n°</w:t>
      </w:r>
      <w:r w:rsidR="00F325C1" w:rsidRPr="0032540B">
        <w:rPr>
          <w:b/>
          <w:i/>
          <w:sz w:val="22"/>
          <w:szCs w:val="22"/>
        </w:rPr>
        <w:t xml:space="preserve"> </w:t>
      </w:r>
      <w:r w:rsidR="00D5335D" w:rsidRPr="0032540B">
        <w:rPr>
          <w:b/>
          <w:i/>
          <w:sz w:val="22"/>
          <w:szCs w:val="22"/>
        </w:rPr>
        <w:t>71300</w:t>
      </w:r>
    </w:p>
    <w:p w:rsidR="00E84E46" w:rsidRDefault="00E84E46" w:rsidP="00E84E46">
      <w:pPr>
        <w:spacing w:after="80"/>
      </w:pPr>
    </w:p>
    <w:p w:rsidR="005F22CC" w:rsidRPr="005F22CC" w:rsidRDefault="00C849B3" w:rsidP="005F22CC">
      <w:pPr>
        <w:ind w:left="4536" w:firstLine="0"/>
        <w:rPr>
          <w:szCs w:val="20"/>
        </w:rPr>
      </w:pPr>
      <w:r>
        <w:rPr>
          <w:szCs w:val="20"/>
        </w:rPr>
        <w:t>LYCÉE D’ENSEIGNEMENT GÉNÉRAL ET TECHN</w:t>
      </w:r>
      <w:r w:rsidR="008D0B04">
        <w:rPr>
          <w:szCs w:val="20"/>
        </w:rPr>
        <w:t>OLOG</w:t>
      </w:r>
      <w:r>
        <w:rPr>
          <w:szCs w:val="20"/>
        </w:rPr>
        <w:t xml:space="preserve">IQUE EDOUARD BRANLY </w:t>
      </w:r>
      <w:proofErr w:type="spellStart"/>
      <w:r w:rsidR="00D67B88">
        <w:rPr>
          <w:szCs w:val="20"/>
        </w:rPr>
        <w:t>A</w:t>
      </w:r>
      <w:proofErr w:type="spellEnd"/>
      <w:r>
        <w:rPr>
          <w:szCs w:val="20"/>
        </w:rPr>
        <w:t xml:space="preserve"> CHÂTELLERAULT (VIENNE)</w:t>
      </w:r>
    </w:p>
    <w:p w:rsidR="005F22CC" w:rsidRPr="005F22CC" w:rsidRDefault="005F22CC" w:rsidP="005F22CC">
      <w:pPr>
        <w:keepNext/>
        <w:ind w:left="4536" w:firstLine="0"/>
        <w:outlineLvl w:val="1"/>
        <w:rPr>
          <w:szCs w:val="20"/>
        </w:rPr>
      </w:pPr>
    </w:p>
    <w:p w:rsidR="005F22CC" w:rsidRPr="005F22CC" w:rsidRDefault="005F22CC" w:rsidP="005F22CC">
      <w:pPr>
        <w:keepNext/>
        <w:ind w:left="4536" w:firstLine="0"/>
        <w:outlineLvl w:val="1"/>
        <w:rPr>
          <w:szCs w:val="20"/>
        </w:rPr>
      </w:pPr>
      <w:r w:rsidRPr="005F22CC">
        <w:rPr>
          <w:szCs w:val="20"/>
        </w:rPr>
        <w:t>Appel d’un jugement de la chambre régionale des comptes d’Aquitaine, Poitou-Charentes</w:t>
      </w:r>
    </w:p>
    <w:p w:rsidR="005F22CC" w:rsidRPr="005F22CC" w:rsidRDefault="005F22CC" w:rsidP="005F22CC">
      <w:pPr>
        <w:ind w:left="4536" w:firstLine="0"/>
        <w:rPr>
          <w:szCs w:val="20"/>
        </w:rPr>
      </w:pPr>
    </w:p>
    <w:p w:rsidR="005F22CC" w:rsidRPr="005F22CC" w:rsidRDefault="005F22CC" w:rsidP="005F22CC">
      <w:pPr>
        <w:keepNext/>
        <w:ind w:left="4536" w:firstLine="0"/>
        <w:outlineLvl w:val="3"/>
        <w:rPr>
          <w:szCs w:val="20"/>
        </w:rPr>
      </w:pPr>
      <w:r w:rsidRPr="005F22CC">
        <w:rPr>
          <w:szCs w:val="20"/>
        </w:rPr>
        <w:t xml:space="preserve">Rapport n° </w:t>
      </w:r>
      <w:r w:rsidR="00D67B88">
        <w:rPr>
          <w:szCs w:val="20"/>
        </w:rPr>
        <w:t>2014-578-0</w:t>
      </w:r>
    </w:p>
    <w:p w:rsidR="005F22CC" w:rsidRPr="005F22CC" w:rsidRDefault="005F22CC" w:rsidP="005F22CC">
      <w:pPr>
        <w:ind w:left="4536" w:firstLine="0"/>
        <w:rPr>
          <w:szCs w:val="20"/>
        </w:rPr>
      </w:pPr>
    </w:p>
    <w:p w:rsidR="005F22CC" w:rsidRPr="005F22CC" w:rsidRDefault="005F22CC" w:rsidP="00C86AB8">
      <w:pPr>
        <w:ind w:left="4536" w:firstLine="0"/>
        <w:rPr>
          <w:szCs w:val="20"/>
        </w:rPr>
      </w:pPr>
      <w:r w:rsidRPr="005F22CC">
        <w:rPr>
          <w:szCs w:val="20"/>
        </w:rPr>
        <w:t>A</w:t>
      </w:r>
      <w:r w:rsidR="008A47BE">
        <w:rPr>
          <w:szCs w:val="20"/>
        </w:rPr>
        <w:t xml:space="preserve">udience publique </w:t>
      </w:r>
      <w:r w:rsidRPr="005F22CC">
        <w:rPr>
          <w:szCs w:val="20"/>
        </w:rPr>
        <w:t xml:space="preserve">du </w:t>
      </w:r>
      <w:r w:rsidR="00D67B88">
        <w:rPr>
          <w:szCs w:val="20"/>
        </w:rPr>
        <w:t>13 novembre 2014</w:t>
      </w:r>
    </w:p>
    <w:p w:rsidR="005F22CC" w:rsidRDefault="005F22CC" w:rsidP="00C86AB8">
      <w:pPr>
        <w:spacing w:before="600"/>
        <w:ind w:left="4536" w:firstLine="0"/>
        <w:rPr>
          <w:szCs w:val="20"/>
        </w:rPr>
      </w:pPr>
      <w:r w:rsidRPr="005F22CC">
        <w:rPr>
          <w:szCs w:val="20"/>
        </w:rPr>
        <w:t xml:space="preserve">Lecture publique du </w:t>
      </w:r>
      <w:r w:rsidR="008D0B04">
        <w:rPr>
          <w:szCs w:val="20"/>
        </w:rPr>
        <w:t>1</w:t>
      </w:r>
      <w:r w:rsidR="003210E1">
        <w:rPr>
          <w:szCs w:val="20"/>
        </w:rPr>
        <w:t>8 décembre 2014</w:t>
      </w:r>
    </w:p>
    <w:p w:rsidR="0014751B" w:rsidRPr="005F22CC" w:rsidRDefault="0014751B" w:rsidP="00C86AB8">
      <w:pPr>
        <w:spacing w:before="600"/>
        <w:ind w:left="4536" w:firstLine="0"/>
        <w:rPr>
          <w:szCs w:val="20"/>
        </w:rPr>
      </w:pPr>
    </w:p>
    <w:p w:rsidR="0014751B" w:rsidRDefault="0014751B" w:rsidP="0014751B">
      <w:pPr>
        <w:pStyle w:val="PS"/>
      </w:pPr>
      <w:r>
        <w:t>LA COUR DES COMPTES a rendu l’arrêt suivant :</w:t>
      </w:r>
    </w:p>
    <w:p w:rsidR="005F22CC" w:rsidRPr="005F22CC" w:rsidRDefault="008234EC" w:rsidP="00105A40">
      <w:pPr>
        <w:spacing w:after="480"/>
        <w:ind w:left="1134" w:firstLine="1134"/>
        <w:jc w:val="left"/>
        <w:rPr>
          <w:color w:val="000000"/>
        </w:rPr>
      </w:pPr>
      <w:r>
        <w:rPr>
          <w:color w:val="000000"/>
        </w:rPr>
        <w:t xml:space="preserve"> </w:t>
      </w:r>
      <w:r w:rsidR="005F22CC" w:rsidRPr="005F22CC">
        <w:rPr>
          <w:color w:val="000000"/>
        </w:rPr>
        <w:t>L</w:t>
      </w:r>
      <w:r w:rsidR="00DA3AD4">
        <w:rPr>
          <w:color w:val="000000"/>
        </w:rPr>
        <w:t>A</w:t>
      </w:r>
      <w:r w:rsidR="005F22CC" w:rsidRPr="005F22CC">
        <w:rPr>
          <w:color w:val="000000"/>
        </w:rPr>
        <w:t xml:space="preserve"> COUR,</w:t>
      </w:r>
    </w:p>
    <w:p w:rsidR="005F22CC" w:rsidRDefault="005F22CC" w:rsidP="00105A40">
      <w:pPr>
        <w:spacing w:after="480"/>
        <w:ind w:left="1134" w:firstLine="1134"/>
      </w:pPr>
      <w:r w:rsidRPr="007F534A">
        <w:t xml:space="preserve">Vu la requête, enregistrée le </w:t>
      </w:r>
      <w:r>
        <w:t xml:space="preserve">4 </w:t>
      </w:r>
      <w:r w:rsidR="00C849B3">
        <w:t>octo</w:t>
      </w:r>
      <w:r>
        <w:t>bre 2013</w:t>
      </w:r>
      <w:r w:rsidRPr="007F534A">
        <w:t xml:space="preserve"> au greffe de l</w:t>
      </w:r>
      <w:r>
        <w:t xml:space="preserve">a </w:t>
      </w:r>
      <w:r w:rsidRPr="005F22CC">
        <w:rPr>
          <w:rFonts w:ascii="CG Times (WN)" w:hAnsi="CG Times (WN)"/>
          <w:szCs w:val="20"/>
        </w:rPr>
        <w:t xml:space="preserve">chambre régionale </w:t>
      </w:r>
      <w:r>
        <w:rPr>
          <w:rFonts w:ascii="CG Times (WN)" w:hAnsi="CG Times (WN)"/>
          <w:szCs w:val="20"/>
        </w:rPr>
        <w:t>des comptes</w:t>
      </w:r>
      <w:r w:rsidRPr="005F22CC">
        <w:rPr>
          <w:rFonts w:ascii="CG Times (WN)" w:hAnsi="CG Times (WN)"/>
          <w:szCs w:val="20"/>
        </w:rPr>
        <w:t xml:space="preserve"> d’Aquitaine, Poitou-Charentes</w:t>
      </w:r>
      <w:r>
        <w:t xml:space="preserve">, par laquelle </w:t>
      </w:r>
      <w:r w:rsidR="00D93E6A">
        <w:t>la société générale de distribution alimentaire</w:t>
      </w:r>
      <w:r>
        <w:t xml:space="preserve"> </w:t>
      </w:r>
      <w:r w:rsidR="00C849B3">
        <w:t>(GDA)</w:t>
      </w:r>
      <w:r>
        <w:t>,</w:t>
      </w:r>
      <w:r w:rsidRPr="007F534A">
        <w:t xml:space="preserve"> a </w:t>
      </w:r>
      <w:r>
        <w:t>interjeté</w:t>
      </w:r>
      <w:r w:rsidRPr="007F534A">
        <w:t xml:space="preserve"> appel du jugement </w:t>
      </w:r>
      <w:r>
        <w:t>n°</w:t>
      </w:r>
      <w:r w:rsidR="00D93E6A">
        <w:t> </w:t>
      </w:r>
      <w:r>
        <w:t>2013-00</w:t>
      </w:r>
      <w:r w:rsidR="00C849B3">
        <w:t>06</w:t>
      </w:r>
      <w:r>
        <w:t xml:space="preserve"> </w:t>
      </w:r>
      <w:r w:rsidRPr="007F534A">
        <w:t xml:space="preserve">du </w:t>
      </w:r>
      <w:r w:rsidR="00C849B3">
        <w:t>23 juillet</w:t>
      </w:r>
      <w:r>
        <w:t xml:space="preserve"> 2013</w:t>
      </w:r>
      <w:r w:rsidR="000716DD">
        <w:t>,</w:t>
      </w:r>
      <w:r w:rsidR="000716DD" w:rsidRPr="000716DD">
        <w:t xml:space="preserve"> qui lui avait été notifié le 7 août 2013</w:t>
      </w:r>
      <w:r w:rsidR="000716DD">
        <w:t>,</w:t>
      </w:r>
      <w:r w:rsidRPr="007F534A">
        <w:t xml:space="preserve"> par lequel l</w:t>
      </w:r>
      <w:r w:rsidRPr="00484671">
        <w:t>a</w:t>
      </w:r>
      <w:r w:rsidR="00D67B88">
        <w:t>dite</w:t>
      </w:r>
      <w:r w:rsidRPr="00484671">
        <w:t xml:space="preserve"> chambre</w:t>
      </w:r>
      <w:r w:rsidR="00810AC5">
        <w:t xml:space="preserve"> </w:t>
      </w:r>
      <w:r w:rsidRPr="00484671">
        <w:t xml:space="preserve">l’a </w:t>
      </w:r>
      <w:r w:rsidR="00C849B3">
        <w:t xml:space="preserve">déclarée comptable de fait des deniers du </w:t>
      </w:r>
      <w:r w:rsidR="00C849B3" w:rsidRPr="00D93E6A">
        <w:rPr>
          <w:caps/>
        </w:rPr>
        <w:t>lycée d’enseignement</w:t>
      </w:r>
      <w:r w:rsidR="00C849B3">
        <w:t xml:space="preserve"> </w:t>
      </w:r>
      <w:r w:rsidR="00C849B3" w:rsidRPr="00D93E6A">
        <w:rPr>
          <w:caps/>
        </w:rPr>
        <w:t>général et techn</w:t>
      </w:r>
      <w:r w:rsidR="00D93E6A" w:rsidRPr="00D93E6A">
        <w:rPr>
          <w:caps/>
        </w:rPr>
        <w:t>ologi</w:t>
      </w:r>
      <w:r w:rsidR="00C849B3" w:rsidRPr="00D93E6A">
        <w:rPr>
          <w:caps/>
        </w:rPr>
        <w:t>que Edouard Branly</w:t>
      </w:r>
      <w:r w:rsidR="00C849B3">
        <w:t xml:space="preserve"> </w:t>
      </w:r>
      <w:r w:rsidR="00D67B88">
        <w:t>à</w:t>
      </w:r>
      <w:r w:rsidR="00C849B3">
        <w:t xml:space="preserve"> </w:t>
      </w:r>
      <w:r w:rsidR="00C849B3" w:rsidRPr="00D93E6A">
        <w:rPr>
          <w:caps/>
        </w:rPr>
        <w:t>Châtellerault</w:t>
      </w:r>
      <w:r w:rsidR="00B209BC">
        <w:rPr>
          <w:caps/>
        </w:rPr>
        <w:t> </w:t>
      </w:r>
      <w:r w:rsidR="00B209BC">
        <w:t>;</w:t>
      </w:r>
    </w:p>
    <w:p w:rsidR="00C849B3" w:rsidRDefault="005F22CC" w:rsidP="00105A40">
      <w:pPr>
        <w:spacing w:after="480"/>
        <w:ind w:left="1134" w:firstLine="1134"/>
      </w:pPr>
      <w:r w:rsidRPr="007F534A">
        <w:t xml:space="preserve">Vu la requête, enregistrée le </w:t>
      </w:r>
      <w:r w:rsidR="00C849B3">
        <w:t>30 déc</w:t>
      </w:r>
      <w:r>
        <w:t>embre 2013</w:t>
      </w:r>
      <w:r w:rsidRPr="007F534A">
        <w:t xml:space="preserve"> au greffe de la </w:t>
      </w:r>
      <w:r w:rsidR="008A47BE">
        <w:t xml:space="preserve"> </w:t>
      </w:r>
      <w:r w:rsidRPr="007F534A">
        <w:t>chambre régionale</w:t>
      </w:r>
      <w:r w:rsidR="00D67B88">
        <w:t xml:space="preserve"> </w:t>
      </w:r>
      <w:r w:rsidR="00105A40">
        <w:t>susmentionnée,</w:t>
      </w:r>
      <w:r>
        <w:t xml:space="preserve"> par laquelle </w:t>
      </w:r>
      <w:r w:rsidR="00C849B3">
        <w:t xml:space="preserve">la société </w:t>
      </w:r>
      <w:proofErr w:type="spellStart"/>
      <w:r w:rsidR="00C849B3">
        <w:t>T</w:t>
      </w:r>
      <w:r w:rsidR="00D93E6A">
        <w:t>ransgourmet</w:t>
      </w:r>
      <w:proofErr w:type="spellEnd"/>
      <w:r w:rsidR="00C849B3">
        <w:t xml:space="preserve"> agissant pour elle-même</w:t>
      </w:r>
      <w:r w:rsidR="00B209BC">
        <w:t>,</w:t>
      </w:r>
      <w:r w:rsidR="00C849B3">
        <w:t xml:space="preserve"> mais venant également aux droits des sociétés </w:t>
      </w:r>
      <w:proofErr w:type="spellStart"/>
      <w:r w:rsidR="00D93E6A">
        <w:t>Aldis</w:t>
      </w:r>
      <w:proofErr w:type="spellEnd"/>
      <w:r w:rsidR="00D93E6A">
        <w:t xml:space="preserve"> et </w:t>
      </w:r>
      <w:proofErr w:type="spellStart"/>
      <w:r w:rsidR="00D93E6A">
        <w:t>Prodirest</w:t>
      </w:r>
      <w:proofErr w:type="spellEnd"/>
      <w:r w:rsidR="00C849B3">
        <w:t>,</w:t>
      </w:r>
      <w:r w:rsidR="00C849B3" w:rsidRPr="007F534A">
        <w:t xml:space="preserve"> a </w:t>
      </w:r>
      <w:r w:rsidR="00C849B3">
        <w:t>interjeté</w:t>
      </w:r>
      <w:r w:rsidR="00C849B3" w:rsidRPr="007F534A">
        <w:t xml:space="preserve"> appel du </w:t>
      </w:r>
      <w:r w:rsidR="00C849B3">
        <w:t xml:space="preserve"> </w:t>
      </w:r>
      <w:r w:rsidR="00C849B3" w:rsidRPr="007F534A">
        <w:t xml:space="preserve">jugement </w:t>
      </w:r>
      <w:r w:rsidR="00D67B88">
        <w:t xml:space="preserve">précité </w:t>
      </w:r>
      <w:r w:rsidR="00C849B3" w:rsidRPr="007F534A">
        <w:t>par lequel l</w:t>
      </w:r>
      <w:r w:rsidR="00C849B3" w:rsidRPr="00484671">
        <w:t>a</w:t>
      </w:r>
      <w:r w:rsidR="00D67B88">
        <w:t>dite</w:t>
      </w:r>
      <w:r w:rsidR="00C849B3" w:rsidRPr="00484671">
        <w:t xml:space="preserve"> chambre l’a </w:t>
      </w:r>
      <w:r w:rsidR="00C849B3">
        <w:t>déclarée comptable de fait des deniers du lycée d’enseignement général et techn</w:t>
      </w:r>
      <w:r w:rsidR="00D93E6A">
        <w:t>ologi</w:t>
      </w:r>
      <w:r w:rsidR="00C849B3">
        <w:t xml:space="preserve">que </w:t>
      </w:r>
      <w:proofErr w:type="spellStart"/>
      <w:r w:rsidR="00C849B3">
        <w:t>Edouard</w:t>
      </w:r>
      <w:proofErr w:type="spellEnd"/>
      <w:r w:rsidR="00C849B3">
        <w:t xml:space="preserve"> Branly </w:t>
      </w:r>
      <w:r w:rsidR="00D67B88">
        <w:t>à</w:t>
      </w:r>
      <w:r w:rsidR="00C849B3">
        <w:t xml:space="preserve"> Châtellerault</w:t>
      </w:r>
      <w:r w:rsidR="00B209BC">
        <w:t> ;</w:t>
      </w:r>
    </w:p>
    <w:p w:rsidR="007D0620" w:rsidRDefault="007D0620" w:rsidP="00105A40">
      <w:pPr>
        <w:spacing w:after="480"/>
        <w:ind w:left="1134" w:firstLine="1134"/>
      </w:pPr>
    </w:p>
    <w:p w:rsidR="005F22CC" w:rsidRDefault="00C849B3" w:rsidP="00105A40">
      <w:pPr>
        <w:spacing w:after="480"/>
        <w:ind w:left="1134" w:firstLine="1134"/>
      </w:pPr>
      <w:r w:rsidRPr="007F534A">
        <w:lastRenderedPageBreak/>
        <w:t xml:space="preserve">Vu </w:t>
      </w:r>
      <w:r>
        <w:t xml:space="preserve">le mémoire en </w:t>
      </w:r>
      <w:r w:rsidR="00D93E6A">
        <w:t xml:space="preserve">réponse de la société Cote </w:t>
      </w:r>
      <w:r w:rsidR="00BA1ECA">
        <w:t>O</w:t>
      </w:r>
      <w:r w:rsidR="00D93E6A">
        <w:t>uest</w:t>
      </w:r>
      <w:r w:rsidR="00BA1ECA">
        <w:t xml:space="preserve"> R</w:t>
      </w:r>
      <w:r w:rsidR="00D93E6A">
        <w:t xml:space="preserve">estauration </w:t>
      </w:r>
      <w:r>
        <w:t xml:space="preserve">enregistré </w:t>
      </w:r>
      <w:r w:rsidRPr="007F534A">
        <w:t xml:space="preserve">le </w:t>
      </w:r>
      <w:r>
        <w:t>14 novembre 2013</w:t>
      </w:r>
      <w:r w:rsidRPr="007F534A">
        <w:t xml:space="preserve"> au greffe de la</w:t>
      </w:r>
      <w:r>
        <w:t xml:space="preserve"> </w:t>
      </w:r>
      <w:r w:rsidRPr="007F534A">
        <w:t>chambre régionale</w:t>
      </w:r>
      <w:r w:rsidR="00B209BC">
        <w:t> ;</w:t>
      </w:r>
    </w:p>
    <w:p w:rsidR="000630C5" w:rsidRDefault="005F22CC" w:rsidP="00105A40">
      <w:pPr>
        <w:spacing w:after="480"/>
        <w:ind w:left="1134" w:firstLine="1134"/>
      </w:pPr>
      <w:r w:rsidRPr="007F534A">
        <w:t xml:space="preserve">Vu le réquisitoire du Procureur général </w:t>
      </w:r>
      <w:r>
        <w:t xml:space="preserve">près la Cour des comptes </w:t>
      </w:r>
      <w:r w:rsidRPr="007F534A">
        <w:t>n°</w:t>
      </w:r>
      <w:r w:rsidR="0002614B">
        <w:t> </w:t>
      </w:r>
      <w:r>
        <w:t>2014-3</w:t>
      </w:r>
      <w:r w:rsidR="00BA1ECA">
        <w:t>4</w:t>
      </w:r>
      <w:r w:rsidRPr="007F534A">
        <w:t xml:space="preserve"> du </w:t>
      </w:r>
      <w:r>
        <w:t>1</w:t>
      </w:r>
      <w:r w:rsidR="00BA1ECA">
        <w:t>1</w:t>
      </w:r>
      <w:r w:rsidR="00ED032C">
        <w:t xml:space="preserve"> </w:t>
      </w:r>
      <w:r w:rsidR="00BA1ECA">
        <w:t xml:space="preserve">mars </w:t>
      </w:r>
      <w:r>
        <w:t>2014</w:t>
      </w:r>
      <w:r w:rsidRPr="007F534A">
        <w:t xml:space="preserve"> transmettant l</w:t>
      </w:r>
      <w:r>
        <w:t>es</w:t>
      </w:r>
      <w:r w:rsidRPr="007F534A">
        <w:t xml:space="preserve"> requête</w:t>
      </w:r>
      <w:r>
        <w:t>s</w:t>
      </w:r>
      <w:r w:rsidRPr="007F534A">
        <w:t xml:space="preserve"> précitée</w:t>
      </w:r>
      <w:r>
        <w:t xml:space="preserve">s </w:t>
      </w:r>
      <w:r w:rsidRPr="00484671">
        <w:t>à la Cour</w:t>
      </w:r>
      <w:r>
        <w:t> </w:t>
      </w:r>
      <w:r w:rsidRPr="007F534A">
        <w:t>;</w:t>
      </w:r>
    </w:p>
    <w:p w:rsidR="005F22CC" w:rsidRPr="000630C5" w:rsidRDefault="005F22CC" w:rsidP="00105A40">
      <w:pPr>
        <w:spacing w:after="480"/>
        <w:ind w:left="1134" w:firstLine="1134"/>
      </w:pPr>
      <w:r w:rsidRPr="005F22CC">
        <w:rPr>
          <w:szCs w:val="20"/>
        </w:rPr>
        <w:t>Vu les pièces de la procédure suivie en première instance</w:t>
      </w:r>
      <w:r w:rsidR="00B209BC">
        <w:rPr>
          <w:szCs w:val="20"/>
        </w:rPr>
        <w:t> ;</w:t>
      </w:r>
    </w:p>
    <w:p w:rsidR="000630C5" w:rsidRDefault="005F22CC" w:rsidP="00105A40">
      <w:pPr>
        <w:spacing w:after="480"/>
        <w:ind w:left="1134" w:firstLine="1134"/>
        <w:rPr>
          <w:szCs w:val="20"/>
        </w:rPr>
      </w:pPr>
      <w:r w:rsidRPr="005F22CC">
        <w:rPr>
          <w:szCs w:val="20"/>
        </w:rPr>
        <w:t>Vu le code des juridictions financières</w:t>
      </w:r>
      <w:r w:rsidR="00D93E6A">
        <w:rPr>
          <w:szCs w:val="20"/>
        </w:rPr>
        <w:t xml:space="preserve"> (CJF)</w:t>
      </w:r>
      <w:r w:rsidR="000630C5">
        <w:rPr>
          <w:szCs w:val="20"/>
        </w:rPr>
        <w:t>, notamment ses articles</w:t>
      </w:r>
      <w:r w:rsidR="00B209BC">
        <w:rPr>
          <w:szCs w:val="20"/>
        </w:rPr>
        <w:t xml:space="preserve"> </w:t>
      </w:r>
      <w:r w:rsidR="000630C5">
        <w:rPr>
          <w:szCs w:val="20"/>
        </w:rPr>
        <w:t>R.</w:t>
      </w:r>
      <w:r w:rsidR="00D93E6A">
        <w:rPr>
          <w:szCs w:val="20"/>
        </w:rPr>
        <w:t> </w:t>
      </w:r>
      <w:r w:rsidR="000630C5">
        <w:rPr>
          <w:szCs w:val="20"/>
        </w:rPr>
        <w:t>242-</w:t>
      </w:r>
      <w:r w:rsidR="00A06AFC">
        <w:rPr>
          <w:szCs w:val="20"/>
        </w:rPr>
        <w:t>1</w:t>
      </w:r>
      <w:r w:rsidR="00E9189E">
        <w:rPr>
          <w:szCs w:val="20"/>
        </w:rPr>
        <w:t>6</w:t>
      </w:r>
      <w:r w:rsidR="000630C5">
        <w:rPr>
          <w:szCs w:val="20"/>
        </w:rPr>
        <w:t xml:space="preserve"> et </w:t>
      </w:r>
      <w:r w:rsidR="00A06AFC">
        <w:rPr>
          <w:szCs w:val="20"/>
        </w:rPr>
        <w:t>suivants</w:t>
      </w:r>
      <w:r w:rsidR="00B209BC">
        <w:rPr>
          <w:szCs w:val="20"/>
        </w:rPr>
        <w:t> ;</w:t>
      </w:r>
    </w:p>
    <w:p w:rsidR="000630C5" w:rsidRDefault="000630C5" w:rsidP="00105A40">
      <w:pPr>
        <w:spacing w:after="480"/>
        <w:ind w:left="1134" w:firstLine="1134"/>
      </w:pPr>
      <w:r w:rsidRPr="007F534A">
        <w:t>Vu l’arti</w:t>
      </w:r>
      <w:r w:rsidR="0002614B">
        <w:t>cle 60 de la loi de finances n° </w:t>
      </w:r>
      <w:r w:rsidRPr="007F534A">
        <w:t>63-156 du 23 février 1963 modifiée</w:t>
      </w:r>
      <w:r w:rsidR="00B209BC">
        <w:t> ;</w:t>
      </w:r>
    </w:p>
    <w:p w:rsidR="000630C5" w:rsidRDefault="000630C5" w:rsidP="00105A40">
      <w:pPr>
        <w:spacing w:after="480"/>
        <w:ind w:left="1134" w:firstLine="1134"/>
      </w:pPr>
      <w:r w:rsidRPr="007F534A">
        <w:t xml:space="preserve">Vu le rapport de M. </w:t>
      </w:r>
      <w:r>
        <w:t>Yves Rolland, conseiller maître</w:t>
      </w:r>
      <w:r w:rsidRPr="00484671">
        <w:t> ;</w:t>
      </w:r>
    </w:p>
    <w:p w:rsidR="000630C5" w:rsidRPr="000630C5" w:rsidRDefault="000630C5" w:rsidP="00105A40">
      <w:pPr>
        <w:spacing w:after="480"/>
        <w:ind w:left="1134" w:firstLine="1134"/>
        <w:rPr>
          <w:szCs w:val="20"/>
        </w:rPr>
      </w:pPr>
      <w:r w:rsidRPr="007F534A">
        <w:t>Vu les conc</w:t>
      </w:r>
      <w:r w:rsidR="0002614B">
        <w:t>lusions du Procureur général n° </w:t>
      </w:r>
      <w:r w:rsidR="00D67B88">
        <w:t>628</w:t>
      </w:r>
      <w:r>
        <w:t xml:space="preserve"> </w:t>
      </w:r>
      <w:r w:rsidRPr="007F534A">
        <w:t>du</w:t>
      </w:r>
      <w:r w:rsidR="00BA1ECA">
        <w:t xml:space="preserve"> </w:t>
      </w:r>
      <w:r w:rsidR="00D67B88">
        <w:t>6 octobre 2014</w:t>
      </w:r>
      <w:r w:rsidR="00B209BC">
        <w:t> ;</w:t>
      </w:r>
    </w:p>
    <w:p w:rsidR="005F22CC" w:rsidRPr="005F22CC" w:rsidRDefault="005F22CC" w:rsidP="00105A40">
      <w:pPr>
        <w:spacing w:after="480"/>
        <w:ind w:left="1134" w:firstLine="1134"/>
        <w:rPr>
          <w:szCs w:val="20"/>
        </w:rPr>
      </w:pPr>
      <w:r w:rsidRPr="005F22CC">
        <w:rPr>
          <w:szCs w:val="20"/>
        </w:rPr>
        <w:t xml:space="preserve">Entendu, lors de l’audience publique de ce jour, M. </w:t>
      </w:r>
      <w:r w:rsidR="000630C5">
        <w:rPr>
          <w:szCs w:val="20"/>
        </w:rPr>
        <w:t>Rolland</w:t>
      </w:r>
      <w:r w:rsidRPr="005F22CC">
        <w:rPr>
          <w:szCs w:val="20"/>
        </w:rPr>
        <w:t>, en son rapport, M.</w:t>
      </w:r>
      <w:r w:rsidR="00D93E6A">
        <w:rPr>
          <w:szCs w:val="20"/>
        </w:rPr>
        <w:t> </w:t>
      </w:r>
      <w:r w:rsidR="00D67B88">
        <w:rPr>
          <w:szCs w:val="20"/>
        </w:rPr>
        <w:t>François Kruger</w:t>
      </w:r>
      <w:r w:rsidRPr="005F22CC">
        <w:rPr>
          <w:szCs w:val="20"/>
        </w:rPr>
        <w:t>, avocat général, en les conclusions du ministère public</w:t>
      </w:r>
      <w:r w:rsidR="00D67B88">
        <w:rPr>
          <w:szCs w:val="20"/>
        </w:rPr>
        <w:t xml:space="preserve">, Maître Hervé Pielberg représentant la société GDA, Maître </w:t>
      </w:r>
      <w:r w:rsidR="00D93E6A">
        <w:rPr>
          <w:szCs w:val="20"/>
        </w:rPr>
        <w:t xml:space="preserve">Christine </w:t>
      </w:r>
      <w:proofErr w:type="spellStart"/>
      <w:r w:rsidR="004A41FC">
        <w:rPr>
          <w:szCs w:val="20"/>
        </w:rPr>
        <w:t>Lussault</w:t>
      </w:r>
      <w:proofErr w:type="spellEnd"/>
      <w:r w:rsidR="00D93E6A">
        <w:rPr>
          <w:szCs w:val="20"/>
        </w:rPr>
        <w:t>,</w:t>
      </w:r>
      <w:r w:rsidR="00D67B88">
        <w:rPr>
          <w:szCs w:val="20"/>
        </w:rPr>
        <w:t xml:space="preserve"> repr</w:t>
      </w:r>
      <w:r w:rsidR="00486661">
        <w:rPr>
          <w:szCs w:val="20"/>
        </w:rPr>
        <w:t xml:space="preserve">ésentant la société </w:t>
      </w:r>
      <w:proofErr w:type="spellStart"/>
      <w:r w:rsidR="00D93E6A">
        <w:rPr>
          <w:szCs w:val="20"/>
        </w:rPr>
        <w:t>Transgourmet</w:t>
      </w:r>
      <w:proofErr w:type="spellEnd"/>
      <w:r w:rsidR="00D93E6A">
        <w:rPr>
          <w:szCs w:val="20"/>
        </w:rPr>
        <w:t xml:space="preserve">, </w:t>
      </w:r>
      <w:r w:rsidR="00735E65">
        <w:rPr>
          <w:szCs w:val="20"/>
        </w:rPr>
        <w:t xml:space="preserve">Maître </w:t>
      </w:r>
      <w:proofErr w:type="spellStart"/>
      <w:r w:rsidR="00735E65">
        <w:rPr>
          <w:szCs w:val="20"/>
        </w:rPr>
        <w:t>Pielberg</w:t>
      </w:r>
      <w:proofErr w:type="spellEnd"/>
      <w:r w:rsidR="00735E65">
        <w:rPr>
          <w:szCs w:val="20"/>
        </w:rPr>
        <w:t xml:space="preserve"> ayant eu la parole en dernier ;</w:t>
      </w:r>
    </w:p>
    <w:p w:rsidR="005F22CC" w:rsidRDefault="005F22CC" w:rsidP="00105A40">
      <w:pPr>
        <w:spacing w:after="480"/>
        <w:ind w:left="1134" w:firstLine="1134"/>
        <w:rPr>
          <w:szCs w:val="20"/>
        </w:rPr>
      </w:pPr>
      <w:r w:rsidRPr="005F22CC">
        <w:rPr>
          <w:szCs w:val="20"/>
        </w:rPr>
        <w:t>Entendu, en délibéré, M.</w:t>
      </w:r>
      <w:r w:rsidR="004A41FC">
        <w:rPr>
          <w:szCs w:val="20"/>
        </w:rPr>
        <w:t> </w:t>
      </w:r>
      <w:r w:rsidR="00486661">
        <w:rPr>
          <w:szCs w:val="20"/>
        </w:rPr>
        <w:t>Jean-Yves Bertucci</w:t>
      </w:r>
      <w:r w:rsidRPr="005F22CC">
        <w:rPr>
          <w:szCs w:val="20"/>
        </w:rPr>
        <w:t>, conseiller maître, en ses observations ;</w:t>
      </w:r>
    </w:p>
    <w:p w:rsidR="00CA4BC0" w:rsidRPr="00A06AFC" w:rsidRDefault="00A06AFC" w:rsidP="00105A40">
      <w:pPr>
        <w:spacing w:after="480"/>
        <w:ind w:left="1134" w:firstLine="1134"/>
        <w:rPr>
          <w:b/>
          <w:i/>
          <w:szCs w:val="20"/>
        </w:rPr>
      </w:pPr>
      <w:r w:rsidRPr="00A06AFC">
        <w:rPr>
          <w:b/>
          <w:i/>
          <w:szCs w:val="20"/>
        </w:rPr>
        <w:t>Sur la recevabilité des requêtes</w:t>
      </w:r>
    </w:p>
    <w:p w:rsidR="00D00298" w:rsidRDefault="005F22CC" w:rsidP="00105A40">
      <w:pPr>
        <w:spacing w:after="480"/>
        <w:ind w:left="1134" w:firstLine="1134"/>
        <w:rPr>
          <w:szCs w:val="20"/>
        </w:rPr>
      </w:pPr>
      <w:r w:rsidRPr="005F22CC">
        <w:rPr>
          <w:szCs w:val="20"/>
        </w:rPr>
        <w:t xml:space="preserve">Attendu </w:t>
      </w:r>
      <w:r w:rsidR="00A06AFC">
        <w:rPr>
          <w:szCs w:val="20"/>
        </w:rPr>
        <w:t>que le jugement de</w:t>
      </w:r>
      <w:r w:rsidRPr="005F22CC">
        <w:rPr>
          <w:szCs w:val="20"/>
        </w:rPr>
        <w:t xml:space="preserve"> la </w:t>
      </w:r>
      <w:r w:rsidR="000630C5" w:rsidRPr="005F22CC">
        <w:rPr>
          <w:rFonts w:ascii="CG Times (WN)" w:hAnsi="CG Times (WN)"/>
          <w:szCs w:val="20"/>
        </w:rPr>
        <w:t xml:space="preserve">chambre régionale </w:t>
      </w:r>
      <w:r w:rsidR="000630C5">
        <w:rPr>
          <w:rFonts w:ascii="CG Times (WN)" w:hAnsi="CG Times (WN)"/>
          <w:szCs w:val="20"/>
        </w:rPr>
        <w:t>des comptes</w:t>
      </w:r>
      <w:r w:rsidR="000630C5" w:rsidRPr="005F22CC">
        <w:rPr>
          <w:rFonts w:ascii="CG Times (WN)" w:hAnsi="CG Times (WN)"/>
          <w:szCs w:val="20"/>
        </w:rPr>
        <w:t xml:space="preserve"> d’Aquitaine, Poitou-Charentes</w:t>
      </w:r>
      <w:r w:rsidR="000630C5" w:rsidRPr="005F22CC">
        <w:rPr>
          <w:szCs w:val="20"/>
        </w:rPr>
        <w:t xml:space="preserve"> </w:t>
      </w:r>
      <w:r w:rsidRPr="005F22CC">
        <w:rPr>
          <w:szCs w:val="20"/>
        </w:rPr>
        <w:t xml:space="preserve">a </w:t>
      </w:r>
      <w:r w:rsidR="00A06AFC">
        <w:rPr>
          <w:szCs w:val="20"/>
        </w:rPr>
        <w:t xml:space="preserve">été notifié à la société </w:t>
      </w:r>
      <w:proofErr w:type="spellStart"/>
      <w:r w:rsidR="00D93E6A">
        <w:rPr>
          <w:szCs w:val="20"/>
        </w:rPr>
        <w:t>Transgourmet</w:t>
      </w:r>
      <w:proofErr w:type="spellEnd"/>
      <w:r w:rsidR="00D93E6A">
        <w:rPr>
          <w:szCs w:val="20"/>
        </w:rPr>
        <w:t xml:space="preserve"> </w:t>
      </w:r>
      <w:r w:rsidR="00A06AFC">
        <w:rPr>
          <w:szCs w:val="20"/>
        </w:rPr>
        <w:t>le 6</w:t>
      </w:r>
      <w:r w:rsidR="00B209BC">
        <w:rPr>
          <w:szCs w:val="20"/>
        </w:rPr>
        <w:t xml:space="preserve"> </w:t>
      </w:r>
      <w:r w:rsidR="00A06AFC">
        <w:rPr>
          <w:szCs w:val="20"/>
        </w:rPr>
        <w:t>août</w:t>
      </w:r>
      <w:r w:rsidR="00B209BC">
        <w:rPr>
          <w:szCs w:val="20"/>
        </w:rPr>
        <w:t xml:space="preserve"> </w:t>
      </w:r>
      <w:r w:rsidR="00A06AFC">
        <w:rPr>
          <w:szCs w:val="20"/>
        </w:rPr>
        <w:t>2013 et qu’en application des articles R.</w:t>
      </w:r>
      <w:r w:rsidR="00D93E6A">
        <w:rPr>
          <w:szCs w:val="20"/>
        </w:rPr>
        <w:t> </w:t>
      </w:r>
      <w:r w:rsidR="00A06AFC">
        <w:rPr>
          <w:szCs w:val="20"/>
        </w:rPr>
        <w:t>242-18 et R.</w:t>
      </w:r>
      <w:r w:rsidR="00D93E6A">
        <w:rPr>
          <w:szCs w:val="20"/>
        </w:rPr>
        <w:t> </w:t>
      </w:r>
      <w:r w:rsidR="00A06AFC">
        <w:rPr>
          <w:szCs w:val="20"/>
        </w:rPr>
        <w:t xml:space="preserve">242-19 du code des juridictions financières, l’appel contre un jugement d’une chambre régionale des comptes doit être formé dans le délai de deux mois à compter de la notification dudit jugement, la date à prendre en compte pour apprécier </w:t>
      </w:r>
      <w:r w:rsidR="00CA5B75">
        <w:rPr>
          <w:szCs w:val="20"/>
        </w:rPr>
        <w:t xml:space="preserve">le </w:t>
      </w:r>
      <w:r w:rsidR="00A06AFC">
        <w:rPr>
          <w:szCs w:val="20"/>
        </w:rPr>
        <w:t>respect</w:t>
      </w:r>
      <w:r w:rsidR="00CA5B75">
        <w:rPr>
          <w:szCs w:val="20"/>
        </w:rPr>
        <w:t xml:space="preserve"> de ce délai ét</w:t>
      </w:r>
      <w:r w:rsidR="00A06AFC">
        <w:rPr>
          <w:szCs w:val="20"/>
        </w:rPr>
        <w:t xml:space="preserve">ant celle de l’enregistrement </w:t>
      </w:r>
      <w:r w:rsidR="000716DD">
        <w:rPr>
          <w:szCs w:val="20"/>
        </w:rPr>
        <w:t xml:space="preserve">de la requête </w:t>
      </w:r>
      <w:r w:rsidR="00A06AFC">
        <w:rPr>
          <w:szCs w:val="20"/>
        </w:rPr>
        <w:t xml:space="preserve">au greffe de la chambre ; que </w:t>
      </w:r>
      <w:r w:rsidR="000716DD">
        <w:rPr>
          <w:szCs w:val="20"/>
        </w:rPr>
        <w:t>celle</w:t>
      </w:r>
      <w:r w:rsidR="00A06AFC">
        <w:rPr>
          <w:szCs w:val="20"/>
        </w:rPr>
        <w:t xml:space="preserve"> de la société </w:t>
      </w:r>
      <w:proofErr w:type="spellStart"/>
      <w:r w:rsidR="00D93E6A">
        <w:rPr>
          <w:szCs w:val="20"/>
        </w:rPr>
        <w:t>Transgourmet</w:t>
      </w:r>
      <w:proofErr w:type="spellEnd"/>
      <w:r w:rsidR="00D93E6A">
        <w:rPr>
          <w:szCs w:val="20"/>
        </w:rPr>
        <w:t xml:space="preserve"> </w:t>
      </w:r>
      <w:r w:rsidR="00A06AFC">
        <w:rPr>
          <w:szCs w:val="20"/>
        </w:rPr>
        <w:t xml:space="preserve">a été enregistrée au greffe de la chambre régionale des comptes d’Aquitaine, Poitou-Charentes le 30 décembre 2013 ; qu’ainsi ladite requête, </w:t>
      </w:r>
      <w:r w:rsidR="000716DD">
        <w:rPr>
          <w:szCs w:val="20"/>
        </w:rPr>
        <w:t>reçue</w:t>
      </w:r>
      <w:r w:rsidR="00A06AFC">
        <w:rPr>
          <w:szCs w:val="20"/>
        </w:rPr>
        <w:t xml:space="preserve"> hors délai, est irrecevable ;</w:t>
      </w:r>
    </w:p>
    <w:p w:rsidR="000E12A0" w:rsidRDefault="000E12A0" w:rsidP="00105A40">
      <w:pPr>
        <w:spacing w:after="480"/>
        <w:ind w:left="1134" w:firstLine="1134"/>
        <w:rPr>
          <w:szCs w:val="20"/>
        </w:rPr>
      </w:pPr>
      <w:r>
        <w:rPr>
          <w:szCs w:val="20"/>
        </w:rPr>
        <w:t xml:space="preserve">Attendu que la société </w:t>
      </w:r>
      <w:r w:rsidRPr="00D93E6A">
        <w:rPr>
          <w:szCs w:val="20"/>
        </w:rPr>
        <w:t>C</w:t>
      </w:r>
      <w:r w:rsidR="00486661" w:rsidRPr="00D93E6A">
        <w:rPr>
          <w:szCs w:val="20"/>
        </w:rPr>
        <w:t>ô</w:t>
      </w:r>
      <w:r w:rsidRPr="00D93E6A">
        <w:rPr>
          <w:szCs w:val="20"/>
        </w:rPr>
        <w:t>te Ouest Restauration</w:t>
      </w:r>
      <w:r>
        <w:rPr>
          <w:szCs w:val="20"/>
        </w:rPr>
        <w:t xml:space="preserve"> a adressé au greffe de la chambre</w:t>
      </w:r>
      <w:r w:rsidR="00CA5B75">
        <w:rPr>
          <w:szCs w:val="20"/>
        </w:rPr>
        <w:t>,</w:t>
      </w:r>
      <w:r>
        <w:rPr>
          <w:szCs w:val="20"/>
        </w:rPr>
        <w:t xml:space="preserve"> qui l’a enregistré le 14</w:t>
      </w:r>
      <w:r w:rsidR="00B209BC">
        <w:rPr>
          <w:szCs w:val="20"/>
        </w:rPr>
        <w:t xml:space="preserve"> </w:t>
      </w:r>
      <w:r>
        <w:rPr>
          <w:szCs w:val="20"/>
        </w:rPr>
        <w:t>novembre</w:t>
      </w:r>
      <w:r w:rsidR="00B209BC">
        <w:rPr>
          <w:szCs w:val="20"/>
        </w:rPr>
        <w:t xml:space="preserve"> </w:t>
      </w:r>
      <w:r>
        <w:rPr>
          <w:szCs w:val="20"/>
        </w:rPr>
        <w:t>2013</w:t>
      </w:r>
      <w:r w:rsidR="00CA5B75">
        <w:rPr>
          <w:szCs w:val="20"/>
        </w:rPr>
        <w:t>,</w:t>
      </w:r>
      <w:r>
        <w:rPr>
          <w:szCs w:val="20"/>
        </w:rPr>
        <w:t xml:space="preserve"> un document intitulé </w:t>
      </w:r>
      <w:r>
        <w:rPr>
          <w:szCs w:val="20"/>
        </w:rPr>
        <w:lastRenderedPageBreak/>
        <w:t>« </w:t>
      </w:r>
      <w:r w:rsidRPr="000E12A0">
        <w:rPr>
          <w:i/>
          <w:szCs w:val="20"/>
        </w:rPr>
        <w:t>Observations à la Cour des comptes suite à l’appel par la société GDA d’un jugement n°</w:t>
      </w:r>
      <w:r w:rsidR="00CA5B75">
        <w:rPr>
          <w:i/>
          <w:szCs w:val="20"/>
        </w:rPr>
        <w:t> </w:t>
      </w:r>
      <w:r w:rsidRPr="000E12A0">
        <w:rPr>
          <w:i/>
          <w:szCs w:val="20"/>
        </w:rPr>
        <w:t>2013-0006 du 23 juillet 20132 rendu par la chambre régionale des comptes d’Aquitaine, Poitou-Charentes</w:t>
      </w:r>
      <w:r>
        <w:rPr>
          <w:szCs w:val="20"/>
        </w:rPr>
        <w:t> » ; qu</w:t>
      </w:r>
      <w:r w:rsidR="00486661">
        <w:rPr>
          <w:szCs w:val="20"/>
        </w:rPr>
        <w:t>e</w:t>
      </w:r>
      <w:r w:rsidR="000716DD">
        <w:rPr>
          <w:szCs w:val="20"/>
        </w:rPr>
        <w:t xml:space="preserve"> ce document</w:t>
      </w:r>
      <w:r w:rsidR="00486661">
        <w:rPr>
          <w:szCs w:val="20"/>
        </w:rPr>
        <w:t>,</w:t>
      </w:r>
      <w:r>
        <w:rPr>
          <w:szCs w:val="20"/>
        </w:rPr>
        <w:t xml:space="preserve"> faisant référence aux articles R.</w:t>
      </w:r>
      <w:r w:rsidR="004A41FC">
        <w:rPr>
          <w:szCs w:val="20"/>
        </w:rPr>
        <w:t> </w:t>
      </w:r>
      <w:r>
        <w:rPr>
          <w:szCs w:val="20"/>
        </w:rPr>
        <w:t>242-21 et R.</w:t>
      </w:r>
      <w:r w:rsidR="00D93E6A">
        <w:rPr>
          <w:szCs w:val="20"/>
        </w:rPr>
        <w:t> </w:t>
      </w:r>
      <w:r>
        <w:rPr>
          <w:szCs w:val="20"/>
        </w:rPr>
        <w:t>242-22 du</w:t>
      </w:r>
      <w:r w:rsidR="00814DCE">
        <w:rPr>
          <w:szCs w:val="20"/>
        </w:rPr>
        <w:t xml:space="preserve"> CJF</w:t>
      </w:r>
      <w:r>
        <w:rPr>
          <w:szCs w:val="20"/>
        </w:rPr>
        <w:t xml:space="preserve">, </w:t>
      </w:r>
      <w:r w:rsidR="000716DD">
        <w:rPr>
          <w:szCs w:val="20"/>
        </w:rPr>
        <w:t>aurait pu</w:t>
      </w:r>
      <w:r>
        <w:rPr>
          <w:szCs w:val="20"/>
        </w:rPr>
        <w:t xml:space="preserve"> être considéré comme un mémoire en réplique à la requête en appel de la société GDA ; que</w:t>
      </w:r>
      <w:r w:rsidR="00CA5B75">
        <w:rPr>
          <w:szCs w:val="20"/>
        </w:rPr>
        <w:t xml:space="preserve"> toutefois</w:t>
      </w:r>
      <w:r w:rsidR="000716DD">
        <w:rPr>
          <w:szCs w:val="20"/>
        </w:rPr>
        <w:t xml:space="preserve">, sur le fond, il s’agit </w:t>
      </w:r>
      <w:r w:rsidR="00486661">
        <w:rPr>
          <w:szCs w:val="20"/>
        </w:rPr>
        <w:t xml:space="preserve">non </w:t>
      </w:r>
      <w:r w:rsidR="000716DD">
        <w:rPr>
          <w:szCs w:val="20"/>
        </w:rPr>
        <w:t xml:space="preserve">pas </w:t>
      </w:r>
      <w:r w:rsidR="00486661">
        <w:rPr>
          <w:szCs w:val="20"/>
        </w:rPr>
        <w:t>d’un</w:t>
      </w:r>
      <w:r w:rsidR="001A098D">
        <w:rPr>
          <w:szCs w:val="20"/>
        </w:rPr>
        <w:t>e</w:t>
      </w:r>
      <w:r w:rsidR="00486661">
        <w:rPr>
          <w:szCs w:val="20"/>
        </w:rPr>
        <w:t xml:space="preserve"> réplique à la société GDA, mais</w:t>
      </w:r>
      <w:r>
        <w:rPr>
          <w:szCs w:val="20"/>
        </w:rPr>
        <w:t xml:space="preserve"> d’une requête en appel </w:t>
      </w:r>
      <w:r w:rsidR="00486661">
        <w:rPr>
          <w:szCs w:val="20"/>
        </w:rPr>
        <w:t xml:space="preserve">dirigée </w:t>
      </w:r>
      <w:r>
        <w:rPr>
          <w:szCs w:val="20"/>
        </w:rPr>
        <w:t>contre le jugement du 23 juillet 2013</w:t>
      </w:r>
      <w:r w:rsidR="000716DD">
        <w:rPr>
          <w:szCs w:val="20"/>
        </w:rPr>
        <w:t xml:space="preserve"> </w:t>
      </w:r>
      <w:r w:rsidR="00486661">
        <w:rPr>
          <w:szCs w:val="20"/>
        </w:rPr>
        <w:t>en ce qu’il a déclaré com</w:t>
      </w:r>
      <w:r w:rsidR="00ED032C">
        <w:rPr>
          <w:szCs w:val="20"/>
        </w:rPr>
        <w:t xml:space="preserve">ptable de fait la société </w:t>
      </w:r>
      <w:r w:rsidR="00ED032C" w:rsidRPr="00814DCE">
        <w:rPr>
          <w:szCs w:val="20"/>
        </w:rPr>
        <w:t>Côte Ouest R</w:t>
      </w:r>
      <w:r w:rsidR="00486661" w:rsidRPr="00814DCE">
        <w:rPr>
          <w:szCs w:val="20"/>
        </w:rPr>
        <w:t>estauration</w:t>
      </w:r>
      <w:r w:rsidR="001A098D">
        <w:rPr>
          <w:szCs w:val="20"/>
        </w:rPr>
        <w:t>, requête</w:t>
      </w:r>
      <w:r>
        <w:rPr>
          <w:szCs w:val="20"/>
        </w:rPr>
        <w:t xml:space="preserve"> comportant un rappel des faits et de la procédure, une discussion et des conclusions </w:t>
      </w:r>
      <w:r w:rsidR="001A098D">
        <w:rPr>
          <w:szCs w:val="20"/>
        </w:rPr>
        <w:t>indiqu</w:t>
      </w:r>
      <w:r>
        <w:rPr>
          <w:szCs w:val="20"/>
        </w:rPr>
        <w:t>ant la décision attendue de la Cour</w:t>
      </w:r>
      <w:r w:rsidR="00B209BC">
        <w:rPr>
          <w:szCs w:val="20"/>
        </w:rPr>
        <w:t> ;</w:t>
      </w:r>
      <w:r>
        <w:rPr>
          <w:szCs w:val="20"/>
        </w:rPr>
        <w:t xml:space="preserve"> </w:t>
      </w:r>
      <w:r w:rsidR="00E9189E">
        <w:rPr>
          <w:szCs w:val="20"/>
        </w:rPr>
        <w:t xml:space="preserve">que ce document a </w:t>
      </w:r>
      <w:r w:rsidR="000716DD">
        <w:rPr>
          <w:szCs w:val="20"/>
        </w:rPr>
        <w:t xml:space="preserve">d’ailleurs </w:t>
      </w:r>
      <w:r w:rsidR="00E9189E">
        <w:rPr>
          <w:szCs w:val="20"/>
        </w:rPr>
        <w:t xml:space="preserve">été considéré par le greffe de la chambre comme un appel formé contre ledit jugement </w:t>
      </w:r>
      <w:r w:rsidR="001A098D">
        <w:rPr>
          <w:szCs w:val="20"/>
        </w:rPr>
        <w:t>lors</w:t>
      </w:r>
      <w:r w:rsidR="00E9189E">
        <w:rPr>
          <w:szCs w:val="20"/>
        </w:rPr>
        <w:t xml:space="preserve"> de sa </w:t>
      </w:r>
      <w:r w:rsidR="00486661">
        <w:rPr>
          <w:szCs w:val="20"/>
        </w:rPr>
        <w:t>notific</w:t>
      </w:r>
      <w:r w:rsidR="00E9189E">
        <w:rPr>
          <w:szCs w:val="20"/>
        </w:rPr>
        <w:t>ation aux autres parties</w:t>
      </w:r>
      <w:r w:rsidR="000716DD">
        <w:rPr>
          <w:szCs w:val="20"/>
        </w:rPr>
        <w:t xml:space="preserve"> </w:t>
      </w:r>
      <w:r w:rsidR="00CA5B75">
        <w:rPr>
          <w:szCs w:val="20"/>
        </w:rPr>
        <w:t>bien</w:t>
      </w:r>
      <w:r w:rsidR="00E9189E">
        <w:rPr>
          <w:szCs w:val="20"/>
        </w:rPr>
        <w:t xml:space="preserve"> </w:t>
      </w:r>
      <w:r w:rsidR="000716DD">
        <w:rPr>
          <w:szCs w:val="20"/>
        </w:rPr>
        <w:t>qu’il l’ait</w:t>
      </w:r>
      <w:r w:rsidR="00E9189E">
        <w:rPr>
          <w:szCs w:val="20"/>
        </w:rPr>
        <w:t xml:space="preserve"> adressé en tant que requête en appel au </w:t>
      </w:r>
      <w:r w:rsidR="00486661">
        <w:rPr>
          <w:szCs w:val="20"/>
        </w:rPr>
        <w:t>Procureur</w:t>
      </w:r>
      <w:r w:rsidR="00E9189E">
        <w:rPr>
          <w:szCs w:val="20"/>
        </w:rPr>
        <w:t xml:space="preserve"> général </w:t>
      </w:r>
      <w:r w:rsidR="00486661">
        <w:rPr>
          <w:szCs w:val="20"/>
        </w:rPr>
        <w:t>près</w:t>
      </w:r>
      <w:r w:rsidR="00636650">
        <w:rPr>
          <w:szCs w:val="20"/>
        </w:rPr>
        <w:t xml:space="preserve"> la Cour </w:t>
      </w:r>
      <w:r w:rsidR="00486661">
        <w:rPr>
          <w:szCs w:val="20"/>
        </w:rPr>
        <w:t>des comptes</w:t>
      </w:r>
      <w:r w:rsidR="00636650">
        <w:rPr>
          <w:szCs w:val="20"/>
        </w:rPr>
        <w:t> </w:t>
      </w:r>
      <w:r w:rsidR="00E9189E">
        <w:rPr>
          <w:szCs w:val="20"/>
        </w:rPr>
        <w:t>; que ce</w:t>
      </w:r>
      <w:r w:rsidR="001A098D">
        <w:rPr>
          <w:szCs w:val="20"/>
        </w:rPr>
        <w:t>s</w:t>
      </w:r>
      <w:r w:rsidR="00E9189E">
        <w:rPr>
          <w:szCs w:val="20"/>
        </w:rPr>
        <w:t xml:space="preserve"> </w:t>
      </w:r>
      <w:r w:rsidR="001A098D">
        <w:rPr>
          <w:szCs w:val="20"/>
        </w:rPr>
        <w:t>observations</w:t>
      </w:r>
      <w:r w:rsidR="00E9189E">
        <w:rPr>
          <w:szCs w:val="20"/>
        </w:rPr>
        <w:t xml:space="preserve"> ne peu</w:t>
      </w:r>
      <w:r w:rsidR="001A098D">
        <w:rPr>
          <w:szCs w:val="20"/>
        </w:rPr>
        <w:t>ven</w:t>
      </w:r>
      <w:r w:rsidR="00E9189E">
        <w:rPr>
          <w:szCs w:val="20"/>
        </w:rPr>
        <w:t xml:space="preserve">t être </w:t>
      </w:r>
      <w:r w:rsidR="001A098D">
        <w:rPr>
          <w:szCs w:val="20"/>
        </w:rPr>
        <w:t>assimilées à</w:t>
      </w:r>
      <w:r w:rsidR="00E9189E">
        <w:rPr>
          <w:szCs w:val="20"/>
        </w:rPr>
        <w:t xml:space="preserve"> un appel incident au sens de l’article R.</w:t>
      </w:r>
      <w:r w:rsidR="004A41FC">
        <w:rPr>
          <w:szCs w:val="20"/>
        </w:rPr>
        <w:t> </w:t>
      </w:r>
      <w:r w:rsidR="00E9189E">
        <w:rPr>
          <w:szCs w:val="20"/>
        </w:rPr>
        <w:t xml:space="preserve">242-16 du </w:t>
      </w:r>
      <w:r w:rsidR="00814DCE">
        <w:rPr>
          <w:szCs w:val="20"/>
        </w:rPr>
        <w:t xml:space="preserve">CJF </w:t>
      </w:r>
      <w:r w:rsidR="00E9189E">
        <w:rPr>
          <w:szCs w:val="20"/>
        </w:rPr>
        <w:t>dès lors que la société</w:t>
      </w:r>
      <w:r w:rsidR="00B209BC">
        <w:rPr>
          <w:szCs w:val="20"/>
        </w:rPr>
        <w:t xml:space="preserve"> </w:t>
      </w:r>
      <w:r w:rsidR="00E9189E" w:rsidRPr="00814DCE">
        <w:rPr>
          <w:szCs w:val="20"/>
        </w:rPr>
        <w:t>C</w:t>
      </w:r>
      <w:r w:rsidR="001A098D" w:rsidRPr="00814DCE">
        <w:rPr>
          <w:szCs w:val="20"/>
        </w:rPr>
        <w:t>ô</w:t>
      </w:r>
      <w:r w:rsidR="00E9189E" w:rsidRPr="00814DCE">
        <w:rPr>
          <w:szCs w:val="20"/>
        </w:rPr>
        <w:t>te Ouest Restauration</w:t>
      </w:r>
      <w:r w:rsidR="00E9189E">
        <w:rPr>
          <w:szCs w:val="20"/>
        </w:rPr>
        <w:t xml:space="preserve"> ne réplique pas à la requête en appel de la société</w:t>
      </w:r>
      <w:r w:rsidR="00B209BC">
        <w:rPr>
          <w:szCs w:val="20"/>
        </w:rPr>
        <w:t xml:space="preserve"> </w:t>
      </w:r>
      <w:r w:rsidR="00E9189E">
        <w:rPr>
          <w:szCs w:val="20"/>
        </w:rPr>
        <w:t>GDA</w:t>
      </w:r>
      <w:r w:rsidR="00636650">
        <w:rPr>
          <w:szCs w:val="20"/>
        </w:rPr>
        <w:t>,</w:t>
      </w:r>
      <w:r w:rsidR="00E9189E">
        <w:rPr>
          <w:szCs w:val="20"/>
        </w:rPr>
        <w:t xml:space="preserve"> qui n’était pas dirigé</w:t>
      </w:r>
      <w:r w:rsidR="001A098D">
        <w:rPr>
          <w:szCs w:val="20"/>
        </w:rPr>
        <w:t>e</w:t>
      </w:r>
      <w:r w:rsidR="00E9189E">
        <w:rPr>
          <w:szCs w:val="20"/>
        </w:rPr>
        <w:t xml:space="preserve"> contre elle</w:t>
      </w:r>
      <w:r w:rsidR="00636650">
        <w:rPr>
          <w:szCs w:val="20"/>
        </w:rPr>
        <w:t>,</w:t>
      </w:r>
      <w:r w:rsidR="00E9189E">
        <w:rPr>
          <w:szCs w:val="20"/>
        </w:rPr>
        <w:t xml:space="preserve"> mais demande seulement l’infirmation du jugement dont il a été élevé appel, en tant que ce jugement l’a déclaré</w:t>
      </w:r>
      <w:r w:rsidR="001A098D">
        <w:rPr>
          <w:szCs w:val="20"/>
        </w:rPr>
        <w:t>e</w:t>
      </w:r>
      <w:r w:rsidR="00E9189E">
        <w:rPr>
          <w:szCs w:val="20"/>
        </w:rPr>
        <w:t xml:space="preserve"> comptable de fait ; qu’il s’agit donc non d’un appel incident mais</w:t>
      </w:r>
      <w:r w:rsidR="000716DD">
        <w:rPr>
          <w:szCs w:val="20"/>
        </w:rPr>
        <w:t>, implicitement,</w:t>
      </w:r>
      <w:r w:rsidR="00E9189E">
        <w:rPr>
          <w:szCs w:val="20"/>
        </w:rPr>
        <w:t xml:space="preserve"> d’un appel principal ; qu’en conséquence, il est soumis au délai fixé par l’article R.</w:t>
      </w:r>
      <w:r w:rsidR="00814DCE">
        <w:rPr>
          <w:szCs w:val="20"/>
        </w:rPr>
        <w:t> </w:t>
      </w:r>
      <w:r w:rsidR="00E9189E">
        <w:rPr>
          <w:szCs w:val="20"/>
        </w:rPr>
        <w:t xml:space="preserve">242-18 </w:t>
      </w:r>
      <w:r w:rsidR="001A098D">
        <w:rPr>
          <w:szCs w:val="20"/>
        </w:rPr>
        <w:t>précité</w:t>
      </w:r>
      <w:r w:rsidR="00E9189E">
        <w:rPr>
          <w:szCs w:val="20"/>
        </w:rPr>
        <w:t xml:space="preserve"> ; que </w:t>
      </w:r>
      <w:r w:rsidR="001E089A">
        <w:rPr>
          <w:szCs w:val="20"/>
        </w:rPr>
        <w:t>le jugement du 23</w:t>
      </w:r>
      <w:r w:rsidR="00B209BC">
        <w:rPr>
          <w:szCs w:val="20"/>
        </w:rPr>
        <w:t xml:space="preserve"> </w:t>
      </w:r>
      <w:r w:rsidR="001E089A">
        <w:rPr>
          <w:szCs w:val="20"/>
        </w:rPr>
        <w:t>juillet</w:t>
      </w:r>
      <w:r w:rsidR="00B209BC">
        <w:rPr>
          <w:szCs w:val="20"/>
        </w:rPr>
        <w:t xml:space="preserve"> </w:t>
      </w:r>
      <w:r w:rsidR="001E089A">
        <w:rPr>
          <w:szCs w:val="20"/>
        </w:rPr>
        <w:t xml:space="preserve">2013 a été notifié à la société </w:t>
      </w:r>
      <w:r w:rsidR="001E089A" w:rsidRPr="00814DCE">
        <w:rPr>
          <w:szCs w:val="20"/>
        </w:rPr>
        <w:t>C</w:t>
      </w:r>
      <w:r w:rsidR="001A098D" w:rsidRPr="00814DCE">
        <w:rPr>
          <w:szCs w:val="20"/>
        </w:rPr>
        <w:t>ô</w:t>
      </w:r>
      <w:r w:rsidR="001E089A" w:rsidRPr="00814DCE">
        <w:rPr>
          <w:szCs w:val="20"/>
        </w:rPr>
        <w:t>te Ouest Restauration</w:t>
      </w:r>
      <w:r w:rsidR="001E089A">
        <w:rPr>
          <w:szCs w:val="20"/>
        </w:rPr>
        <w:t xml:space="preserve"> le 8 août 2013 ; qu</w:t>
      </w:r>
      <w:r w:rsidR="00F16A08">
        <w:rPr>
          <w:szCs w:val="20"/>
        </w:rPr>
        <w:t>e</w:t>
      </w:r>
      <w:r w:rsidR="00CA5B75">
        <w:rPr>
          <w:szCs w:val="20"/>
        </w:rPr>
        <w:t>,</w:t>
      </w:r>
      <w:r w:rsidR="00F16A08">
        <w:rPr>
          <w:szCs w:val="20"/>
        </w:rPr>
        <w:t xml:space="preserve"> dès lors</w:t>
      </w:r>
      <w:r w:rsidR="001E089A">
        <w:rPr>
          <w:szCs w:val="20"/>
        </w:rPr>
        <w:t>, sa requête en appel</w:t>
      </w:r>
      <w:r w:rsidR="001A098D">
        <w:rPr>
          <w:szCs w:val="20"/>
        </w:rPr>
        <w:t>,</w:t>
      </w:r>
      <w:r w:rsidR="001E089A">
        <w:rPr>
          <w:szCs w:val="20"/>
        </w:rPr>
        <w:t xml:space="preserve"> enregistrée au greffe de la chambre le 14</w:t>
      </w:r>
      <w:r w:rsidR="00B209BC">
        <w:rPr>
          <w:szCs w:val="20"/>
        </w:rPr>
        <w:t xml:space="preserve"> </w:t>
      </w:r>
      <w:r w:rsidR="001E089A">
        <w:rPr>
          <w:szCs w:val="20"/>
        </w:rPr>
        <w:t>novembre</w:t>
      </w:r>
      <w:r w:rsidR="00B209BC">
        <w:rPr>
          <w:szCs w:val="20"/>
        </w:rPr>
        <w:t xml:space="preserve"> </w:t>
      </w:r>
      <w:r w:rsidR="008F0B75">
        <w:rPr>
          <w:szCs w:val="20"/>
        </w:rPr>
        <w:t>2013</w:t>
      </w:r>
      <w:r w:rsidR="001E089A">
        <w:rPr>
          <w:szCs w:val="20"/>
        </w:rPr>
        <w:t xml:space="preserve">, </w:t>
      </w:r>
      <w:r w:rsidR="001A098D">
        <w:rPr>
          <w:szCs w:val="20"/>
        </w:rPr>
        <w:t>soit</w:t>
      </w:r>
      <w:r w:rsidR="00B209BC">
        <w:rPr>
          <w:szCs w:val="20"/>
        </w:rPr>
        <w:t xml:space="preserve"> </w:t>
      </w:r>
      <w:r w:rsidR="001E089A">
        <w:rPr>
          <w:szCs w:val="20"/>
        </w:rPr>
        <w:t xml:space="preserve">hors </w:t>
      </w:r>
      <w:r w:rsidR="001A098D">
        <w:rPr>
          <w:szCs w:val="20"/>
        </w:rPr>
        <w:t xml:space="preserve">du </w:t>
      </w:r>
      <w:r w:rsidR="001E089A">
        <w:rPr>
          <w:szCs w:val="20"/>
        </w:rPr>
        <w:t xml:space="preserve">délai </w:t>
      </w:r>
      <w:r w:rsidR="00F16A08">
        <w:rPr>
          <w:szCs w:val="20"/>
        </w:rPr>
        <w:t>de deux mois précité</w:t>
      </w:r>
      <w:r w:rsidR="00814DCE">
        <w:rPr>
          <w:szCs w:val="20"/>
        </w:rPr>
        <w:t>, est irrecevable</w:t>
      </w:r>
      <w:r w:rsidR="00B209BC">
        <w:rPr>
          <w:szCs w:val="20"/>
        </w:rPr>
        <w:t> ;</w:t>
      </w:r>
    </w:p>
    <w:p w:rsidR="001E089A" w:rsidRPr="001E089A" w:rsidRDefault="001E089A" w:rsidP="00105A40">
      <w:pPr>
        <w:spacing w:after="480"/>
        <w:ind w:left="1134" w:firstLine="1134"/>
        <w:rPr>
          <w:b/>
          <w:i/>
          <w:szCs w:val="20"/>
        </w:rPr>
      </w:pPr>
      <w:r w:rsidRPr="001E089A">
        <w:rPr>
          <w:b/>
          <w:i/>
          <w:szCs w:val="20"/>
        </w:rPr>
        <w:t xml:space="preserve">Sur </w:t>
      </w:r>
      <w:r w:rsidR="00DB7C73">
        <w:rPr>
          <w:b/>
          <w:i/>
          <w:szCs w:val="20"/>
        </w:rPr>
        <w:t>la gestion de fait des deniers du lycée</w:t>
      </w:r>
    </w:p>
    <w:p w:rsidR="00F16A08" w:rsidRDefault="00105A40" w:rsidP="00105A40">
      <w:pPr>
        <w:spacing w:after="480"/>
        <w:ind w:left="1134" w:firstLine="1134"/>
        <w:rPr>
          <w:szCs w:val="20"/>
        </w:rPr>
      </w:pPr>
      <w:r>
        <w:rPr>
          <w:szCs w:val="20"/>
        </w:rPr>
        <w:t xml:space="preserve">Attendu que la société GDA, dans sa requête en appel, sollicite l’infirmation du jugement du 23 juillet 2013 au seul motif qu’il serait entaché d’une erreur de droit, résultant d’une application inexacte des dispositions combinées de l’article 60 de la loi du 23 février 1963 et de l’article 22 du décret du 29 décembre </w:t>
      </w:r>
      <w:r w:rsidR="008F0B75">
        <w:rPr>
          <w:szCs w:val="20"/>
        </w:rPr>
        <w:t>1962 portant règlement général sur</w:t>
      </w:r>
      <w:r>
        <w:rPr>
          <w:szCs w:val="20"/>
        </w:rPr>
        <w:t xml:space="preserve"> la comptabilité publique</w:t>
      </w:r>
      <w:r w:rsidR="00F16A08">
        <w:rPr>
          <w:szCs w:val="20"/>
        </w:rPr>
        <w:t> ;</w:t>
      </w:r>
    </w:p>
    <w:p w:rsidR="000464AF" w:rsidRDefault="000464AF" w:rsidP="00105A40">
      <w:pPr>
        <w:spacing w:after="480"/>
        <w:ind w:left="1134" w:firstLine="1134"/>
      </w:pPr>
      <w:r>
        <w:rPr>
          <w:szCs w:val="20"/>
        </w:rPr>
        <w:t>Attendu qu</w:t>
      </w:r>
      <w:r w:rsidR="00F16A08">
        <w:rPr>
          <w:szCs w:val="20"/>
        </w:rPr>
        <w:t xml:space="preserve">’aux termes </w:t>
      </w:r>
      <w:r w:rsidR="004B678F">
        <w:t>de l’</w:t>
      </w:r>
      <w:r w:rsidRPr="000464AF">
        <w:t>article 60-XI de la loi du 23 février 1963</w:t>
      </w:r>
      <w:r w:rsidR="00F16A08">
        <w:t>,</w:t>
      </w:r>
      <w:r>
        <w:t xml:space="preserve"> « </w:t>
      </w:r>
      <w:r w:rsidRPr="000464AF">
        <w:rPr>
          <w:i/>
          <w:iCs/>
          <w:szCs w:val="20"/>
        </w:rPr>
        <w:t xml:space="preserve"> Toute personne qui, sans avoir la qualité de comptable public ou sans agir sous contrôle et pour le compte d'un comptable public, s'ingère dans le recouvrement de recettes affectées ou destinées à un organisme public doté d'un poste comptable ou dépendant d'un tel poste doit, nonobstant les poursuites qui pourraient être engagées devant les juridictions répressives, rendre compte au juge financer de l'emploi des fonds ou valeurs qu'elle a irrégulièrement détenus ou maniés</w:t>
      </w:r>
      <w:r w:rsidR="00F16A08">
        <w:rPr>
          <w:i/>
          <w:iCs/>
          <w:szCs w:val="20"/>
        </w:rPr>
        <w:t>…</w:t>
      </w:r>
      <w:r>
        <w:rPr>
          <w:i/>
          <w:iCs/>
          <w:szCs w:val="20"/>
        </w:rPr>
        <w:t xml:space="preserve"> » ; </w:t>
      </w:r>
      <w:r w:rsidR="00F16A08" w:rsidRPr="00F16A08">
        <w:rPr>
          <w:iCs/>
          <w:szCs w:val="20"/>
        </w:rPr>
        <w:t xml:space="preserve">qu’aux termes de </w:t>
      </w:r>
      <w:r>
        <w:rPr>
          <w:iCs/>
          <w:szCs w:val="20"/>
        </w:rPr>
        <w:t xml:space="preserve"> l’article 22 du décret du 29 décembre 1962</w:t>
      </w:r>
      <w:r w:rsidR="005D34B6">
        <w:rPr>
          <w:iCs/>
          <w:szCs w:val="20"/>
        </w:rPr>
        <w:t xml:space="preserve">, en vigueur </w:t>
      </w:r>
      <w:r w:rsidR="00F16A08">
        <w:rPr>
          <w:iCs/>
          <w:szCs w:val="20"/>
        </w:rPr>
        <w:t>au moment</w:t>
      </w:r>
      <w:r w:rsidR="005D34B6">
        <w:rPr>
          <w:iCs/>
          <w:szCs w:val="20"/>
        </w:rPr>
        <w:t xml:space="preserve"> des faits</w:t>
      </w:r>
      <w:r>
        <w:rPr>
          <w:iCs/>
          <w:szCs w:val="20"/>
        </w:rPr>
        <w:t> : « </w:t>
      </w:r>
      <w:r w:rsidR="001179CE" w:rsidRPr="006A5F93">
        <w:rPr>
          <w:rStyle w:val="Accentuation"/>
        </w:rPr>
        <w:t>Les recettes des organismes publics comprennent les produits d'impôts, de taxes, de droits et les autres produits autorisés par les lois et règlements en vigueur ou résultant de décisions de justice ou de conventions</w:t>
      </w:r>
      <w:r w:rsidR="00B209BC">
        <w:t> » ;</w:t>
      </w:r>
    </w:p>
    <w:p w:rsidR="001E63EC" w:rsidRDefault="001E63EC" w:rsidP="00105A40">
      <w:pPr>
        <w:spacing w:after="480"/>
        <w:ind w:left="1134" w:firstLine="1134"/>
      </w:pPr>
      <w:r>
        <w:t xml:space="preserve">Attendu que le jugement </w:t>
      </w:r>
      <w:r w:rsidR="005D34B6">
        <w:t>attaqué</w:t>
      </w:r>
      <w:r>
        <w:t xml:space="preserve"> considère que « </w:t>
      </w:r>
      <w:r w:rsidRPr="00D010FE">
        <w:rPr>
          <w:i/>
          <w:iCs/>
        </w:rPr>
        <w:t xml:space="preserve">les chèques cadeaux, bons d'achat et points fidélités monétisables, utilisés ou non utilisés, et monétisés </w:t>
      </w:r>
      <w:r w:rsidRPr="00D010FE">
        <w:rPr>
          <w:i/>
          <w:iCs/>
        </w:rPr>
        <w:lastRenderedPageBreak/>
        <w:t xml:space="preserve">ou non reçus par </w:t>
      </w:r>
      <w:r w:rsidR="00757823">
        <w:rPr>
          <w:i/>
          <w:iCs/>
        </w:rPr>
        <w:t>M. X</w:t>
      </w:r>
      <w:r w:rsidRPr="00D010FE">
        <w:rPr>
          <w:i/>
          <w:iCs/>
        </w:rPr>
        <w:t xml:space="preserve"> en relation avec des achats public</w:t>
      </w:r>
      <w:r w:rsidR="00B209BC">
        <w:rPr>
          <w:i/>
          <w:iCs/>
        </w:rPr>
        <w:t>s</w:t>
      </w:r>
      <w:r w:rsidRPr="00D010FE">
        <w:rPr>
          <w:i/>
          <w:iCs/>
        </w:rPr>
        <w:t xml:space="preserve"> effectués pour le compte du lycée, constituent des valeurs représentatives de recettes à destination de l'établissement public</w:t>
      </w:r>
      <w:r w:rsidRPr="00D010FE">
        <w:t xml:space="preserve"> et que </w:t>
      </w:r>
      <w:r w:rsidRPr="00D010FE">
        <w:rPr>
          <w:i/>
          <w:iCs/>
        </w:rPr>
        <w:t>la détention par une personne non habilitée à</w:t>
      </w:r>
      <w:r w:rsidR="00B209BC">
        <w:rPr>
          <w:i/>
          <w:iCs/>
        </w:rPr>
        <w:t xml:space="preserve"> </w:t>
      </w:r>
      <w:r w:rsidRPr="00D010FE">
        <w:rPr>
          <w:i/>
          <w:iCs/>
        </w:rPr>
        <w:t>détenir ou manier des fonds et valeurs publics est constitutive d'un acte de gestion de fait</w:t>
      </w:r>
      <w:r w:rsidR="00F16A08">
        <w:t> »</w:t>
      </w:r>
      <w:r>
        <w:t> ; que</w:t>
      </w:r>
      <w:r w:rsidRPr="00D010FE">
        <w:t xml:space="preserve"> </w:t>
      </w:r>
      <w:r w:rsidR="00F16A08">
        <w:t>« </w:t>
      </w:r>
      <w:r w:rsidRPr="00D010FE">
        <w:rPr>
          <w:i/>
          <w:iCs/>
        </w:rPr>
        <w:t>l'opération visant à attribuer des chèques-cadeaux et des bons d'achat ou l'engagement de créditer sous forme de bons d'achat le compte fidélité de ses clients ne constitue pas une opération de réduction de prix (rabais, ristourne ou remise) mais une prime attachée à l'achat de produits</w:t>
      </w:r>
      <w:r w:rsidR="00B209BC">
        <w:rPr>
          <w:i/>
          <w:iCs/>
        </w:rPr>
        <w:t> </w:t>
      </w:r>
      <w:r w:rsidRPr="00D010FE">
        <w:rPr>
          <w:i/>
          <w:iCs/>
        </w:rPr>
        <w:t>; qu'à la différence du cadeau, l'attribution de prime est, par nature, liée à un achat préalable et qu'il s'agit donc d'un accessoire du contrat mais extérieur à celui-ci puisque initié par le seul fournisseur, le caractère unilatéral de son octroi l'excluant du contrat</w:t>
      </w:r>
      <w:r w:rsidR="00F16A08">
        <w:rPr>
          <w:i/>
          <w:iCs/>
        </w:rPr>
        <w:t> »</w:t>
      </w:r>
      <w:r>
        <w:rPr>
          <w:i/>
          <w:iCs/>
        </w:rPr>
        <w:t xml:space="preserve"> ; </w:t>
      </w:r>
      <w:r w:rsidRPr="005A65EE">
        <w:t>qu’</w:t>
      </w:r>
      <w:r w:rsidR="005D34B6">
        <w:t>il estime enfin</w:t>
      </w:r>
      <w:r w:rsidRPr="00D010FE">
        <w:t xml:space="preserve"> que </w:t>
      </w:r>
      <w:r w:rsidR="00F16A08">
        <w:t>« </w:t>
      </w:r>
      <w:r w:rsidRPr="00D010FE">
        <w:rPr>
          <w:i/>
          <w:iCs/>
        </w:rPr>
        <w:t>les primes octroyées en tant qu'accessoire des contrats d'achat conclus par le lycée avaient vocation à bénéficier à l'établissement scolaire et non à ses agents</w:t>
      </w:r>
      <w:r w:rsidR="00F16A08">
        <w:rPr>
          <w:i/>
          <w:iCs/>
        </w:rPr>
        <w:t> »</w:t>
      </w:r>
      <w:r>
        <w:t> ;</w:t>
      </w:r>
    </w:p>
    <w:p w:rsidR="005A65EE" w:rsidRDefault="005D34B6" w:rsidP="00105A40">
      <w:pPr>
        <w:spacing w:after="480"/>
        <w:ind w:left="1134" w:firstLine="1134"/>
      </w:pPr>
      <w:r>
        <w:t>Attendu</w:t>
      </w:r>
      <w:r w:rsidR="005A65EE">
        <w:t xml:space="preserve"> que la chambre régionale des comptes a considéré à juste titre que les avantages accordés par la société requérante sont </w:t>
      </w:r>
      <w:r>
        <w:t>direct</w:t>
      </w:r>
      <w:r w:rsidR="005A65EE">
        <w:t>ement liés aux commandes passées dans le cadre du marché public de fournitures de denrées alimentaires dont elle est cocontractante puisque le nombre de chèques-cadeaux ou de points accordés dépendait du montant des commandes passées ; qu’en conséquence ces avantages d</w:t>
      </w:r>
      <w:r w:rsidR="009405BF">
        <w:t>evaient</w:t>
      </w:r>
      <w:r w:rsidR="005A65EE">
        <w:t xml:space="preserve"> bénéficier à l’établissement public, ce que la requérante ne conteste d’ailleurs pas ;</w:t>
      </w:r>
    </w:p>
    <w:p w:rsidR="00154B95" w:rsidRDefault="005D34B6" w:rsidP="00105A40">
      <w:pPr>
        <w:spacing w:after="480"/>
        <w:ind w:left="1134" w:firstLine="1134"/>
      </w:pPr>
      <w:r>
        <w:t>Attendu</w:t>
      </w:r>
      <w:r w:rsidR="00531F39">
        <w:t xml:space="preserve"> que</w:t>
      </w:r>
      <w:r w:rsidR="00154B95">
        <w:t xml:space="preserve">, dès lors que ces avantages </w:t>
      </w:r>
      <w:r w:rsidR="00636650">
        <w:t>étaient</w:t>
      </w:r>
      <w:r w:rsidR="00154B95">
        <w:t xml:space="preserve"> destinés à l’établissement public au mêm</w:t>
      </w:r>
      <w:r w:rsidR="00ED032C">
        <w:t>e</w:t>
      </w:r>
      <w:r w:rsidR="00154B95">
        <w:t xml:space="preserve"> titre que l</w:t>
      </w:r>
      <w:r w:rsidR="00636650">
        <w:t>’auraient été</w:t>
      </w:r>
      <w:r w:rsidR="00154B95">
        <w:t xml:space="preserve"> des dons librement consentis</w:t>
      </w:r>
      <w:r w:rsidR="00ED032C">
        <w:t xml:space="preserve"> par un tiers</w:t>
      </w:r>
      <w:r w:rsidR="00154B95">
        <w:t>,</w:t>
      </w:r>
      <w:r w:rsidR="00531F39">
        <w:t xml:space="preserve"> le caractère unilatéral de l’octroi de ces avantages commerciaux </w:t>
      </w:r>
      <w:r w:rsidR="00A97C1B">
        <w:t xml:space="preserve">et le fait que la société GDA puisse y mettre un terme </w:t>
      </w:r>
      <w:r w:rsidR="00154B95">
        <w:t xml:space="preserve">ou les modifier </w:t>
      </w:r>
      <w:r w:rsidR="00A97C1B">
        <w:t>à tout moment dans la mesure où ils ne procèdent pas d’un engagement contractuel qu’elle aurait souscrit ne fo</w:t>
      </w:r>
      <w:r w:rsidR="00154B95">
        <w:t>nt nullement obstacle, puis</w:t>
      </w:r>
      <w:r w:rsidR="00A97C1B">
        <w:t>qu’</w:t>
      </w:r>
      <w:r w:rsidR="00154B95">
        <w:t>il n’est pas discuté qu’ils so</w:t>
      </w:r>
      <w:r w:rsidR="00A97C1B">
        <w:t>nt licites, à leur qualification en tant que recette</w:t>
      </w:r>
      <w:r w:rsidR="006E5FB2">
        <w:t>s</w:t>
      </w:r>
      <w:r w:rsidR="00A97C1B">
        <w:t xml:space="preserve"> publique</w:t>
      </w:r>
      <w:r w:rsidR="006E5FB2">
        <w:t>s</w:t>
      </w:r>
      <w:r w:rsidR="00A97C1B">
        <w:t xml:space="preserve"> au sens de l’article 22 précité du règlement général sur la comptabilité publique et en tant que valeurs destinées à la caisse du comptable de l’établissement public au sens de l’article 60-XI précité de la loi de finances du 23 février 1963 ; qu’ainsi</w:t>
      </w:r>
      <w:r w:rsidR="006E5FB2">
        <w:t>,</w:t>
      </w:r>
      <w:r w:rsidR="00ED032C">
        <w:t xml:space="preserve"> depuis</w:t>
      </w:r>
      <w:r w:rsidR="00A97C1B">
        <w:t xml:space="preserve"> qu’elles ont été remises à M.</w:t>
      </w:r>
      <w:r w:rsidR="006A67B9">
        <w:t> </w:t>
      </w:r>
      <w:r w:rsidR="00757823">
        <w:t>X</w:t>
      </w:r>
      <w:r w:rsidR="00A97C1B">
        <w:t xml:space="preserve">, chargé de la réception des commandes du lycée, ces valeurs ont </w:t>
      </w:r>
      <w:r w:rsidR="00F16A08">
        <w:t>acquis</w:t>
      </w:r>
      <w:r w:rsidR="00A97C1B">
        <w:t xml:space="preserve"> le caractère de deniers publics</w:t>
      </w:r>
      <w:r w:rsidR="00F16A08">
        <w:t> ; que, par conséquent,</w:t>
      </w:r>
      <w:r w:rsidR="00A97C1B">
        <w:t xml:space="preserve"> leur détention et leur maniement par une personne non habilitée pour ce faire a caractérisé une gestion de fait des deniers du lycée ;</w:t>
      </w:r>
    </w:p>
    <w:p w:rsidR="00DB7C73" w:rsidRDefault="00DB7C73" w:rsidP="00105A40">
      <w:pPr>
        <w:spacing w:after="480"/>
        <w:ind w:left="1134" w:firstLine="1134"/>
        <w:rPr>
          <w:b/>
          <w:i/>
          <w:szCs w:val="20"/>
        </w:rPr>
      </w:pPr>
      <w:r w:rsidRPr="001E089A">
        <w:rPr>
          <w:b/>
          <w:i/>
          <w:szCs w:val="20"/>
        </w:rPr>
        <w:t xml:space="preserve">Sur </w:t>
      </w:r>
      <w:r>
        <w:rPr>
          <w:b/>
          <w:i/>
          <w:szCs w:val="20"/>
        </w:rPr>
        <w:t>la qualité de comptable de fait de la société GDA</w:t>
      </w:r>
    </w:p>
    <w:p w:rsidR="00F16A08" w:rsidRDefault="00F16A08" w:rsidP="00105A40">
      <w:pPr>
        <w:spacing w:after="480"/>
        <w:ind w:left="1134" w:firstLine="1134"/>
      </w:pPr>
      <w:r>
        <w:t>Attendu que</w:t>
      </w:r>
      <w:r w:rsidRPr="00F16A08">
        <w:t xml:space="preserve"> la société GDA </w:t>
      </w:r>
      <w:r w:rsidR="00DB7C73">
        <w:t>fait valoir</w:t>
      </w:r>
      <w:r w:rsidRPr="00F16A08">
        <w:t xml:space="preserve"> que M.</w:t>
      </w:r>
      <w:r w:rsidR="006A67B9">
        <w:t> </w:t>
      </w:r>
      <w:r w:rsidR="00757823">
        <w:t>X</w:t>
      </w:r>
      <w:r w:rsidRPr="00F16A08">
        <w:t xml:space="preserve"> s'est toujours présenté à ses salariés assurant la livraison des denrées alimentaires comme étant habilité non seulement à passer les commandes mais aussi à les réceptionner</w:t>
      </w:r>
      <w:r w:rsidR="00B209BC">
        <w:t> ;</w:t>
      </w:r>
      <w:r w:rsidRPr="00F16A08">
        <w:t xml:space="preserve"> que</w:t>
      </w:r>
      <w:r w:rsidR="00B209BC">
        <w:t xml:space="preserve"> </w:t>
      </w:r>
      <w:r w:rsidRPr="00F16A08">
        <w:t>le lycée n'a jamais contesté la validité des commandes passées par cet agent et a toujours réglé les livraisons effectuées dans ces conditions</w:t>
      </w:r>
      <w:r w:rsidR="006E06A4">
        <w:t xml:space="preserve"> ; </w:t>
      </w:r>
      <w:r w:rsidRPr="00F16A08">
        <w:t>que</w:t>
      </w:r>
      <w:r w:rsidR="006E06A4">
        <w:t>, par conséquent,</w:t>
      </w:r>
      <w:r w:rsidRPr="00F16A08">
        <w:t xml:space="preserve"> les représentants de GDA pouvaient légitimement </w:t>
      </w:r>
      <w:r w:rsidR="006E06A4">
        <w:t xml:space="preserve">considérer </w:t>
      </w:r>
      <w:r w:rsidRPr="00F16A08">
        <w:t>M.</w:t>
      </w:r>
      <w:r w:rsidR="006A67B9">
        <w:t> </w:t>
      </w:r>
      <w:r w:rsidR="00757823">
        <w:t>X</w:t>
      </w:r>
      <w:r w:rsidRPr="00F16A08">
        <w:t xml:space="preserve"> </w:t>
      </w:r>
      <w:r w:rsidR="00636650">
        <w:t>comme</w:t>
      </w:r>
      <w:r w:rsidRPr="00F16A08">
        <w:t xml:space="preserve"> </w:t>
      </w:r>
      <w:r w:rsidR="00636650">
        <w:t>également</w:t>
      </w:r>
      <w:r w:rsidRPr="00F16A08">
        <w:t xml:space="preserve"> habilité à recevoir les cadeaux commerciaux précités, sans avoir à se </w:t>
      </w:r>
      <w:r w:rsidRPr="00F16A08">
        <w:lastRenderedPageBreak/>
        <w:t xml:space="preserve">poser la question de savoir si ce dernier </w:t>
      </w:r>
      <w:r w:rsidRPr="00DB7C73">
        <w:rPr>
          <w:i/>
        </w:rPr>
        <w:t>« les répercutait en comptabilité publique ou bien les gardait pour lui</w:t>
      </w:r>
      <w:r w:rsidRPr="00F16A08">
        <w:t xml:space="preserve"> »</w:t>
      </w:r>
      <w:r w:rsidR="00B209BC">
        <w:t> ;</w:t>
      </w:r>
    </w:p>
    <w:p w:rsidR="00DB7C73" w:rsidRDefault="00DB7C73" w:rsidP="00105A40">
      <w:pPr>
        <w:spacing w:after="480"/>
        <w:ind w:left="1134" w:firstLine="1134"/>
      </w:pPr>
      <w:r w:rsidRPr="00DB7C73">
        <w:t>A</w:t>
      </w:r>
      <w:r>
        <w:t xml:space="preserve">ttendu que le Procureur général </w:t>
      </w:r>
      <w:r w:rsidR="006E06A4">
        <w:t>estime</w:t>
      </w:r>
      <w:r w:rsidRPr="00DB7C73">
        <w:t xml:space="preserve"> que la participation de la société au maniement des fonds publics a revêtu un triple aspect</w:t>
      </w:r>
      <w:r>
        <w:t> ; qu’elle</w:t>
      </w:r>
      <w:r w:rsidRPr="00DB7C73">
        <w:t xml:space="preserve"> n’a pas remis au comptable public du lycée, comme elle l’aurait dû, les avantages qu’elle entendait consentir à cet établissement, ne pouvant cependant ignorer que, quand bien même le cuisinier de l’établissement était son interlocuteur habituel pour la passation des commandes et leur réception, il n’était pas chargé de </w:t>
      </w:r>
      <w:r>
        <w:t>ré</w:t>
      </w:r>
      <w:r w:rsidRPr="00DB7C73">
        <w:t>gle</w:t>
      </w:r>
      <w:r>
        <w:t>r l</w:t>
      </w:r>
      <w:r w:rsidRPr="00DB7C73">
        <w:t xml:space="preserve">es factures que l’entreprise adressait à l’établissement ni, </w:t>
      </w:r>
      <w:r w:rsidRPr="00DB7C73">
        <w:rPr>
          <w:i/>
        </w:rPr>
        <w:t>a fortiori</w:t>
      </w:r>
      <w:r w:rsidRPr="00DB7C73">
        <w:t>, de</w:t>
      </w:r>
      <w:r>
        <w:t xml:space="preserve"> recevoir le</w:t>
      </w:r>
      <w:r w:rsidRPr="00DB7C73">
        <w:t>s avantages qui suivaient ce règlement en fonction d’un seuil de chiffre d’affaires atteint</w:t>
      </w:r>
      <w:r w:rsidR="00B209BC">
        <w:t> </w:t>
      </w:r>
      <w:r w:rsidRPr="00DB7C73">
        <w:t xml:space="preserve">; </w:t>
      </w:r>
      <w:r>
        <w:t xml:space="preserve">que </w:t>
      </w:r>
      <w:r w:rsidRPr="00DB7C73">
        <w:t>le caractère anonyme des chèques-cadeaux a facilité la dissimulation des o</w:t>
      </w:r>
      <w:r>
        <w:t>pérations au comptable de droit </w:t>
      </w:r>
      <w:r w:rsidRPr="00DB7C73">
        <w:t xml:space="preserve">; </w:t>
      </w:r>
      <w:r>
        <w:t xml:space="preserve">qu’enfin </w:t>
      </w:r>
      <w:r w:rsidRPr="00DB7C73">
        <w:t xml:space="preserve">l’attribution de points donnait à l’établissement un droit à des recettes (sous forme de cadeaux sur catalogue), restées dans les comptes de la société tant </w:t>
      </w:r>
      <w:r>
        <w:t>que ce droit n’était pas exercé ;</w:t>
      </w:r>
    </w:p>
    <w:p w:rsidR="006E06A4" w:rsidRDefault="00154B95" w:rsidP="00105A40">
      <w:pPr>
        <w:spacing w:after="480"/>
        <w:ind w:left="1134" w:firstLine="1134"/>
      </w:pPr>
      <w:r>
        <w:t>Attendu cependant qu’il n’est pas démontré qu’en remettant ces valeurs à M.</w:t>
      </w:r>
      <w:r w:rsidR="006A67B9">
        <w:t> </w:t>
      </w:r>
      <w:r w:rsidR="00757823">
        <w:t>X</w:t>
      </w:r>
      <w:r>
        <w:t xml:space="preserve"> qui pouvait à ses yeux apparaître comme un représentant légitime de l’établissement eu égard au rôle qui était le sien dans la passation et la réception des commandes, la société GDA a</w:t>
      </w:r>
      <w:r w:rsidR="00A129EE">
        <w:t>it</w:t>
      </w:r>
      <w:r>
        <w:t xml:space="preserve"> entendu</w:t>
      </w:r>
      <w:r w:rsidR="00A129EE">
        <w:t xml:space="preserve"> </w:t>
      </w:r>
      <w:r>
        <w:t xml:space="preserve">soustraire </w:t>
      </w:r>
      <w:r w:rsidR="00A129EE">
        <w:t xml:space="preserve">leur détention et leur maniement aux règles de la comptabilité publique ; qu’elle est en effet fondée à soutenir qu’elle ignorait si </w:t>
      </w:r>
      <w:r w:rsidR="00757823">
        <w:t>M. X</w:t>
      </w:r>
      <w:r w:rsidR="00A129EE">
        <w:t xml:space="preserve"> les utilisait dans le respect desdites règles ou s’</w:t>
      </w:r>
      <w:r w:rsidR="00E61F67">
        <w:t>en réservait l’usage éventuel ;</w:t>
      </w:r>
    </w:p>
    <w:p w:rsidR="00F16A08" w:rsidRDefault="006E06A4" w:rsidP="00105A40">
      <w:pPr>
        <w:spacing w:after="480"/>
        <w:ind w:left="1134" w:firstLine="1134"/>
      </w:pPr>
      <w:r>
        <w:t xml:space="preserve">Attendu </w:t>
      </w:r>
      <w:r w:rsidR="00A129EE">
        <w:t xml:space="preserve">qu’ainsi, </w:t>
      </w:r>
      <w:r>
        <w:t>s</w:t>
      </w:r>
      <w:r w:rsidRPr="006E06A4">
        <w:t>ans qu’il soit besoin d’examiner les autres moyens de la requête</w:t>
      </w:r>
      <w:r>
        <w:t>,</w:t>
      </w:r>
      <w:r w:rsidRPr="006E06A4">
        <w:t xml:space="preserve"> </w:t>
      </w:r>
      <w:r w:rsidR="00A129EE">
        <w:t>il y a lieu d’infirmer la disposition du jugement attaqué par laquelle la chambre régionale des comptes a décidé d’attraire la société GDA à la gestion de fait ;</w:t>
      </w:r>
    </w:p>
    <w:p w:rsidR="00E84E46" w:rsidRPr="00484671" w:rsidRDefault="00E84E46" w:rsidP="00105A40">
      <w:pPr>
        <w:spacing w:after="480"/>
        <w:ind w:left="1134" w:firstLine="1134"/>
      </w:pPr>
      <w:r w:rsidRPr="00484671">
        <w:t>Par ces motifs,</w:t>
      </w:r>
    </w:p>
    <w:p w:rsidR="00E84E46" w:rsidRPr="007F534A" w:rsidRDefault="00E84E46" w:rsidP="00DA3AD4">
      <w:pPr>
        <w:spacing w:after="80"/>
        <w:ind w:left="1134" w:firstLine="0"/>
        <w:jc w:val="center"/>
      </w:pPr>
      <w:r w:rsidRPr="007F534A">
        <w:t>DECIDE :</w:t>
      </w:r>
    </w:p>
    <w:p w:rsidR="00E84E46" w:rsidRDefault="00E84E46" w:rsidP="00105A40">
      <w:pPr>
        <w:spacing w:after="80"/>
        <w:ind w:left="1134" w:firstLine="1134"/>
      </w:pPr>
    </w:p>
    <w:p w:rsidR="00E02D6C" w:rsidRDefault="00E84E46" w:rsidP="00105A40">
      <w:pPr>
        <w:spacing w:after="80"/>
        <w:ind w:left="1134" w:firstLine="1134"/>
      </w:pPr>
      <w:r w:rsidRPr="00484671">
        <w:t xml:space="preserve">Article </w:t>
      </w:r>
      <w:r w:rsidR="00CA5B75">
        <w:t>unique</w:t>
      </w:r>
      <w:r w:rsidRPr="00484671">
        <w:t xml:space="preserve"> - Le jugement </w:t>
      </w:r>
      <w:r w:rsidR="00CA4BC0">
        <w:t>n° </w:t>
      </w:r>
      <w:r w:rsidR="00E02D6C">
        <w:t>2013-00</w:t>
      </w:r>
      <w:r w:rsidR="008730E9">
        <w:t>06</w:t>
      </w:r>
      <w:r w:rsidR="00E02D6C">
        <w:t xml:space="preserve"> </w:t>
      </w:r>
      <w:r w:rsidR="00E02D6C" w:rsidRPr="007F534A">
        <w:t xml:space="preserve">du </w:t>
      </w:r>
      <w:r w:rsidR="008730E9">
        <w:t>23 juillet</w:t>
      </w:r>
      <w:r w:rsidR="00E02D6C">
        <w:t xml:space="preserve"> 2013</w:t>
      </w:r>
      <w:r w:rsidR="00E02D6C" w:rsidRPr="00E42FF1">
        <w:t xml:space="preserve"> </w:t>
      </w:r>
      <w:r w:rsidR="00E02D6C">
        <w:t>de la chambre régionale des comptes d’Aquitaine, Poitou-Charentes</w:t>
      </w:r>
      <w:r w:rsidR="002A186F">
        <w:t xml:space="preserve"> </w:t>
      </w:r>
      <w:r w:rsidR="00E02D6C">
        <w:t>e</w:t>
      </w:r>
      <w:r w:rsidRPr="007F534A">
        <w:t xml:space="preserve">st </w:t>
      </w:r>
      <w:r w:rsidR="008730E9">
        <w:t xml:space="preserve">infirmé </w:t>
      </w:r>
      <w:r w:rsidR="005D34B6">
        <w:t>en ce qu’il</w:t>
      </w:r>
      <w:r w:rsidR="008730E9">
        <w:t xml:space="preserve"> concerne la société</w:t>
      </w:r>
      <w:r w:rsidR="006A67B9">
        <w:t xml:space="preserve"> Générale de Distribution Alimentaire</w:t>
      </w:r>
      <w:r w:rsidR="00651409">
        <w:t>.</w:t>
      </w:r>
    </w:p>
    <w:p w:rsidR="00E84E46" w:rsidRPr="00E23965" w:rsidRDefault="00E84E46" w:rsidP="00E84E46">
      <w:pPr>
        <w:spacing w:after="80"/>
      </w:pPr>
    </w:p>
    <w:p w:rsidR="00E84E46" w:rsidRPr="00484671" w:rsidRDefault="00E84E46" w:rsidP="00DA3AD4">
      <w:pPr>
        <w:tabs>
          <w:tab w:val="center" w:pos="5245"/>
        </w:tabs>
        <w:spacing w:after="80"/>
        <w:ind w:firstLine="1276"/>
        <w:jc w:val="center"/>
      </w:pPr>
      <w:r w:rsidRPr="007F534A">
        <w:t>---</w:t>
      </w:r>
      <w:r w:rsidRPr="00484671">
        <w:t>---------</w:t>
      </w:r>
    </w:p>
    <w:p w:rsidR="00DA3AD4" w:rsidRDefault="00DA3AD4" w:rsidP="00E84E46">
      <w:pPr>
        <w:spacing w:after="80"/>
      </w:pPr>
    </w:p>
    <w:p w:rsidR="00EB3A3D" w:rsidRDefault="00EB3A3D">
      <w:pPr>
        <w:spacing w:after="200" w:line="276" w:lineRule="auto"/>
        <w:ind w:firstLine="0"/>
        <w:jc w:val="left"/>
      </w:pPr>
      <w:r>
        <w:br w:type="page"/>
      </w:r>
    </w:p>
    <w:p w:rsidR="00F325C1" w:rsidRDefault="00F325C1" w:rsidP="006A67B9">
      <w:pPr>
        <w:ind w:left="1134" w:firstLine="1134"/>
      </w:pPr>
      <w:r w:rsidRPr="00F325C1">
        <w:lastRenderedPageBreak/>
        <w:t>Fait et jugé en la Cour des comptes, quatrième chambre, première section. Présents : M.</w:t>
      </w:r>
      <w:r w:rsidR="008F0B75">
        <w:t> </w:t>
      </w:r>
      <w:r w:rsidRPr="00F325C1">
        <w:t>Vachia, président, M</w:t>
      </w:r>
      <w:r w:rsidRPr="00E61F67">
        <w:rPr>
          <w:vertAlign w:val="superscript"/>
        </w:rPr>
        <w:t>me</w:t>
      </w:r>
      <w:r w:rsidRPr="00F325C1">
        <w:t xml:space="preserve"> Froment-Meurice, présidente de chambre maintenue en activité,</w:t>
      </w:r>
      <w:r w:rsidR="008F0B75">
        <w:t xml:space="preserve"> </w:t>
      </w:r>
      <w:r w:rsidRPr="00F325C1">
        <w:t>MM.</w:t>
      </w:r>
      <w:r w:rsidR="008F0B75">
        <w:t> </w:t>
      </w:r>
      <w:r w:rsidRPr="00F325C1">
        <w:t xml:space="preserve">Lafaure, Bertucci, </w:t>
      </w:r>
      <w:r w:rsidR="008F0B75">
        <w:t xml:space="preserve">et </w:t>
      </w:r>
      <w:r w:rsidRPr="00F325C1">
        <w:t>M</w:t>
      </w:r>
      <w:r w:rsidRPr="00E61F67">
        <w:rPr>
          <w:vertAlign w:val="superscript"/>
        </w:rPr>
        <w:t>me</w:t>
      </w:r>
      <w:r w:rsidRPr="00F325C1">
        <w:t xml:space="preserve"> Gadriot-Renard</w:t>
      </w:r>
      <w:r w:rsidR="008F0B75">
        <w:t>,</w:t>
      </w:r>
      <w:r w:rsidRPr="00F325C1">
        <w:t xml:space="preserve"> conseillers maîtres.</w:t>
      </w:r>
    </w:p>
    <w:p w:rsidR="00C86AB8" w:rsidRDefault="00C86AB8" w:rsidP="006A67B9">
      <w:pPr>
        <w:ind w:left="1134" w:firstLine="1134"/>
      </w:pPr>
    </w:p>
    <w:p w:rsidR="00E4074F" w:rsidRDefault="00E4074F" w:rsidP="00E4074F">
      <w:pPr>
        <w:spacing w:after="360"/>
        <w:ind w:left="1134" w:firstLine="1134"/>
        <w:rPr>
          <w:color w:val="000000"/>
        </w:rPr>
      </w:pPr>
      <w:r w:rsidRPr="0019513B">
        <w:rPr>
          <w:color w:val="000000"/>
        </w:rPr>
        <w:t>Signé : </w:t>
      </w:r>
      <w:proofErr w:type="spellStart"/>
      <w:r w:rsidR="00E61F67">
        <w:rPr>
          <w:color w:val="000000"/>
        </w:rPr>
        <w:t>Va</w:t>
      </w:r>
      <w:bookmarkStart w:id="0" w:name="_GoBack"/>
      <w:bookmarkEnd w:id="0"/>
      <w:r>
        <w:rPr>
          <w:color w:val="000000"/>
        </w:rPr>
        <w:t>chia</w:t>
      </w:r>
      <w:proofErr w:type="spellEnd"/>
      <w:r>
        <w:rPr>
          <w:color w:val="000000"/>
        </w:rPr>
        <w:t>, p</w:t>
      </w:r>
      <w:r w:rsidRPr="0019513B">
        <w:rPr>
          <w:color w:val="000000"/>
        </w:rPr>
        <w:t>résident, et</w:t>
      </w:r>
      <w:r>
        <w:rPr>
          <w:color w:val="000000"/>
        </w:rPr>
        <w:t xml:space="preserve"> Le Baron</w:t>
      </w:r>
      <w:r w:rsidRPr="0019513B">
        <w:rPr>
          <w:color w:val="000000"/>
        </w:rPr>
        <w:t>, greffier.</w:t>
      </w:r>
    </w:p>
    <w:p w:rsidR="00E4074F" w:rsidRDefault="00E4074F" w:rsidP="00E4074F">
      <w:pPr>
        <w:pStyle w:val="PS"/>
        <w:spacing w:after="360"/>
        <w:ind w:left="1134"/>
        <w:rPr>
          <w:color w:val="000000"/>
        </w:rPr>
      </w:pPr>
      <w:r w:rsidRPr="00EA1942">
        <w:rPr>
          <w:color w:val="000000"/>
        </w:rPr>
        <w:t>Collationné, certifié conforme à la minute étant au greffe de la Cour des comptes.</w:t>
      </w:r>
    </w:p>
    <w:p w:rsidR="00E4074F" w:rsidRDefault="00E4074F" w:rsidP="00E4074F">
      <w:pPr>
        <w:pStyle w:val="PS"/>
        <w:spacing w:after="0"/>
        <w:ind w:left="1134"/>
        <w:rPr>
          <w:color w:val="000000"/>
        </w:rPr>
      </w:pPr>
      <w:r w:rsidRPr="00EA1942">
        <w:rPr>
          <w:color w:val="000000"/>
        </w:rPr>
        <w:t>Délivré par moi, secrétaire général.</w:t>
      </w:r>
    </w:p>
    <w:p w:rsidR="00E4074F" w:rsidRDefault="00E4074F" w:rsidP="00E4074F">
      <w:pPr>
        <w:pStyle w:val="PS"/>
        <w:spacing w:after="0"/>
        <w:ind w:left="1134"/>
        <w:rPr>
          <w:color w:val="000000"/>
        </w:rPr>
      </w:pPr>
    </w:p>
    <w:p w:rsidR="00E4074F" w:rsidRPr="00EA1942" w:rsidRDefault="00E4074F" w:rsidP="00E4074F">
      <w:pPr>
        <w:pStyle w:val="PS"/>
        <w:spacing w:after="0"/>
        <w:ind w:firstLine="3402"/>
        <w:jc w:val="center"/>
        <w:rPr>
          <w:b/>
          <w:bCs/>
        </w:rPr>
      </w:pPr>
      <w:r w:rsidRPr="00EA1942">
        <w:rPr>
          <w:b/>
          <w:bCs/>
        </w:rPr>
        <w:t>Pour le secrétaire général</w:t>
      </w:r>
    </w:p>
    <w:p w:rsidR="00E4074F" w:rsidRPr="00EA1942" w:rsidRDefault="00E4074F" w:rsidP="00E4074F">
      <w:pPr>
        <w:pStyle w:val="PS"/>
        <w:spacing w:after="0"/>
        <w:ind w:firstLine="3402"/>
        <w:jc w:val="center"/>
        <w:rPr>
          <w:b/>
          <w:bCs/>
        </w:rPr>
      </w:pPr>
      <w:proofErr w:type="gramStart"/>
      <w:r w:rsidRPr="00EA1942">
        <w:rPr>
          <w:b/>
          <w:bCs/>
        </w:rPr>
        <w:t>et</w:t>
      </w:r>
      <w:proofErr w:type="gramEnd"/>
      <w:r w:rsidRPr="00EA1942">
        <w:rPr>
          <w:b/>
          <w:bCs/>
        </w:rPr>
        <w:t xml:space="preserve"> par délégation, </w:t>
      </w:r>
    </w:p>
    <w:p w:rsidR="00E4074F" w:rsidRPr="00EA1942" w:rsidRDefault="00E4074F" w:rsidP="00E4074F">
      <w:pPr>
        <w:pStyle w:val="PS"/>
        <w:spacing w:after="1320"/>
        <w:ind w:firstLine="3402"/>
        <w:jc w:val="center"/>
        <w:rPr>
          <w:b/>
          <w:bCs/>
        </w:rPr>
      </w:pPr>
      <w:proofErr w:type="gramStart"/>
      <w:r>
        <w:rPr>
          <w:b/>
          <w:bCs/>
        </w:rPr>
        <w:t>le</w:t>
      </w:r>
      <w:proofErr w:type="gramEnd"/>
      <w:r>
        <w:rPr>
          <w:b/>
          <w:bCs/>
        </w:rPr>
        <w:t xml:space="preserve"> c</w:t>
      </w:r>
      <w:r w:rsidRPr="00EA1942">
        <w:rPr>
          <w:b/>
          <w:bCs/>
        </w:rPr>
        <w:t xml:space="preserve">hef du greffe </w:t>
      </w:r>
      <w:r>
        <w:rPr>
          <w:b/>
          <w:bCs/>
        </w:rPr>
        <w:t>contentieux</w:t>
      </w:r>
    </w:p>
    <w:p w:rsidR="00E4074F" w:rsidRPr="00EA1942" w:rsidRDefault="00E4074F" w:rsidP="00E4074F">
      <w:pPr>
        <w:pStyle w:val="PS"/>
        <w:spacing w:after="600"/>
        <w:ind w:firstLine="3544"/>
        <w:jc w:val="center"/>
        <w:rPr>
          <w:b/>
          <w:bCs/>
          <w:vanish/>
          <w:color w:val="000000"/>
        </w:rPr>
      </w:pPr>
      <w:r>
        <w:rPr>
          <w:b/>
          <w:bCs/>
        </w:rPr>
        <w:t xml:space="preserve">Daniel </w:t>
      </w:r>
      <w:proofErr w:type="spellStart"/>
      <w:r>
        <w:rPr>
          <w:b/>
          <w:bCs/>
        </w:rPr>
        <w:t>Férez</w:t>
      </w:r>
      <w:proofErr w:type="spellEnd"/>
    </w:p>
    <w:sectPr w:rsidR="00E4074F" w:rsidRPr="00EA1942" w:rsidSect="00A5780E">
      <w:headerReference w:type="even" r:id="rId8"/>
      <w:headerReference w:type="default" r:id="rId9"/>
      <w:footerReference w:type="even" r:id="rId10"/>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64474" w:rsidRDefault="00264474">
      <w:r>
        <w:separator/>
      </w:r>
    </w:p>
  </w:endnote>
  <w:endnote w:type="continuationSeparator" w:id="0">
    <w:p w:rsidR="00264474" w:rsidRDefault="002644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imes New Roman Gras">
    <w:panose1 w:val="02020803070505020304"/>
    <w:charset w:val="00"/>
    <w:family w:val="roman"/>
    <w:notTrueType/>
    <w:pitch w:val="default"/>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CG Times (WN)">
    <w:altName w:val="Cambria"/>
    <w:panose1 w:val="00000000000000000000"/>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B6" w:rsidRDefault="005D34B6" w:rsidP="005D34B6">
    <w:pPr>
      <w:pStyle w:val="Pieddepage"/>
      <w:rPr>
        <w:rStyle w:val="Numrodepage"/>
      </w:rPr>
    </w:pPr>
    <w:r>
      <w:rPr>
        <w:rStyle w:val="Numrodepage"/>
      </w:rPr>
      <w:fldChar w:fldCharType="begin"/>
    </w:r>
    <w:r>
      <w:rPr>
        <w:rStyle w:val="Numrodepage"/>
      </w:rPr>
      <w:instrText xml:space="preserve">PAGE  </w:instrText>
    </w:r>
    <w:r>
      <w:rPr>
        <w:rStyle w:val="Numrodepage"/>
      </w:rPr>
      <w:fldChar w:fldCharType="end"/>
    </w:r>
  </w:p>
  <w:p w:rsidR="005D34B6" w:rsidRDefault="005D34B6" w:rsidP="005D34B6">
    <w:pPr>
      <w:pStyle w:val="Pieddepage"/>
    </w:pPr>
  </w:p>
  <w:p w:rsidR="005D34B6" w:rsidRDefault="005D34B6" w:rsidP="005D34B6"/>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64474" w:rsidRDefault="00264474">
      <w:r>
        <w:separator/>
      </w:r>
    </w:p>
  </w:footnote>
  <w:footnote w:type="continuationSeparator" w:id="0">
    <w:p w:rsidR="00264474" w:rsidRDefault="0026447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34B6" w:rsidRDefault="005D34B6" w:rsidP="005D34B6">
    <w:pPr>
      <w:pStyle w:val="En-tte"/>
      <w:rPr>
        <w:rStyle w:val="Numrodepage"/>
      </w:rPr>
    </w:pPr>
    <w:r>
      <w:rPr>
        <w:rStyle w:val="Numrodepage"/>
      </w:rPr>
      <w:fldChar w:fldCharType="begin"/>
    </w:r>
    <w:r>
      <w:rPr>
        <w:rStyle w:val="Numrodepage"/>
      </w:rPr>
      <w:instrText xml:space="preserve">PAGE  </w:instrText>
    </w:r>
    <w:r>
      <w:rPr>
        <w:rStyle w:val="Numrodepage"/>
      </w:rPr>
      <w:fldChar w:fldCharType="end"/>
    </w:r>
  </w:p>
  <w:p w:rsidR="005D34B6" w:rsidRDefault="005D34B6" w:rsidP="005D34B6">
    <w:pPr>
      <w:pStyle w:val="En-tte"/>
    </w:pPr>
  </w:p>
  <w:p w:rsidR="005D34B6" w:rsidRDefault="005D34B6" w:rsidP="005D34B6"/>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1D2B41" w:rsidRDefault="001D2B41">
    <w:pPr>
      <w:pStyle w:val="En-tte"/>
      <w:jc w:val="right"/>
    </w:pPr>
    <w:r>
      <w:fldChar w:fldCharType="begin"/>
    </w:r>
    <w:r>
      <w:instrText>PAGE   \* MERGEFORMAT</w:instrText>
    </w:r>
    <w:r>
      <w:fldChar w:fldCharType="separate"/>
    </w:r>
    <w:r w:rsidR="00E61F67">
      <w:rPr>
        <w:noProof/>
      </w:rPr>
      <w:t>6</w:t>
    </w:r>
    <w:r>
      <w:fldChar w:fldCharType="end"/>
    </w:r>
  </w:p>
  <w:p w:rsidR="005D34B6" w:rsidRDefault="005D34B6" w:rsidP="005D34B6"/>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3254F6"/>
    <w:multiLevelType w:val="hybridMultilevel"/>
    <w:tmpl w:val="9B768420"/>
    <w:lvl w:ilvl="0" w:tplc="6A36FF4C">
      <w:start w:val="2"/>
      <w:numFmt w:val="bullet"/>
      <w:lvlText w:val="-"/>
      <w:lvlJc w:val="left"/>
      <w:pPr>
        <w:ind w:left="1211" w:hanging="360"/>
      </w:pPr>
      <w:rPr>
        <w:rFonts w:ascii="Times New Roman" w:eastAsia="Times New Roman" w:hAnsi="Times New Roman" w:cs="Times New Roman" w:hint="default"/>
      </w:rPr>
    </w:lvl>
    <w:lvl w:ilvl="1" w:tplc="040C0003" w:tentative="1">
      <w:start w:val="1"/>
      <w:numFmt w:val="bullet"/>
      <w:lvlText w:val="o"/>
      <w:lvlJc w:val="left"/>
      <w:pPr>
        <w:ind w:left="1931" w:hanging="360"/>
      </w:pPr>
      <w:rPr>
        <w:rFonts w:ascii="Courier New" w:hAnsi="Courier New" w:cs="Courier New" w:hint="default"/>
      </w:rPr>
    </w:lvl>
    <w:lvl w:ilvl="2" w:tplc="040C0005" w:tentative="1">
      <w:start w:val="1"/>
      <w:numFmt w:val="bullet"/>
      <w:lvlText w:val=""/>
      <w:lvlJc w:val="left"/>
      <w:pPr>
        <w:ind w:left="2651" w:hanging="360"/>
      </w:pPr>
      <w:rPr>
        <w:rFonts w:ascii="Wingdings" w:hAnsi="Wingdings" w:hint="default"/>
      </w:rPr>
    </w:lvl>
    <w:lvl w:ilvl="3" w:tplc="040C0001" w:tentative="1">
      <w:start w:val="1"/>
      <w:numFmt w:val="bullet"/>
      <w:lvlText w:val=""/>
      <w:lvlJc w:val="left"/>
      <w:pPr>
        <w:ind w:left="3371" w:hanging="360"/>
      </w:pPr>
      <w:rPr>
        <w:rFonts w:ascii="Symbol" w:hAnsi="Symbol" w:hint="default"/>
      </w:rPr>
    </w:lvl>
    <w:lvl w:ilvl="4" w:tplc="040C0003" w:tentative="1">
      <w:start w:val="1"/>
      <w:numFmt w:val="bullet"/>
      <w:lvlText w:val="o"/>
      <w:lvlJc w:val="left"/>
      <w:pPr>
        <w:ind w:left="4091" w:hanging="360"/>
      </w:pPr>
      <w:rPr>
        <w:rFonts w:ascii="Courier New" w:hAnsi="Courier New" w:cs="Courier New" w:hint="default"/>
      </w:rPr>
    </w:lvl>
    <w:lvl w:ilvl="5" w:tplc="040C0005" w:tentative="1">
      <w:start w:val="1"/>
      <w:numFmt w:val="bullet"/>
      <w:lvlText w:val=""/>
      <w:lvlJc w:val="left"/>
      <w:pPr>
        <w:ind w:left="4811" w:hanging="360"/>
      </w:pPr>
      <w:rPr>
        <w:rFonts w:ascii="Wingdings" w:hAnsi="Wingdings" w:hint="default"/>
      </w:rPr>
    </w:lvl>
    <w:lvl w:ilvl="6" w:tplc="040C0001" w:tentative="1">
      <w:start w:val="1"/>
      <w:numFmt w:val="bullet"/>
      <w:lvlText w:val=""/>
      <w:lvlJc w:val="left"/>
      <w:pPr>
        <w:ind w:left="5531" w:hanging="360"/>
      </w:pPr>
      <w:rPr>
        <w:rFonts w:ascii="Symbol" w:hAnsi="Symbol" w:hint="default"/>
      </w:rPr>
    </w:lvl>
    <w:lvl w:ilvl="7" w:tplc="040C0003" w:tentative="1">
      <w:start w:val="1"/>
      <w:numFmt w:val="bullet"/>
      <w:lvlText w:val="o"/>
      <w:lvlJc w:val="left"/>
      <w:pPr>
        <w:ind w:left="6251" w:hanging="360"/>
      </w:pPr>
      <w:rPr>
        <w:rFonts w:ascii="Courier New" w:hAnsi="Courier New" w:cs="Courier New" w:hint="default"/>
      </w:rPr>
    </w:lvl>
    <w:lvl w:ilvl="8" w:tplc="040C0005" w:tentative="1">
      <w:start w:val="1"/>
      <w:numFmt w:val="bullet"/>
      <w:lvlText w:val=""/>
      <w:lvlJc w:val="left"/>
      <w:pPr>
        <w:ind w:left="6971"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23"/>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4E46"/>
    <w:rsid w:val="0002614B"/>
    <w:rsid w:val="00044CBF"/>
    <w:rsid w:val="000464AF"/>
    <w:rsid w:val="000630C5"/>
    <w:rsid w:val="000716DD"/>
    <w:rsid w:val="000E12A0"/>
    <w:rsid w:val="00105A40"/>
    <w:rsid w:val="001179CE"/>
    <w:rsid w:val="0014751B"/>
    <w:rsid w:val="00154B95"/>
    <w:rsid w:val="001774E9"/>
    <w:rsid w:val="001A098D"/>
    <w:rsid w:val="001A501A"/>
    <w:rsid w:val="001D2B41"/>
    <w:rsid w:val="001E089A"/>
    <w:rsid w:val="001E63EC"/>
    <w:rsid w:val="002023CB"/>
    <w:rsid w:val="002304B0"/>
    <w:rsid w:val="002356F7"/>
    <w:rsid w:val="00244C57"/>
    <w:rsid w:val="00251C45"/>
    <w:rsid w:val="0026315B"/>
    <w:rsid w:val="00264474"/>
    <w:rsid w:val="00281A57"/>
    <w:rsid w:val="0029623E"/>
    <w:rsid w:val="002A186F"/>
    <w:rsid w:val="003210E1"/>
    <w:rsid w:val="0032540B"/>
    <w:rsid w:val="00327EC6"/>
    <w:rsid w:val="00337C41"/>
    <w:rsid w:val="00337D41"/>
    <w:rsid w:val="003468F5"/>
    <w:rsid w:val="00362865"/>
    <w:rsid w:val="003B3CD8"/>
    <w:rsid w:val="003D7F9B"/>
    <w:rsid w:val="003E7091"/>
    <w:rsid w:val="004106CD"/>
    <w:rsid w:val="00424E94"/>
    <w:rsid w:val="00437972"/>
    <w:rsid w:val="00486661"/>
    <w:rsid w:val="004A3884"/>
    <w:rsid w:val="004A41FC"/>
    <w:rsid w:val="004A78E2"/>
    <w:rsid w:val="004B678F"/>
    <w:rsid w:val="004C316E"/>
    <w:rsid w:val="004C743F"/>
    <w:rsid w:val="004E5DB2"/>
    <w:rsid w:val="00513C9D"/>
    <w:rsid w:val="00531F39"/>
    <w:rsid w:val="00561430"/>
    <w:rsid w:val="00582AA1"/>
    <w:rsid w:val="005A65EE"/>
    <w:rsid w:val="005C25C4"/>
    <w:rsid w:val="005D34B6"/>
    <w:rsid w:val="005D59DA"/>
    <w:rsid w:val="005E254C"/>
    <w:rsid w:val="005F1D0A"/>
    <w:rsid w:val="005F22CC"/>
    <w:rsid w:val="00601B14"/>
    <w:rsid w:val="00635CF9"/>
    <w:rsid w:val="00636650"/>
    <w:rsid w:val="00643756"/>
    <w:rsid w:val="00651409"/>
    <w:rsid w:val="006A67B9"/>
    <w:rsid w:val="006C7B80"/>
    <w:rsid w:val="006E06A4"/>
    <w:rsid w:val="006E5FB2"/>
    <w:rsid w:val="00714681"/>
    <w:rsid w:val="00735E65"/>
    <w:rsid w:val="00743027"/>
    <w:rsid w:val="00752A29"/>
    <w:rsid w:val="00757823"/>
    <w:rsid w:val="00763C8A"/>
    <w:rsid w:val="007906B0"/>
    <w:rsid w:val="007B4C8C"/>
    <w:rsid w:val="007D0620"/>
    <w:rsid w:val="007E096B"/>
    <w:rsid w:val="00810AC5"/>
    <w:rsid w:val="00814DCE"/>
    <w:rsid w:val="008234EC"/>
    <w:rsid w:val="00826C6A"/>
    <w:rsid w:val="008730E9"/>
    <w:rsid w:val="008A47BE"/>
    <w:rsid w:val="008A4DD2"/>
    <w:rsid w:val="008C3BA5"/>
    <w:rsid w:val="008D0B04"/>
    <w:rsid w:val="008F0B75"/>
    <w:rsid w:val="00902DE6"/>
    <w:rsid w:val="00917877"/>
    <w:rsid w:val="009206D0"/>
    <w:rsid w:val="0093017C"/>
    <w:rsid w:val="009405BF"/>
    <w:rsid w:val="00961C6F"/>
    <w:rsid w:val="009E6250"/>
    <w:rsid w:val="009F4525"/>
    <w:rsid w:val="009F4888"/>
    <w:rsid w:val="00A06AFC"/>
    <w:rsid w:val="00A129EE"/>
    <w:rsid w:val="00A5780E"/>
    <w:rsid w:val="00A6189A"/>
    <w:rsid w:val="00A97C1B"/>
    <w:rsid w:val="00B209BC"/>
    <w:rsid w:val="00BA1ECA"/>
    <w:rsid w:val="00BA3992"/>
    <w:rsid w:val="00BD7D6E"/>
    <w:rsid w:val="00C0064C"/>
    <w:rsid w:val="00C46221"/>
    <w:rsid w:val="00C60996"/>
    <w:rsid w:val="00C64B9C"/>
    <w:rsid w:val="00C6799A"/>
    <w:rsid w:val="00C7402F"/>
    <w:rsid w:val="00C849B3"/>
    <w:rsid w:val="00C84B5E"/>
    <w:rsid w:val="00C86AB8"/>
    <w:rsid w:val="00CA1A71"/>
    <w:rsid w:val="00CA35BA"/>
    <w:rsid w:val="00CA4BC0"/>
    <w:rsid w:val="00CA5B75"/>
    <w:rsid w:val="00CE4DF2"/>
    <w:rsid w:val="00D00298"/>
    <w:rsid w:val="00D010FE"/>
    <w:rsid w:val="00D1326C"/>
    <w:rsid w:val="00D5335D"/>
    <w:rsid w:val="00D65536"/>
    <w:rsid w:val="00D66D2D"/>
    <w:rsid w:val="00D67B88"/>
    <w:rsid w:val="00D85B2E"/>
    <w:rsid w:val="00D93E6A"/>
    <w:rsid w:val="00D96B8A"/>
    <w:rsid w:val="00DA3AD4"/>
    <w:rsid w:val="00DB7C73"/>
    <w:rsid w:val="00DE6450"/>
    <w:rsid w:val="00DF6731"/>
    <w:rsid w:val="00E02D6C"/>
    <w:rsid w:val="00E33B03"/>
    <w:rsid w:val="00E4074F"/>
    <w:rsid w:val="00E408DE"/>
    <w:rsid w:val="00E42FF1"/>
    <w:rsid w:val="00E61F67"/>
    <w:rsid w:val="00E745F6"/>
    <w:rsid w:val="00E84E46"/>
    <w:rsid w:val="00E9189E"/>
    <w:rsid w:val="00EB3A3D"/>
    <w:rsid w:val="00EB3CC4"/>
    <w:rsid w:val="00EC22F9"/>
    <w:rsid w:val="00ED032C"/>
    <w:rsid w:val="00F13F1F"/>
    <w:rsid w:val="00F16A08"/>
    <w:rsid w:val="00F242CE"/>
    <w:rsid w:val="00F325C1"/>
    <w:rsid w:val="00F4008D"/>
    <w:rsid w:val="00FC32B4"/>
    <w:rsid w:val="00FF52E5"/>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paragraph" w:styleId="Titre4">
    <w:name w:val="heading 4"/>
    <w:basedOn w:val="Normal"/>
    <w:next w:val="Normal"/>
    <w:link w:val="Titre4Car"/>
    <w:uiPriority w:val="9"/>
    <w:semiHidden/>
    <w:unhideWhenUsed/>
    <w:qFormat/>
    <w:rsid w:val="005F22CC"/>
    <w:pPr>
      <w:keepNext/>
      <w:keepLines/>
      <w:spacing w:before="200"/>
      <w:outlineLvl w:val="3"/>
    </w:pPr>
    <w:rPr>
      <w:rFonts w:ascii="Cambria"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customStyle="1" w:styleId="Titre4Car">
    <w:name w:val="Titre 4 Car"/>
    <w:link w:val="Titre4"/>
    <w:uiPriority w:val="9"/>
    <w:semiHidden/>
    <w:rsid w:val="005F22CC"/>
    <w:rPr>
      <w:rFonts w:ascii="Cambria" w:eastAsia="Times New Roman" w:hAnsi="Cambria" w:cs="Times New Roman"/>
      <w:b/>
      <w:bCs/>
      <w:i/>
      <w:iCs/>
      <w:color w:val="4F81BD"/>
      <w:sz w:val="24"/>
      <w:szCs w:val="24"/>
      <w:lang w:eastAsia="fr-FR"/>
    </w:rPr>
  </w:style>
  <w:style w:type="paragraph" w:customStyle="1" w:styleId="Char">
    <w:name w:val="Char"/>
    <w:basedOn w:val="Normal"/>
    <w:rsid w:val="005F22CC"/>
    <w:pPr>
      <w:spacing w:after="160" w:line="240" w:lineRule="exact"/>
      <w:ind w:firstLine="0"/>
      <w:jc w:val="left"/>
    </w:pPr>
    <w:rPr>
      <w:rFonts w:ascii="Tahoma" w:hAnsi="Tahoma"/>
      <w:sz w:val="20"/>
      <w:szCs w:val="20"/>
      <w:lang w:val="en-US" w:eastAsia="en-US"/>
    </w:rPr>
  </w:style>
  <w:style w:type="paragraph" w:styleId="NormalWeb">
    <w:name w:val="Normal (Web)"/>
    <w:basedOn w:val="Normal"/>
    <w:uiPriority w:val="99"/>
    <w:semiHidden/>
    <w:unhideWhenUsed/>
    <w:rsid w:val="00D00298"/>
    <w:pPr>
      <w:spacing w:before="100" w:beforeAutospacing="1" w:after="100" w:afterAutospacing="1"/>
      <w:ind w:firstLine="0"/>
      <w:jc w:val="left"/>
    </w:pPr>
  </w:style>
  <w:style w:type="character" w:styleId="Marquedecommentaire">
    <w:name w:val="annotation reference"/>
    <w:uiPriority w:val="99"/>
    <w:semiHidden/>
    <w:unhideWhenUsed/>
    <w:rsid w:val="002A186F"/>
    <w:rPr>
      <w:sz w:val="16"/>
      <w:szCs w:val="16"/>
    </w:rPr>
  </w:style>
  <w:style w:type="paragraph" w:styleId="Commentaire">
    <w:name w:val="annotation text"/>
    <w:basedOn w:val="Normal"/>
    <w:link w:val="CommentaireCar"/>
    <w:uiPriority w:val="99"/>
    <w:semiHidden/>
    <w:unhideWhenUsed/>
    <w:rsid w:val="002A186F"/>
    <w:rPr>
      <w:sz w:val="20"/>
      <w:szCs w:val="20"/>
    </w:rPr>
  </w:style>
  <w:style w:type="character" w:customStyle="1" w:styleId="CommentaireCar">
    <w:name w:val="Commentaire Car"/>
    <w:link w:val="Commentaire"/>
    <w:uiPriority w:val="99"/>
    <w:semiHidden/>
    <w:rsid w:val="002A186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A186F"/>
    <w:rPr>
      <w:b/>
      <w:bCs/>
    </w:rPr>
  </w:style>
  <w:style w:type="character" w:customStyle="1" w:styleId="ObjetducommentaireCar">
    <w:name w:val="Objet du commentaire Car"/>
    <w:link w:val="Objetducommentaire"/>
    <w:uiPriority w:val="99"/>
    <w:semiHidden/>
    <w:rsid w:val="002A186F"/>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2A186F"/>
    <w:rPr>
      <w:rFonts w:ascii="Tahoma" w:hAnsi="Tahoma" w:cs="Tahoma"/>
      <w:sz w:val="16"/>
      <w:szCs w:val="16"/>
    </w:rPr>
  </w:style>
  <w:style w:type="character" w:customStyle="1" w:styleId="TextedebullesCar">
    <w:name w:val="Texte de bulles Car"/>
    <w:link w:val="Textedebulles"/>
    <w:uiPriority w:val="99"/>
    <w:semiHidden/>
    <w:rsid w:val="002A186F"/>
    <w:rPr>
      <w:rFonts w:ascii="Tahoma" w:eastAsia="Times New Roman" w:hAnsi="Tahoma" w:cs="Tahoma"/>
      <w:sz w:val="16"/>
      <w:szCs w:val="16"/>
      <w:lang w:eastAsia="fr-FR"/>
    </w:rPr>
  </w:style>
  <w:style w:type="character" w:styleId="Accentuation">
    <w:name w:val="Emphasis"/>
    <w:uiPriority w:val="20"/>
    <w:qFormat/>
    <w:rsid w:val="001179CE"/>
    <w:rPr>
      <w:i/>
      <w:iCs/>
    </w:rPr>
  </w:style>
  <w:style w:type="paragraph" w:customStyle="1" w:styleId="PS">
    <w:name w:val="PS"/>
    <w:basedOn w:val="Normal"/>
    <w:link w:val="PSCar"/>
    <w:rsid w:val="00E4074F"/>
    <w:pPr>
      <w:spacing w:after="480"/>
      <w:ind w:left="1701" w:firstLine="1134"/>
    </w:pPr>
  </w:style>
  <w:style w:type="character" w:customStyle="1" w:styleId="PSCar">
    <w:name w:val="PS Car"/>
    <w:link w:val="PS"/>
    <w:rsid w:val="00E4074F"/>
    <w:rPr>
      <w:rFonts w:ascii="Times New Roman" w:eastAsia="Times New Roman" w:hAnsi="Times New Roman" w:cs="Times New Roman"/>
      <w:sz w:val="24"/>
      <w:szCs w:val="24"/>
      <w:lang w:eastAsia="fr-FR"/>
    </w:rPr>
  </w:style>
  <w:style w:type="paragraph" w:customStyle="1" w:styleId="P0">
    <w:name w:val="P0"/>
    <w:basedOn w:val="Normal"/>
    <w:link w:val="P0Car"/>
    <w:rsid w:val="00C86AB8"/>
    <w:pPr>
      <w:ind w:left="1701" w:firstLine="0"/>
    </w:pPr>
  </w:style>
  <w:style w:type="paragraph" w:customStyle="1" w:styleId="CarCar1CarCarCar">
    <w:name w:val="Car Car1 Car Car Car"/>
    <w:basedOn w:val="Normal"/>
    <w:rsid w:val="00C86AB8"/>
    <w:pPr>
      <w:spacing w:after="160" w:line="240" w:lineRule="exact"/>
      <w:ind w:firstLine="0"/>
      <w:jc w:val="left"/>
    </w:pPr>
    <w:rPr>
      <w:rFonts w:ascii="Tahoma" w:hAnsi="Tahoma"/>
      <w:sz w:val="20"/>
      <w:szCs w:val="20"/>
      <w:lang w:val="en-US" w:eastAsia="en-US"/>
    </w:rPr>
  </w:style>
  <w:style w:type="character" w:customStyle="1" w:styleId="P0Car">
    <w:name w:val="P0 Car"/>
    <w:link w:val="P0"/>
    <w:rsid w:val="00C86AB8"/>
    <w:rPr>
      <w:rFonts w:ascii="Times New Roman" w:eastAsia="Times New Roman" w:hAnsi="Times New Roman" w:cs="Times New Roman"/>
      <w:sz w:val="24"/>
      <w:szCs w:val="24"/>
      <w:lang w:eastAsia="fr-FR"/>
    </w:rPr>
  </w:style>
  <w:style w:type="paragraph" w:styleId="Rvision">
    <w:name w:val="Revision"/>
    <w:hidden/>
    <w:uiPriority w:val="99"/>
    <w:semiHidden/>
    <w:rsid w:val="0026315B"/>
    <w:rPr>
      <w:rFonts w:ascii="Times New Roman" w:eastAsia="Times New Roman" w:hAnsi="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fr-FR" w:eastAsia="fr-F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footnote reference" w:uiPriority="0"/>
    <w:lsdException w:name="page number" w:uiPriority="0"/>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84E46"/>
    <w:pPr>
      <w:ind w:firstLine="851"/>
      <w:jc w:val="both"/>
    </w:pPr>
    <w:rPr>
      <w:rFonts w:ascii="Times New Roman" w:eastAsia="Times New Roman" w:hAnsi="Times New Roman"/>
      <w:sz w:val="24"/>
      <w:szCs w:val="24"/>
    </w:rPr>
  </w:style>
  <w:style w:type="paragraph" w:styleId="Titre2">
    <w:name w:val="heading 2"/>
    <w:basedOn w:val="Normal"/>
    <w:next w:val="Normal"/>
    <w:link w:val="Titre2Car"/>
    <w:qFormat/>
    <w:rsid w:val="00E84E46"/>
    <w:pPr>
      <w:keepNext/>
      <w:spacing w:before="120" w:after="240"/>
      <w:jc w:val="left"/>
      <w:outlineLvl w:val="1"/>
    </w:pPr>
    <w:rPr>
      <w:rFonts w:ascii="Times New Roman Gras" w:hAnsi="Times New Roman Gras"/>
      <w:b/>
      <w:smallCaps/>
      <w:u w:val="single"/>
    </w:rPr>
  </w:style>
  <w:style w:type="paragraph" w:styleId="Titre4">
    <w:name w:val="heading 4"/>
    <w:basedOn w:val="Normal"/>
    <w:next w:val="Normal"/>
    <w:link w:val="Titre4Car"/>
    <w:uiPriority w:val="9"/>
    <w:semiHidden/>
    <w:unhideWhenUsed/>
    <w:qFormat/>
    <w:rsid w:val="005F22CC"/>
    <w:pPr>
      <w:keepNext/>
      <w:keepLines/>
      <w:spacing w:before="200"/>
      <w:outlineLvl w:val="3"/>
    </w:pPr>
    <w:rPr>
      <w:rFonts w:ascii="Cambria" w:hAnsi="Cambria"/>
      <w:b/>
      <w:bCs/>
      <w:i/>
      <w:iCs/>
      <w:color w:val="4F81BD"/>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2Car">
    <w:name w:val="Titre 2 Car"/>
    <w:link w:val="Titre2"/>
    <w:rsid w:val="00E84E46"/>
    <w:rPr>
      <w:rFonts w:ascii="Times New Roman Gras" w:eastAsia="Times New Roman" w:hAnsi="Times New Roman Gras" w:cs="Times New Roman"/>
      <w:b/>
      <w:smallCaps/>
      <w:sz w:val="24"/>
      <w:szCs w:val="24"/>
      <w:u w:val="single"/>
      <w:lang w:eastAsia="fr-FR"/>
    </w:rPr>
  </w:style>
  <w:style w:type="character" w:styleId="Numrodepage">
    <w:name w:val="page number"/>
    <w:basedOn w:val="Policepardfaut"/>
    <w:rsid w:val="00E84E46"/>
  </w:style>
  <w:style w:type="paragraph" w:styleId="En-tte">
    <w:name w:val="header"/>
    <w:basedOn w:val="Normal"/>
    <w:link w:val="En-tteCar"/>
    <w:uiPriority w:val="99"/>
    <w:rsid w:val="00E84E46"/>
    <w:pPr>
      <w:tabs>
        <w:tab w:val="center" w:pos="4536"/>
        <w:tab w:val="right" w:pos="9072"/>
      </w:tabs>
    </w:pPr>
  </w:style>
  <w:style w:type="character" w:customStyle="1" w:styleId="En-tteCar">
    <w:name w:val="En-tête Car"/>
    <w:link w:val="En-tte"/>
    <w:uiPriority w:val="99"/>
    <w:rsid w:val="00E84E46"/>
    <w:rPr>
      <w:rFonts w:ascii="Times New Roman" w:eastAsia="Times New Roman" w:hAnsi="Times New Roman" w:cs="Times New Roman"/>
      <w:sz w:val="24"/>
      <w:szCs w:val="24"/>
      <w:lang w:eastAsia="fr-FR"/>
    </w:rPr>
  </w:style>
  <w:style w:type="paragraph" w:styleId="Pieddepage">
    <w:name w:val="footer"/>
    <w:basedOn w:val="Normal"/>
    <w:link w:val="PieddepageCar"/>
    <w:rsid w:val="00E84E46"/>
    <w:pPr>
      <w:tabs>
        <w:tab w:val="center" w:pos="4536"/>
        <w:tab w:val="right" w:pos="9072"/>
      </w:tabs>
    </w:pPr>
  </w:style>
  <w:style w:type="character" w:customStyle="1" w:styleId="PieddepageCar">
    <w:name w:val="Pied de page Car"/>
    <w:link w:val="Pieddepage"/>
    <w:rsid w:val="00E84E46"/>
    <w:rPr>
      <w:rFonts w:ascii="Times New Roman" w:eastAsia="Times New Roman" w:hAnsi="Times New Roman" w:cs="Times New Roman"/>
      <w:sz w:val="24"/>
      <w:szCs w:val="24"/>
      <w:lang w:eastAsia="fr-FR"/>
    </w:rPr>
  </w:style>
  <w:style w:type="paragraph" w:styleId="Paragraphedeliste">
    <w:name w:val="List Paragraph"/>
    <w:basedOn w:val="Normal"/>
    <w:uiPriority w:val="34"/>
    <w:qFormat/>
    <w:rsid w:val="00E84E46"/>
    <w:pPr>
      <w:ind w:left="720"/>
      <w:contextualSpacing/>
    </w:pPr>
  </w:style>
  <w:style w:type="paragraph" w:styleId="Corpsdetexte">
    <w:name w:val="Body Text"/>
    <w:basedOn w:val="Normal"/>
    <w:link w:val="CorpsdetexteCar"/>
    <w:rsid w:val="00902DE6"/>
    <w:pPr>
      <w:spacing w:before="120" w:after="120"/>
      <w:ind w:firstLine="709"/>
    </w:pPr>
    <w:rPr>
      <w:szCs w:val="20"/>
    </w:rPr>
  </w:style>
  <w:style w:type="character" w:customStyle="1" w:styleId="CorpsdetexteCar">
    <w:name w:val="Corps de texte Car"/>
    <w:link w:val="Corpsdetexte"/>
    <w:rsid w:val="00902DE6"/>
    <w:rPr>
      <w:rFonts w:ascii="Times New Roman" w:eastAsia="Times New Roman" w:hAnsi="Times New Roman" w:cs="Times New Roman"/>
      <w:sz w:val="24"/>
      <w:szCs w:val="20"/>
      <w:lang w:eastAsia="fr-FR"/>
    </w:rPr>
  </w:style>
  <w:style w:type="character" w:styleId="Appelnotedebasdep">
    <w:name w:val="footnote reference"/>
    <w:semiHidden/>
    <w:rsid w:val="003B3CD8"/>
    <w:rPr>
      <w:sz w:val="20"/>
      <w:vertAlign w:val="superscript"/>
    </w:rPr>
  </w:style>
  <w:style w:type="character" w:customStyle="1" w:styleId="Titre4Car">
    <w:name w:val="Titre 4 Car"/>
    <w:link w:val="Titre4"/>
    <w:uiPriority w:val="9"/>
    <w:semiHidden/>
    <w:rsid w:val="005F22CC"/>
    <w:rPr>
      <w:rFonts w:ascii="Cambria" w:eastAsia="Times New Roman" w:hAnsi="Cambria" w:cs="Times New Roman"/>
      <w:b/>
      <w:bCs/>
      <w:i/>
      <w:iCs/>
      <w:color w:val="4F81BD"/>
      <w:sz w:val="24"/>
      <w:szCs w:val="24"/>
      <w:lang w:eastAsia="fr-FR"/>
    </w:rPr>
  </w:style>
  <w:style w:type="paragraph" w:customStyle="1" w:styleId="Char">
    <w:name w:val="Char"/>
    <w:basedOn w:val="Normal"/>
    <w:rsid w:val="005F22CC"/>
    <w:pPr>
      <w:spacing w:after="160" w:line="240" w:lineRule="exact"/>
      <w:ind w:firstLine="0"/>
      <w:jc w:val="left"/>
    </w:pPr>
    <w:rPr>
      <w:rFonts w:ascii="Tahoma" w:hAnsi="Tahoma"/>
      <w:sz w:val="20"/>
      <w:szCs w:val="20"/>
      <w:lang w:val="en-US" w:eastAsia="en-US"/>
    </w:rPr>
  </w:style>
  <w:style w:type="paragraph" w:styleId="NormalWeb">
    <w:name w:val="Normal (Web)"/>
    <w:basedOn w:val="Normal"/>
    <w:uiPriority w:val="99"/>
    <w:semiHidden/>
    <w:unhideWhenUsed/>
    <w:rsid w:val="00D00298"/>
    <w:pPr>
      <w:spacing w:before="100" w:beforeAutospacing="1" w:after="100" w:afterAutospacing="1"/>
      <w:ind w:firstLine="0"/>
      <w:jc w:val="left"/>
    </w:pPr>
  </w:style>
  <w:style w:type="character" w:styleId="Marquedecommentaire">
    <w:name w:val="annotation reference"/>
    <w:uiPriority w:val="99"/>
    <w:semiHidden/>
    <w:unhideWhenUsed/>
    <w:rsid w:val="002A186F"/>
    <w:rPr>
      <w:sz w:val="16"/>
      <w:szCs w:val="16"/>
    </w:rPr>
  </w:style>
  <w:style w:type="paragraph" w:styleId="Commentaire">
    <w:name w:val="annotation text"/>
    <w:basedOn w:val="Normal"/>
    <w:link w:val="CommentaireCar"/>
    <w:uiPriority w:val="99"/>
    <w:semiHidden/>
    <w:unhideWhenUsed/>
    <w:rsid w:val="002A186F"/>
    <w:rPr>
      <w:sz w:val="20"/>
      <w:szCs w:val="20"/>
    </w:rPr>
  </w:style>
  <w:style w:type="character" w:customStyle="1" w:styleId="CommentaireCar">
    <w:name w:val="Commentaire Car"/>
    <w:link w:val="Commentaire"/>
    <w:uiPriority w:val="99"/>
    <w:semiHidden/>
    <w:rsid w:val="002A186F"/>
    <w:rPr>
      <w:rFonts w:ascii="Times New Roman" w:eastAsia="Times New Roman" w:hAnsi="Times New Roman" w:cs="Times New Roman"/>
      <w:sz w:val="20"/>
      <w:szCs w:val="20"/>
      <w:lang w:eastAsia="fr-FR"/>
    </w:rPr>
  </w:style>
  <w:style w:type="paragraph" w:styleId="Objetducommentaire">
    <w:name w:val="annotation subject"/>
    <w:basedOn w:val="Commentaire"/>
    <w:next w:val="Commentaire"/>
    <w:link w:val="ObjetducommentaireCar"/>
    <w:uiPriority w:val="99"/>
    <w:semiHidden/>
    <w:unhideWhenUsed/>
    <w:rsid w:val="002A186F"/>
    <w:rPr>
      <w:b/>
      <w:bCs/>
    </w:rPr>
  </w:style>
  <w:style w:type="character" w:customStyle="1" w:styleId="ObjetducommentaireCar">
    <w:name w:val="Objet du commentaire Car"/>
    <w:link w:val="Objetducommentaire"/>
    <w:uiPriority w:val="99"/>
    <w:semiHidden/>
    <w:rsid w:val="002A186F"/>
    <w:rPr>
      <w:rFonts w:ascii="Times New Roman" w:eastAsia="Times New Roman" w:hAnsi="Times New Roman" w:cs="Times New Roman"/>
      <w:b/>
      <w:bCs/>
      <w:sz w:val="20"/>
      <w:szCs w:val="20"/>
      <w:lang w:eastAsia="fr-FR"/>
    </w:rPr>
  </w:style>
  <w:style w:type="paragraph" w:styleId="Textedebulles">
    <w:name w:val="Balloon Text"/>
    <w:basedOn w:val="Normal"/>
    <w:link w:val="TextedebullesCar"/>
    <w:uiPriority w:val="99"/>
    <w:semiHidden/>
    <w:unhideWhenUsed/>
    <w:rsid w:val="002A186F"/>
    <w:rPr>
      <w:rFonts w:ascii="Tahoma" w:hAnsi="Tahoma" w:cs="Tahoma"/>
      <w:sz w:val="16"/>
      <w:szCs w:val="16"/>
    </w:rPr>
  </w:style>
  <w:style w:type="character" w:customStyle="1" w:styleId="TextedebullesCar">
    <w:name w:val="Texte de bulles Car"/>
    <w:link w:val="Textedebulles"/>
    <w:uiPriority w:val="99"/>
    <w:semiHidden/>
    <w:rsid w:val="002A186F"/>
    <w:rPr>
      <w:rFonts w:ascii="Tahoma" w:eastAsia="Times New Roman" w:hAnsi="Tahoma" w:cs="Tahoma"/>
      <w:sz w:val="16"/>
      <w:szCs w:val="16"/>
      <w:lang w:eastAsia="fr-FR"/>
    </w:rPr>
  </w:style>
  <w:style w:type="character" w:styleId="Accentuation">
    <w:name w:val="Emphasis"/>
    <w:uiPriority w:val="20"/>
    <w:qFormat/>
    <w:rsid w:val="001179CE"/>
    <w:rPr>
      <w:i/>
      <w:iCs/>
    </w:rPr>
  </w:style>
  <w:style w:type="paragraph" w:customStyle="1" w:styleId="PS">
    <w:name w:val="PS"/>
    <w:basedOn w:val="Normal"/>
    <w:link w:val="PSCar"/>
    <w:rsid w:val="00E4074F"/>
    <w:pPr>
      <w:spacing w:after="480"/>
      <w:ind w:left="1701" w:firstLine="1134"/>
    </w:pPr>
  </w:style>
  <w:style w:type="character" w:customStyle="1" w:styleId="PSCar">
    <w:name w:val="PS Car"/>
    <w:link w:val="PS"/>
    <w:rsid w:val="00E4074F"/>
    <w:rPr>
      <w:rFonts w:ascii="Times New Roman" w:eastAsia="Times New Roman" w:hAnsi="Times New Roman" w:cs="Times New Roman"/>
      <w:sz w:val="24"/>
      <w:szCs w:val="24"/>
      <w:lang w:eastAsia="fr-FR"/>
    </w:rPr>
  </w:style>
  <w:style w:type="paragraph" w:customStyle="1" w:styleId="P0">
    <w:name w:val="P0"/>
    <w:basedOn w:val="Normal"/>
    <w:link w:val="P0Car"/>
    <w:rsid w:val="00C86AB8"/>
    <w:pPr>
      <w:ind w:left="1701" w:firstLine="0"/>
    </w:pPr>
  </w:style>
  <w:style w:type="paragraph" w:customStyle="1" w:styleId="CarCar1CarCarCar">
    <w:name w:val="Car Car1 Car Car Car"/>
    <w:basedOn w:val="Normal"/>
    <w:rsid w:val="00C86AB8"/>
    <w:pPr>
      <w:spacing w:after="160" w:line="240" w:lineRule="exact"/>
      <w:ind w:firstLine="0"/>
      <w:jc w:val="left"/>
    </w:pPr>
    <w:rPr>
      <w:rFonts w:ascii="Tahoma" w:hAnsi="Tahoma"/>
      <w:sz w:val="20"/>
      <w:szCs w:val="20"/>
      <w:lang w:val="en-US" w:eastAsia="en-US"/>
    </w:rPr>
  </w:style>
  <w:style w:type="character" w:customStyle="1" w:styleId="P0Car">
    <w:name w:val="P0 Car"/>
    <w:link w:val="P0"/>
    <w:rsid w:val="00C86AB8"/>
    <w:rPr>
      <w:rFonts w:ascii="Times New Roman" w:eastAsia="Times New Roman" w:hAnsi="Times New Roman" w:cs="Times New Roman"/>
      <w:sz w:val="24"/>
      <w:szCs w:val="24"/>
      <w:lang w:eastAsia="fr-FR"/>
    </w:rPr>
  </w:style>
  <w:style w:type="paragraph" w:styleId="Rvision">
    <w:name w:val="Revision"/>
    <w:hidden/>
    <w:uiPriority w:val="99"/>
    <w:semiHidden/>
    <w:rsid w:val="0026315B"/>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93001188">
      <w:bodyDiv w:val="1"/>
      <w:marLeft w:val="0"/>
      <w:marRight w:val="0"/>
      <w:marTop w:val="0"/>
      <w:marBottom w:val="0"/>
      <w:divBdr>
        <w:top w:val="none" w:sz="0" w:space="0" w:color="auto"/>
        <w:left w:val="none" w:sz="0" w:space="0" w:color="auto"/>
        <w:bottom w:val="none" w:sz="0" w:space="0" w:color="auto"/>
        <w:right w:val="none" w:sz="0" w:space="0" w:color="auto"/>
      </w:divBdr>
      <w:divsChild>
        <w:div w:id="1552879905">
          <w:marLeft w:val="0"/>
          <w:marRight w:val="0"/>
          <w:marTop w:val="0"/>
          <w:marBottom w:val="0"/>
          <w:divBdr>
            <w:top w:val="none" w:sz="0" w:space="0" w:color="auto"/>
            <w:left w:val="none" w:sz="0" w:space="0" w:color="auto"/>
            <w:bottom w:val="none" w:sz="0" w:space="0" w:color="auto"/>
            <w:right w:val="none" w:sz="0" w:space="0" w:color="auto"/>
          </w:divBdr>
          <w:divsChild>
            <w:div w:id="1232156471">
              <w:marLeft w:val="0"/>
              <w:marRight w:val="0"/>
              <w:marTop w:val="0"/>
              <w:marBottom w:val="0"/>
              <w:divBdr>
                <w:top w:val="none" w:sz="0" w:space="0" w:color="auto"/>
                <w:left w:val="none" w:sz="0" w:space="0" w:color="auto"/>
                <w:bottom w:val="none" w:sz="0" w:space="0" w:color="auto"/>
                <w:right w:val="none" w:sz="0" w:space="0" w:color="auto"/>
              </w:divBdr>
              <w:divsChild>
                <w:div w:id="1552231626">
                  <w:marLeft w:val="0"/>
                  <w:marRight w:val="0"/>
                  <w:marTop w:val="0"/>
                  <w:marBottom w:val="0"/>
                  <w:divBdr>
                    <w:top w:val="none" w:sz="0" w:space="0" w:color="auto"/>
                    <w:left w:val="none" w:sz="0" w:space="0" w:color="auto"/>
                    <w:bottom w:val="none" w:sz="0" w:space="0" w:color="auto"/>
                    <w:right w:val="none" w:sz="0" w:space="0" w:color="auto"/>
                  </w:divBdr>
                  <w:divsChild>
                    <w:div w:id="210463594">
                      <w:marLeft w:val="0"/>
                      <w:marRight w:val="0"/>
                      <w:marTop w:val="0"/>
                      <w:marBottom w:val="0"/>
                      <w:divBdr>
                        <w:top w:val="none" w:sz="0" w:space="0" w:color="auto"/>
                        <w:left w:val="none" w:sz="0" w:space="0" w:color="auto"/>
                        <w:bottom w:val="none" w:sz="0" w:space="0" w:color="auto"/>
                        <w:right w:val="none" w:sz="0" w:space="0" w:color="auto"/>
                      </w:divBdr>
                      <w:divsChild>
                        <w:div w:id="661812015">
                          <w:marLeft w:val="0"/>
                          <w:marRight w:val="0"/>
                          <w:marTop w:val="0"/>
                          <w:marBottom w:val="0"/>
                          <w:divBdr>
                            <w:top w:val="none" w:sz="0" w:space="0" w:color="auto"/>
                            <w:left w:val="none" w:sz="0" w:space="0" w:color="auto"/>
                            <w:bottom w:val="none" w:sz="0" w:space="0" w:color="auto"/>
                            <w:right w:val="none" w:sz="0" w:space="0" w:color="auto"/>
                          </w:divBdr>
                          <w:divsChild>
                            <w:div w:id="1841892037">
                              <w:marLeft w:val="0"/>
                              <w:marRight w:val="0"/>
                              <w:marTop w:val="0"/>
                              <w:marBottom w:val="0"/>
                              <w:divBdr>
                                <w:top w:val="none" w:sz="0" w:space="0" w:color="auto"/>
                                <w:left w:val="none" w:sz="0" w:space="0" w:color="auto"/>
                                <w:bottom w:val="none" w:sz="0" w:space="0" w:color="auto"/>
                                <w:right w:val="none" w:sz="0" w:space="0" w:color="auto"/>
                              </w:divBdr>
                              <w:divsChild>
                                <w:div w:id="1752047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12503240">
      <w:bodyDiv w:val="1"/>
      <w:marLeft w:val="0"/>
      <w:marRight w:val="0"/>
      <w:marTop w:val="0"/>
      <w:marBottom w:val="0"/>
      <w:divBdr>
        <w:top w:val="none" w:sz="0" w:space="0" w:color="auto"/>
        <w:left w:val="none" w:sz="0" w:space="0" w:color="auto"/>
        <w:bottom w:val="none" w:sz="0" w:space="0" w:color="auto"/>
        <w:right w:val="none" w:sz="0" w:space="0" w:color="auto"/>
      </w:divBdr>
      <w:divsChild>
        <w:div w:id="1407335705">
          <w:marLeft w:val="0"/>
          <w:marRight w:val="0"/>
          <w:marTop w:val="0"/>
          <w:marBottom w:val="0"/>
          <w:divBdr>
            <w:top w:val="none" w:sz="0" w:space="0" w:color="auto"/>
            <w:left w:val="none" w:sz="0" w:space="0" w:color="auto"/>
            <w:bottom w:val="none" w:sz="0" w:space="0" w:color="auto"/>
            <w:right w:val="none" w:sz="0" w:space="0" w:color="auto"/>
          </w:divBdr>
          <w:divsChild>
            <w:div w:id="1581939893">
              <w:marLeft w:val="0"/>
              <w:marRight w:val="0"/>
              <w:marTop w:val="0"/>
              <w:marBottom w:val="0"/>
              <w:divBdr>
                <w:top w:val="none" w:sz="0" w:space="0" w:color="auto"/>
                <w:left w:val="none" w:sz="0" w:space="0" w:color="auto"/>
                <w:bottom w:val="none" w:sz="0" w:space="0" w:color="auto"/>
                <w:right w:val="none" w:sz="0" w:space="0" w:color="auto"/>
              </w:divBdr>
              <w:divsChild>
                <w:div w:id="251281705">
                  <w:marLeft w:val="0"/>
                  <w:marRight w:val="0"/>
                  <w:marTop w:val="0"/>
                  <w:marBottom w:val="0"/>
                  <w:divBdr>
                    <w:top w:val="none" w:sz="0" w:space="0" w:color="auto"/>
                    <w:left w:val="none" w:sz="0" w:space="0" w:color="auto"/>
                    <w:bottom w:val="none" w:sz="0" w:space="0" w:color="auto"/>
                    <w:right w:val="none" w:sz="0" w:space="0" w:color="auto"/>
                  </w:divBdr>
                  <w:divsChild>
                    <w:div w:id="927346134">
                      <w:marLeft w:val="0"/>
                      <w:marRight w:val="0"/>
                      <w:marTop w:val="0"/>
                      <w:marBottom w:val="0"/>
                      <w:divBdr>
                        <w:top w:val="none" w:sz="0" w:space="0" w:color="auto"/>
                        <w:left w:val="none" w:sz="0" w:space="0" w:color="auto"/>
                        <w:bottom w:val="none" w:sz="0" w:space="0" w:color="auto"/>
                        <w:right w:val="none" w:sz="0" w:space="0" w:color="auto"/>
                      </w:divBdr>
                      <w:divsChild>
                        <w:div w:id="1357585111">
                          <w:marLeft w:val="0"/>
                          <w:marRight w:val="0"/>
                          <w:marTop w:val="0"/>
                          <w:marBottom w:val="0"/>
                          <w:divBdr>
                            <w:top w:val="none" w:sz="0" w:space="0" w:color="auto"/>
                            <w:left w:val="none" w:sz="0" w:space="0" w:color="auto"/>
                            <w:bottom w:val="none" w:sz="0" w:space="0" w:color="auto"/>
                            <w:right w:val="none" w:sz="0" w:space="0" w:color="auto"/>
                          </w:divBdr>
                          <w:divsChild>
                            <w:div w:id="758257734">
                              <w:marLeft w:val="0"/>
                              <w:marRight w:val="0"/>
                              <w:marTop w:val="0"/>
                              <w:marBottom w:val="0"/>
                              <w:divBdr>
                                <w:top w:val="none" w:sz="0" w:space="0" w:color="auto"/>
                                <w:left w:val="none" w:sz="0" w:space="0" w:color="auto"/>
                                <w:bottom w:val="none" w:sz="0" w:space="0" w:color="auto"/>
                                <w:right w:val="none" w:sz="0" w:space="0" w:color="auto"/>
                              </w:divBdr>
                              <w:divsChild>
                                <w:div w:id="780957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15</TotalTime>
  <Pages>6</Pages>
  <Words>1899</Words>
  <Characters>10450</Characters>
  <Application>Microsoft Office Word</Application>
  <DocSecurity>0</DocSecurity>
  <Lines>87</Lines>
  <Paragraphs>24</Paragraphs>
  <ScaleCrop>false</ScaleCrop>
  <HeadingPairs>
    <vt:vector size="2" baseType="variant">
      <vt:variant>
        <vt:lpstr>Titre</vt:lpstr>
      </vt:variant>
      <vt:variant>
        <vt:i4>1</vt:i4>
      </vt:variant>
    </vt:vector>
  </HeadingPairs>
  <TitlesOfParts>
    <vt:vector size="1" baseType="lpstr">
      <vt:lpstr/>
    </vt:vector>
  </TitlesOfParts>
  <Company>Cour des Comptes</Company>
  <LinksUpToDate>false</LinksUpToDate>
  <CharactersWithSpaces>12325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Rolland, Yves</dc:creator>
  <cp:lastModifiedBy>Jean-Pierre Bonin</cp:lastModifiedBy>
  <cp:revision>3</cp:revision>
  <cp:lastPrinted>2014-12-11T13:08:00Z</cp:lastPrinted>
  <dcterms:created xsi:type="dcterms:W3CDTF">2015-01-15T12:09:00Z</dcterms:created>
  <dcterms:modified xsi:type="dcterms:W3CDTF">2015-01-23T19:18:00Z</dcterms:modified>
</cp:coreProperties>
</file>