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892D4D">
      <w:pPr>
        <w:pStyle w:val="ET"/>
        <w:ind w:right="6096"/>
        <w:jc w:val="center"/>
      </w:pPr>
      <w:r>
        <w:t>COUR DES COMPTES</w:t>
      </w:r>
    </w:p>
    <w:p w:rsidR="00CF1084" w:rsidRDefault="001D79AB" w:rsidP="00892D4D">
      <w:pPr>
        <w:pStyle w:val="ET"/>
        <w:ind w:right="6096"/>
        <w:jc w:val="center"/>
      </w:pPr>
      <w:r>
        <w:t>-------</w:t>
      </w:r>
    </w:p>
    <w:p w:rsidR="00CF1084" w:rsidRDefault="00B1487D" w:rsidP="00892D4D">
      <w:pPr>
        <w:pStyle w:val="ET"/>
        <w:ind w:right="6096"/>
        <w:jc w:val="center"/>
      </w:pPr>
      <w:r>
        <w:t>QUATRIEME</w:t>
      </w:r>
      <w:r w:rsidR="00CF1084">
        <w:t xml:space="preserve"> CHAMBRE</w:t>
      </w:r>
    </w:p>
    <w:p w:rsidR="00CF1084" w:rsidRDefault="00CF1084" w:rsidP="00892D4D">
      <w:pPr>
        <w:pStyle w:val="ET"/>
        <w:ind w:right="6096"/>
        <w:jc w:val="center"/>
      </w:pPr>
      <w:r>
        <w:t>-------</w:t>
      </w:r>
    </w:p>
    <w:p w:rsidR="00CF1084" w:rsidRDefault="00B1487D" w:rsidP="00892D4D">
      <w:pPr>
        <w:pStyle w:val="ET"/>
        <w:ind w:right="6096"/>
        <w:jc w:val="center"/>
      </w:pPr>
      <w:r>
        <w:t>PREMIERE</w:t>
      </w:r>
      <w:r w:rsidR="00CF1084">
        <w:t xml:space="preserve"> SECTION</w:t>
      </w:r>
    </w:p>
    <w:p w:rsidR="00CF1084" w:rsidRDefault="00CF1084" w:rsidP="00892D4D">
      <w:pPr>
        <w:pStyle w:val="ET"/>
        <w:spacing w:after="120"/>
        <w:ind w:right="6096"/>
        <w:jc w:val="center"/>
      </w:pPr>
      <w:r>
        <w:t>-------</w:t>
      </w:r>
    </w:p>
    <w:p w:rsidR="00CF1084" w:rsidRPr="00CF1084" w:rsidRDefault="00CF1084" w:rsidP="00892D4D">
      <w:pPr>
        <w:pStyle w:val="En-tte"/>
        <w:ind w:right="6096"/>
        <w:jc w:val="center"/>
        <w:rPr>
          <w:b/>
          <w:i/>
          <w:sz w:val="22"/>
          <w:szCs w:val="22"/>
        </w:rPr>
      </w:pPr>
      <w:r>
        <w:rPr>
          <w:b/>
          <w:i/>
          <w:sz w:val="22"/>
          <w:szCs w:val="22"/>
        </w:rPr>
        <w:t xml:space="preserve">Arrêt n° </w:t>
      </w:r>
      <w:r w:rsidR="005C7C8B">
        <w:rPr>
          <w:b/>
          <w:i/>
          <w:sz w:val="22"/>
          <w:szCs w:val="22"/>
        </w:rPr>
        <w:t>71328</w:t>
      </w:r>
    </w:p>
    <w:tbl>
      <w:tblPr>
        <w:tblW w:w="9782" w:type="dxa"/>
        <w:tblInd w:w="-34" w:type="dxa"/>
        <w:tblLayout w:type="fixed"/>
        <w:tblLook w:val="04A0" w:firstRow="1" w:lastRow="0" w:firstColumn="1" w:lastColumn="0" w:noHBand="0" w:noVBand="1"/>
      </w:tblPr>
      <w:tblGrid>
        <w:gridCol w:w="5104"/>
        <w:gridCol w:w="4678"/>
      </w:tblGrid>
      <w:tr w:rsidR="0014129E" w:rsidTr="0077108D">
        <w:tc>
          <w:tcPr>
            <w:tcW w:w="5104" w:type="dxa"/>
            <w:shd w:val="clear" w:color="auto" w:fill="auto"/>
          </w:tcPr>
          <w:p w:rsidR="00A07695" w:rsidRDefault="00A07695" w:rsidP="0077108D">
            <w:pPr>
              <w:pStyle w:val="OR"/>
              <w:ind w:left="0"/>
              <w:jc w:val="both"/>
            </w:pPr>
          </w:p>
        </w:tc>
        <w:tc>
          <w:tcPr>
            <w:tcW w:w="4678" w:type="dxa"/>
            <w:shd w:val="clear" w:color="auto" w:fill="auto"/>
          </w:tcPr>
          <w:p w:rsidR="0014129E" w:rsidRPr="0077108D" w:rsidRDefault="0014129E" w:rsidP="0077108D">
            <w:pPr>
              <w:pStyle w:val="OR"/>
              <w:ind w:left="0"/>
              <w:rPr>
                <w:caps/>
              </w:rPr>
            </w:pPr>
            <w:r w:rsidRPr="0077108D">
              <w:rPr>
                <w:caps/>
              </w:rPr>
              <w:t>COMMUN</w:t>
            </w:r>
            <w:r w:rsidR="00217B98" w:rsidRPr="0077108D">
              <w:rPr>
                <w:caps/>
              </w:rPr>
              <w:t xml:space="preserve">AUTE URBAINE DE STRASBOURG </w:t>
            </w:r>
            <w:r w:rsidR="00E21A48" w:rsidRPr="0077108D">
              <w:rPr>
                <w:caps/>
              </w:rPr>
              <w:t xml:space="preserve">(CUS) </w:t>
            </w:r>
            <w:r w:rsidR="00217B98" w:rsidRPr="0077108D">
              <w:rPr>
                <w:caps/>
              </w:rPr>
              <w:t>(</w:t>
            </w:r>
            <w:r w:rsidR="00400545" w:rsidRPr="0077108D">
              <w:rPr>
                <w:caps/>
              </w:rPr>
              <w:t>BAS-RHIN</w:t>
            </w:r>
            <w:r w:rsidRPr="0077108D">
              <w:rPr>
                <w:caps/>
              </w:rPr>
              <w:t>)</w:t>
            </w:r>
          </w:p>
          <w:p w:rsidR="0014129E" w:rsidRDefault="0014129E" w:rsidP="0077108D">
            <w:pPr>
              <w:pStyle w:val="OR"/>
              <w:ind w:left="0"/>
            </w:pPr>
          </w:p>
          <w:p w:rsidR="000A67F3" w:rsidRPr="0077108D" w:rsidRDefault="000A67F3" w:rsidP="0077108D">
            <w:pPr>
              <w:spacing w:after="80"/>
              <w:ind w:left="33"/>
              <w:rPr>
                <w:sz w:val="24"/>
                <w:szCs w:val="24"/>
              </w:rPr>
            </w:pPr>
            <w:r w:rsidRPr="0077108D">
              <w:rPr>
                <w:sz w:val="24"/>
                <w:szCs w:val="24"/>
              </w:rPr>
              <w:t>Appel d’un jugement de la chambre régionale des comptes d’Alsace</w:t>
            </w:r>
          </w:p>
          <w:p w:rsidR="000A67F3" w:rsidRDefault="000A67F3" w:rsidP="0077108D">
            <w:pPr>
              <w:pStyle w:val="OR"/>
              <w:ind w:left="0"/>
            </w:pPr>
          </w:p>
          <w:p w:rsidR="0014129E" w:rsidRDefault="00400545" w:rsidP="0077108D">
            <w:pPr>
              <w:pStyle w:val="OR"/>
              <w:ind w:left="0"/>
            </w:pPr>
            <w:r>
              <w:t>Exercice</w:t>
            </w:r>
            <w:r w:rsidR="0014129E">
              <w:t xml:space="preserve"> 2010</w:t>
            </w:r>
          </w:p>
          <w:p w:rsidR="0014129E" w:rsidRDefault="0014129E" w:rsidP="0077108D">
            <w:pPr>
              <w:pStyle w:val="OR"/>
              <w:ind w:left="0"/>
            </w:pPr>
          </w:p>
          <w:p w:rsidR="0014129E" w:rsidRDefault="001A65E0" w:rsidP="0077108D">
            <w:pPr>
              <w:pStyle w:val="OR"/>
              <w:ind w:left="0"/>
            </w:pPr>
            <w:r>
              <w:t>Rapport n° </w:t>
            </w:r>
            <w:r w:rsidR="00400545">
              <w:t>2014-668</w:t>
            </w:r>
            <w:r w:rsidR="0014129E">
              <w:t>-0</w:t>
            </w:r>
          </w:p>
          <w:p w:rsidR="0014129E" w:rsidRDefault="0014129E" w:rsidP="0077108D">
            <w:pPr>
              <w:pStyle w:val="OR"/>
              <w:ind w:left="0"/>
            </w:pPr>
          </w:p>
          <w:p w:rsidR="0014129E" w:rsidRDefault="0014129E" w:rsidP="0077108D">
            <w:pPr>
              <w:pStyle w:val="OR"/>
              <w:ind w:left="0"/>
            </w:pPr>
            <w:r>
              <w:t>Audi</w:t>
            </w:r>
            <w:r w:rsidR="00400545">
              <w:t>ence publique du 19 novembre 2014</w:t>
            </w:r>
          </w:p>
          <w:p w:rsidR="0014129E" w:rsidRDefault="0014129E" w:rsidP="0077108D">
            <w:pPr>
              <w:pStyle w:val="OR"/>
              <w:ind w:left="0"/>
            </w:pPr>
          </w:p>
          <w:p w:rsidR="0014129E" w:rsidRDefault="0014129E" w:rsidP="0077108D">
            <w:pPr>
              <w:pStyle w:val="OR"/>
              <w:ind w:left="0"/>
            </w:pPr>
            <w:r>
              <w:t xml:space="preserve">Lecture publique </w:t>
            </w:r>
            <w:r w:rsidRPr="002F26BB">
              <w:t xml:space="preserve">du </w:t>
            </w:r>
            <w:r w:rsidR="005C7C8B">
              <w:t>18 décembre 2014</w:t>
            </w:r>
          </w:p>
          <w:p w:rsidR="0014129E" w:rsidRDefault="0014129E" w:rsidP="0077108D">
            <w:pPr>
              <w:pStyle w:val="OR"/>
              <w:ind w:left="0"/>
            </w:pPr>
          </w:p>
        </w:tc>
      </w:tr>
    </w:tbl>
    <w:p w:rsidR="00593990" w:rsidRPr="00690D05" w:rsidRDefault="00593990" w:rsidP="00593096">
      <w:pPr>
        <w:pStyle w:val="P0"/>
        <w:ind w:left="539" w:right="-284" w:firstLine="595"/>
        <w:jc w:val="center"/>
      </w:pPr>
    </w:p>
    <w:p w:rsidR="00200B02" w:rsidRPr="00B3768A" w:rsidRDefault="00B3768A" w:rsidP="003D33F1">
      <w:pPr>
        <w:pStyle w:val="PS"/>
        <w:jc w:val="center"/>
      </w:pPr>
      <w:r>
        <w:t>LA COUR DES COMPTES a rendu l’arrêt suivant :</w:t>
      </w:r>
    </w:p>
    <w:p w:rsidR="00B1487D" w:rsidRPr="001471A0" w:rsidRDefault="004C619E" w:rsidP="00490A4D">
      <w:pPr>
        <w:pStyle w:val="PS"/>
        <w:ind w:left="1134" w:firstLine="851"/>
      </w:pPr>
      <w:r>
        <w:t>L</w:t>
      </w:r>
      <w:r w:rsidR="0020041E">
        <w:t xml:space="preserve"> </w:t>
      </w:r>
      <w:r w:rsidR="00B1487D" w:rsidRPr="001471A0">
        <w:t>A COUR,</w:t>
      </w:r>
    </w:p>
    <w:p w:rsidR="00B1487D" w:rsidRPr="001471A0" w:rsidRDefault="00B04E4C" w:rsidP="000A67F3">
      <w:pPr>
        <w:pStyle w:val="PS"/>
        <w:spacing w:after="360"/>
        <w:ind w:left="1134" w:firstLine="851"/>
      </w:pPr>
      <w:r w:rsidRPr="001471A0">
        <w:t>Vu la req</w:t>
      </w:r>
      <w:r w:rsidR="00692379">
        <w:t>uête, enregistrée le 18 décembre</w:t>
      </w:r>
      <w:r w:rsidRPr="001471A0">
        <w:t xml:space="preserve"> 2013 au greffe de la chambre régionale des comptes d</w:t>
      </w:r>
      <w:r w:rsidR="00692379">
        <w:t>’Alsace</w:t>
      </w:r>
      <w:r w:rsidRPr="001471A0">
        <w:t>, par laquelle M</w:t>
      </w:r>
      <w:r w:rsidR="00593990">
        <w:t>. </w:t>
      </w:r>
      <w:r w:rsidR="0039782F">
        <w:t>X</w:t>
      </w:r>
      <w:r w:rsidR="00692379">
        <w:t>, ancien comptable de la communauté urbaine de Strasbourg</w:t>
      </w:r>
      <w:r w:rsidRPr="00A91A17">
        <w:t>, a élev</w:t>
      </w:r>
      <w:r w:rsidR="00692379" w:rsidRPr="00A91A17">
        <w:t>é appel</w:t>
      </w:r>
      <w:r w:rsidR="00E21A48">
        <w:t xml:space="preserve"> du jugement n° 2013-0</w:t>
      </w:r>
      <w:r w:rsidR="00692379">
        <w:t>10 du 7 nov</w:t>
      </w:r>
      <w:r w:rsidRPr="001471A0">
        <w:t xml:space="preserve">embre 2013 </w:t>
      </w:r>
      <w:r w:rsidR="00453692">
        <w:t>qui</w:t>
      </w:r>
      <w:r w:rsidRPr="001471A0">
        <w:t xml:space="preserve"> </w:t>
      </w:r>
      <w:r w:rsidR="00692379">
        <w:t>l’a constitué</w:t>
      </w:r>
      <w:r w:rsidRPr="001471A0">
        <w:t xml:space="preserve"> débiteur de </w:t>
      </w:r>
      <w:r w:rsidR="00593990">
        <w:t>cette communauté</w:t>
      </w:r>
      <w:r w:rsidR="00692379">
        <w:t xml:space="preserve"> d</w:t>
      </w:r>
      <w:r w:rsidRPr="001471A0">
        <w:t xml:space="preserve">e la somme de </w:t>
      </w:r>
      <w:r w:rsidR="00692379">
        <w:t>374 305,60</w:t>
      </w:r>
      <w:r w:rsidRPr="001471A0">
        <w:t xml:space="preserve"> €, augmentée des intérêts de droit à compter du </w:t>
      </w:r>
      <w:r w:rsidR="00692379">
        <w:t>9</w:t>
      </w:r>
      <w:r w:rsidR="00892D4D">
        <w:t xml:space="preserve"> </w:t>
      </w:r>
      <w:r w:rsidR="00692379">
        <w:t>novembre 2012</w:t>
      </w:r>
      <w:r w:rsidR="00892D4D">
        <w:t> ;</w:t>
      </w:r>
    </w:p>
    <w:p w:rsidR="00045432" w:rsidRPr="001471A0" w:rsidRDefault="00B1487D" w:rsidP="000A67F3">
      <w:pPr>
        <w:pStyle w:val="PS"/>
        <w:spacing w:after="360"/>
        <w:ind w:left="1134" w:firstLine="851"/>
      </w:pPr>
      <w:r w:rsidRPr="001471A0">
        <w:t>Vu le réquisitoire n°</w:t>
      </w:r>
      <w:r w:rsidR="0026720A" w:rsidRPr="001471A0">
        <w:t> </w:t>
      </w:r>
      <w:r w:rsidRPr="001471A0">
        <w:t>201</w:t>
      </w:r>
      <w:r w:rsidR="00CC4761" w:rsidRPr="001471A0">
        <w:t>4</w:t>
      </w:r>
      <w:r w:rsidRPr="001471A0">
        <w:t>-</w:t>
      </w:r>
      <w:r w:rsidR="00692379">
        <w:t>24</w:t>
      </w:r>
      <w:r w:rsidRPr="001471A0">
        <w:t xml:space="preserve"> du Procureur général</w:t>
      </w:r>
      <w:r w:rsidR="00CC4761" w:rsidRPr="001471A0">
        <w:t xml:space="preserve"> près la Cour des comptes</w:t>
      </w:r>
      <w:r w:rsidRPr="001471A0">
        <w:t xml:space="preserve"> du </w:t>
      </w:r>
      <w:r w:rsidR="00692379">
        <w:t>26 février</w:t>
      </w:r>
      <w:r w:rsidR="00CC4761" w:rsidRPr="001471A0">
        <w:t xml:space="preserve"> 2014</w:t>
      </w:r>
      <w:r w:rsidRPr="001471A0">
        <w:t xml:space="preserve"> transmettant la requête précitée</w:t>
      </w:r>
      <w:r w:rsidR="00892D4D">
        <w:t> ;</w:t>
      </w:r>
    </w:p>
    <w:p w:rsidR="00B1487D" w:rsidRDefault="00B1487D" w:rsidP="000A67F3">
      <w:pPr>
        <w:pStyle w:val="PS"/>
        <w:spacing w:after="360"/>
        <w:ind w:left="1134" w:firstLine="851"/>
      </w:pPr>
      <w:r w:rsidRPr="001471A0">
        <w:t>Vu les pièces de la procédure suivie en première instance</w:t>
      </w:r>
      <w:r w:rsidR="00892D4D">
        <w:t> ;</w:t>
      </w:r>
    </w:p>
    <w:p w:rsidR="00AA4A32" w:rsidRPr="001471A0" w:rsidRDefault="00B1487D" w:rsidP="00490A4D">
      <w:pPr>
        <w:pStyle w:val="PS"/>
        <w:ind w:left="1134" w:firstLine="851"/>
      </w:pPr>
      <w:r w:rsidRPr="001471A0">
        <w:t>Vu le code général des collectivités territoriales</w:t>
      </w:r>
      <w:r w:rsidR="00AA4A32">
        <w:t>, et, notamment, son annexe I, portant liste des pièces justificatives des dépenses des collectivités locales, établissements publics locaux et associations syndicales de propriétaires</w:t>
      </w:r>
      <w:r w:rsidR="00892D4D">
        <w:t> ;</w:t>
      </w:r>
    </w:p>
    <w:p w:rsidR="00DB37D0" w:rsidRDefault="00DB37D0" w:rsidP="000A67F3">
      <w:pPr>
        <w:pStyle w:val="PS"/>
        <w:spacing w:after="240"/>
        <w:ind w:left="1134" w:firstLine="851"/>
      </w:pPr>
      <w:r w:rsidRPr="001471A0">
        <w:t xml:space="preserve">Vu </w:t>
      </w:r>
      <w:r w:rsidR="00DD0F51" w:rsidRPr="001471A0">
        <w:t>la loi n° </w:t>
      </w:r>
      <w:r w:rsidRPr="001471A0">
        <w:t>84-53 du 26 janvier 1984 portant dispositions statutaires relatives à la fon</w:t>
      </w:r>
      <w:r w:rsidR="00AA4A32">
        <w:t>c</w:t>
      </w:r>
      <w:r w:rsidRPr="001471A0">
        <w:t>tion publique territoriale</w:t>
      </w:r>
      <w:r w:rsidR="00DD0F51" w:rsidRPr="001471A0">
        <w:t>, modifiée ;</w:t>
      </w:r>
    </w:p>
    <w:p w:rsidR="0060280E" w:rsidRPr="001471A0" w:rsidRDefault="0060280E" w:rsidP="00490A4D">
      <w:pPr>
        <w:pStyle w:val="PS"/>
        <w:ind w:left="1134" w:firstLine="851"/>
      </w:pPr>
      <w:r>
        <w:t>Vu le décret n°</w:t>
      </w:r>
      <w:r w:rsidR="00E21A48">
        <w:t> </w:t>
      </w:r>
      <w:r>
        <w:t xml:space="preserve">91-875 du 6 septembre 1991, </w:t>
      </w:r>
      <w:r w:rsidR="002B4265">
        <w:t>pris pour l’application du premier alinéa de l’article 88 de la loi du 26 janvier 1984 ;</w:t>
      </w:r>
    </w:p>
    <w:p w:rsidR="00B1487D" w:rsidRPr="001471A0" w:rsidRDefault="00B1487D" w:rsidP="00490A4D">
      <w:pPr>
        <w:pStyle w:val="PS"/>
        <w:ind w:left="1134" w:firstLine="851"/>
      </w:pPr>
      <w:r w:rsidRPr="001471A0">
        <w:lastRenderedPageBreak/>
        <w:t>Vu l’arti</w:t>
      </w:r>
      <w:r w:rsidR="0026720A" w:rsidRPr="001471A0">
        <w:t>cle 60 de la loi n° </w:t>
      </w:r>
      <w:r w:rsidRPr="001471A0">
        <w:t>63-156 du 23 février 1963</w:t>
      </w:r>
      <w:r w:rsidR="00A453CE" w:rsidRPr="001471A0">
        <w:t xml:space="preserve"> de finances pour 1963,</w:t>
      </w:r>
      <w:r w:rsidRPr="001471A0">
        <w:t xml:space="preserve"> modifiée</w:t>
      </w:r>
      <w:r w:rsidR="00892D4D">
        <w:t> ;</w:t>
      </w:r>
    </w:p>
    <w:p w:rsidR="00CD14B5" w:rsidRPr="001471A0" w:rsidRDefault="00EB699F" w:rsidP="00490A4D">
      <w:pPr>
        <w:pStyle w:val="PS"/>
        <w:ind w:left="1134" w:firstLine="851"/>
      </w:pPr>
      <w:r w:rsidRPr="001471A0">
        <w:t>Vu le décret n° 62-1587 du 29 décembre 1962 portant règlement général sur la comptabilité publique ;</w:t>
      </w:r>
    </w:p>
    <w:p w:rsidR="00B1487D" w:rsidRPr="001471A0" w:rsidRDefault="00B1487D" w:rsidP="00490A4D">
      <w:pPr>
        <w:pStyle w:val="PS"/>
        <w:ind w:left="1134" w:firstLine="851"/>
      </w:pPr>
      <w:r w:rsidRPr="001471A0">
        <w:t>Vu le code des juridictions financières</w:t>
      </w:r>
      <w:r w:rsidR="00892D4D">
        <w:t> ;</w:t>
      </w:r>
    </w:p>
    <w:p w:rsidR="00B1487D" w:rsidRPr="001471A0" w:rsidRDefault="00B1487D" w:rsidP="00490A4D">
      <w:pPr>
        <w:pStyle w:val="PS"/>
        <w:ind w:left="1134" w:firstLine="851"/>
      </w:pPr>
      <w:r w:rsidRPr="001471A0">
        <w:t xml:space="preserve">Vu le rapport de </w:t>
      </w:r>
      <w:r w:rsidR="00045432" w:rsidRPr="001471A0">
        <w:t xml:space="preserve">M. </w:t>
      </w:r>
      <w:r w:rsidR="00CC67E6" w:rsidRPr="001471A0">
        <w:t xml:space="preserve">Patrick </w:t>
      </w:r>
      <w:proofErr w:type="spellStart"/>
      <w:r w:rsidR="00045432" w:rsidRPr="001471A0">
        <w:t>Bonnaud</w:t>
      </w:r>
      <w:proofErr w:type="spellEnd"/>
      <w:r w:rsidRPr="001471A0">
        <w:t xml:space="preserve">, </w:t>
      </w:r>
      <w:r w:rsidR="00045432" w:rsidRPr="001471A0">
        <w:t>conseiller référendaire</w:t>
      </w:r>
      <w:r w:rsidR="00892D4D">
        <w:t> ;</w:t>
      </w:r>
    </w:p>
    <w:p w:rsidR="00B1487D" w:rsidRPr="001471A0" w:rsidRDefault="00B1487D" w:rsidP="00490A4D">
      <w:pPr>
        <w:pStyle w:val="PS"/>
        <w:ind w:left="1134" w:firstLine="851"/>
      </w:pPr>
      <w:r w:rsidRPr="001471A0">
        <w:t>Vu les conclusions n°</w:t>
      </w:r>
      <w:r w:rsidR="0026720A" w:rsidRPr="001471A0">
        <w:t> </w:t>
      </w:r>
      <w:r w:rsidRPr="001471A0">
        <w:t>6</w:t>
      </w:r>
      <w:r w:rsidR="00692379">
        <w:t>75</w:t>
      </w:r>
      <w:r w:rsidRPr="001471A0">
        <w:t xml:space="preserve"> du Procureur général du </w:t>
      </w:r>
      <w:r w:rsidR="00692379">
        <w:t>24</w:t>
      </w:r>
      <w:r w:rsidR="00045432" w:rsidRPr="001471A0">
        <w:t xml:space="preserve"> octobre</w:t>
      </w:r>
      <w:r w:rsidRPr="001471A0">
        <w:t xml:space="preserve"> 2014</w:t>
      </w:r>
      <w:r w:rsidR="00593990">
        <w:t> </w:t>
      </w:r>
      <w:r w:rsidRPr="001471A0">
        <w:t>;</w:t>
      </w:r>
    </w:p>
    <w:p w:rsidR="00B1487D" w:rsidRPr="001471A0" w:rsidRDefault="00B1487D" w:rsidP="00490A4D">
      <w:pPr>
        <w:pStyle w:val="PS"/>
        <w:ind w:left="1134" w:firstLine="851"/>
      </w:pPr>
      <w:r w:rsidRPr="001471A0">
        <w:t xml:space="preserve">Entendu, lors de l’audience publique de ce jour, </w:t>
      </w:r>
      <w:r w:rsidR="0026720A" w:rsidRPr="001471A0">
        <w:t>M. </w:t>
      </w:r>
      <w:r w:rsidR="00045432" w:rsidRPr="001471A0">
        <w:t>Bonnaud</w:t>
      </w:r>
      <w:r w:rsidR="0026720A" w:rsidRPr="001471A0">
        <w:t xml:space="preserve"> en son rapport, M</w:t>
      </w:r>
      <w:r w:rsidR="00692379">
        <w:t>. Christian Michau</w:t>
      </w:r>
      <w:r w:rsidR="004F227C">
        <w:t>t</w:t>
      </w:r>
      <w:r w:rsidRPr="001471A0">
        <w:t xml:space="preserve">, avocat général, en les conclusions du parquet, </w:t>
      </w:r>
      <w:r w:rsidR="0026720A" w:rsidRPr="001471A0">
        <w:t>M</w:t>
      </w:r>
      <w:r w:rsidR="00692379">
        <w:t>.</w:t>
      </w:r>
      <w:r w:rsidR="00490A4D">
        <w:t> </w:t>
      </w:r>
      <w:r w:rsidR="0039782F">
        <w:t>X</w:t>
      </w:r>
      <w:r w:rsidR="00692379">
        <w:t>, appelant, étant présent</w:t>
      </w:r>
      <w:r w:rsidR="0026720A" w:rsidRPr="001471A0">
        <w:t xml:space="preserve"> et ayant eu la parole en dernier </w:t>
      </w:r>
      <w:r w:rsidRPr="001471A0">
        <w:t>;</w:t>
      </w:r>
    </w:p>
    <w:p w:rsidR="00B1487D" w:rsidRPr="001471A0" w:rsidRDefault="00B1487D" w:rsidP="00490A4D">
      <w:pPr>
        <w:pStyle w:val="PS"/>
        <w:ind w:left="1134" w:firstLine="851"/>
      </w:pPr>
      <w:r w:rsidRPr="001471A0">
        <w:t xml:space="preserve">Après avoir entendu, en délibéré, M. </w:t>
      </w:r>
      <w:r w:rsidR="00692379">
        <w:t xml:space="preserve">Yves </w:t>
      </w:r>
      <w:r w:rsidR="00453692">
        <w:t>Roll</w:t>
      </w:r>
      <w:r w:rsidR="00692379">
        <w:t>and</w:t>
      </w:r>
      <w:r w:rsidRPr="001471A0">
        <w:t xml:space="preserve">, </w:t>
      </w:r>
      <w:r w:rsidR="00692379">
        <w:t>conseiller maître</w:t>
      </w:r>
      <w:r w:rsidRPr="001471A0">
        <w:t>, en ses observations</w:t>
      </w:r>
      <w:r w:rsidR="006D1F24" w:rsidRPr="001471A0">
        <w:t> </w:t>
      </w:r>
      <w:r w:rsidRPr="001471A0">
        <w:t>;</w:t>
      </w:r>
    </w:p>
    <w:p w:rsidR="00AA4A32" w:rsidRDefault="00AA4A32" w:rsidP="00490A4D">
      <w:pPr>
        <w:pStyle w:val="PS"/>
        <w:ind w:left="1134" w:firstLine="851"/>
        <w:rPr>
          <w:b/>
          <w:i/>
        </w:rPr>
      </w:pPr>
    </w:p>
    <w:p w:rsidR="0039697E" w:rsidRDefault="008515ED" w:rsidP="00490A4D">
      <w:pPr>
        <w:pStyle w:val="PS"/>
        <w:ind w:left="1134" w:firstLine="851"/>
      </w:pPr>
      <w:r w:rsidRPr="008515ED">
        <w:t xml:space="preserve">Attendu que </w:t>
      </w:r>
      <w:r w:rsidR="0039697E">
        <w:t>la chambre régionale des comptes d’Alsace a constitué M. </w:t>
      </w:r>
      <w:r w:rsidR="0039782F">
        <w:t>X</w:t>
      </w:r>
      <w:r w:rsidR="0039697E">
        <w:t xml:space="preserve"> débiteur de la </w:t>
      </w:r>
      <w:r w:rsidR="00593990" w:rsidRPr="00593990">
        <w:t xml:space="preserve">communauté urbaine de Strasbourg </w:t>
      </w:r>
      <w:r w:rsidR="0039697E">
        <w:t xml:space="preserve">pour avoir payé </w:t>
      </w:r>
      <w:r w:rsidR="00593990">
        <w:t xml:space="preserve">en 2010 </w:t>
      </w:r>
      <w:r w:rsidR="0039697E">
        <w:t>à cinq agents des indemnités personnelles pour un montant de 142 592,64</w:t>
      </w:r>
      <w:r w:rsidR="00490A4D">
        <w:t> </w:t>
      </w:r>
      <w:r w:rsidR="0039697E">
        <w:t>€ et à seize agents des indemnités complémentaires pour un montant de 231 712,96 € au motif que ces indemnités avaient été payées sans qu’el</w:t>
      </w:r>
      <w:r w:rsidRPr="008515ED">
        <w:t>le</w:t>
      </w:r>
      <w:r w:rsidR="0039697E">
        <w:t>s aient été attribuées par délibération de l’assemblée communautaire ou par mention au contrat des intéressés ; qu’aucune décision individuelle de l’ordonnateur de l’établissement public n’en avait fixé les conditions de liquidation pour les agents concernés ;</w:t>
      </w:r>
    </w:p>
    <w:p w:rsidR="00593990" w:rsidRPr="00593990" w:rsidRDefault="00593990" w:rsidP="00490A4D">
      <w:pPr>
        <w:pStyle w:val="PS"/>
        <w:ind w:left="1134" w:firstLine="851"/>
        <w:rPr>
          <w:b/>
          <w:i/>
        </w:rPr>
      </w:pPr>
      <w:r w:rsidRPr="00593990">
        <w:rPr>
          <w:b/>
          <w:i/>
        </w:rPr>
        <w:t>Sur le manquement</w:t>
      </w:r>
    </w:p>
    <w:p w:rsidR="00405000" w:rsidRDefault="0061726A" w:rsidP="00490A4D">
      <w:pPr>
        <w:pStyle w:val="PS"/>
        <w:ind w:left="1134" w:firstLine="851"/>
      </w:pPr>
      <w:r>
        <w:t>Attendu que l’appelant fait valoir que</w:t>
      </w:r>
      <w:r w:rsidR="00C51641">
        <w:t>,</w:t>
      </w:r>
      <w:r>
        <w:t xml:space="preserve"> s’il ne disposait pas des pièces justificatives prévues par l’annexe I du code général des collectivités territoriales, susvisée, il disposait néanmoins de pièces : la délibération du conseil de communauté du 21 novembre 2003 et la décision collective prise pour son application</w:t>
      </w:r>
      <w:r w:rsidR="00826F69">
        <w:t> ; qu’</w:t>
      </w:r>
      <w:r w:rsidR="00A91A17">
        <w:t xml:space="preserve">en outre </w:t>
      </w:r>
      <w:r w:rsidR="00826F69">
        <w:t>une délibération de régularisation a été prise par l’établissement public</w:t>
      </w:r>
      <w:r w:rsidR="00453692">
        <w:t xml:space="preserve"> le 26 octobre 2012</w:t>
      </w:r>
      <w:r w:rsidR="00826F69">
        <w:t> ;</w:t>
      </w:r>
    </w:p>
    <w:p w:rsidR="00405000" w:rsidRDefault="00405000">
      <w:pPr>
        <w:rPr>
          <w:sz w:val="24"/>
          <w:szCs w:val="24"/>
        </w:rPr>
      </w:pPr>
      <w:r>
        <w:br w:type="page"/>
      </w:r>
    </w:p>
    <w:p w:rsidR="00826F69" w:rsidRDefault="00AE173F" w:rsidP="00490A4D">
      <w:pPr>
        <w:pStyle w:val="PS"/>
        <w:ind w:left="1134" w:firstLine="851"/>
      </w:pPr>
      <w:r>
        <w:lastRenderedPageBreak/>
        <w:t>Attendu, d’une part, que la délibération du 21 novembre 2003</w:t>
      </w:r>
      <w:r w:rsidR="00A748EB">
        <w:t xml:space="preserve"> prévoit le maintien d’un dispositif indemnitaire à titre personnel ; qu’elle ne mentionne pas de régime indemnitaire complémentaire ; que l</w:t>
      </w:r>
      <w:r>
        <w:t>a décision collective prise pour son application ne</w:t>
      </w:r>
      <w:r w:rsidR="00A748EB">
        <w:t xml:space="preserve"> fixe</w:t>
      </w:r>
      <w:r>
        <w:t xml:space="preserve"> pas, contrairement à ce que prévoit l’annexe portant liste des pièces justificatives des dépenses, le taux applicable à chacun des agents concernés</w:t>
      </w:r>
      <w:r w:rsidR="00A748EB">
        <w:t> ; que la mention d’un montant applicable par grade ou par catégorie ou le renvoi à des montants antérieurement acquis ne sauraient en tenir lieu</w:t>
      </w:r>
      <w:r w:rsidR="0005109B">
        <w:t xml:space="preserve">, le comptable devant disposer </w:t>
      </w:r>
      <w:r w:rsidR="007F58E1">
        <w:t>des éléments nécessaires au contrôle de l’exactitude de la liquidation</w:t>
      </w:r>
      <w:r w:rsidR="00DB5DA6">
        <w:t> ;</w:t>
      </w:r>
      <w:r w:rsidR="00593990">
        <w:t xml:space="preserve"> </w:t>
      </w:r>
      <w:r w:rsidR="00DB5DA6">
        <w:t>qu’au contraire, l’article 2 du décret</w:t>
      </w:r>
      <w:r w:rsidR="00490A4D">
        <w:t xml:space="preserve"> </w:t>
      </w:r>
      <w:r w:rsidR="00DB5DA6">
        <w:t xml:space="preserve">du 6 septembre 1991 </w:t>
      </w:r>
      <w:r w:rsidR="00A91A17">
        <w:t xml:space="preserve">susvisé </w:t>
      </w:r>
      <w:r w:rsidR="00DB5DA6">
        <w:t>dispose expressément que l’autorité investie du pouvoir de nomination arrête, dans les limites fixées par la délibération, le taux individuel applicable à chaque fonctionnaire </w:t>
      </w:r>
      <w:r w:rsidR="00A748EB">
        <w:t>;</w:t>
      </w:r>
      <w:r w:rsidR="00C51641">
        <w:t xml:space="preserve"> que, de même, les contrats des agents en cause ne permettent pas de justifier les montants de</w:t>
      </w:r>
      <w:r w:rsidR="00A91A17">
        <w:t>s</w:t>
      </w:r>
      <w:r w:rsidR="00C51641">
        <w:t xml:space="preserve"> </w:t>
      </w:r>
      <w:r w:rsidR="00935D9B">
        <w:t>indemnités</w:t>
      </w:r>
      <w:r w:rsidR="00C51641">
        <w:t xml:space="preserve"> payé</w:t>
      </w:r>
      <w:r w:rsidR="00935D9B">
        <w:t>e</w:t>
      </w:r>
      <w:r w:rsidR="00892D4D">
        <w:t>s ;</w:t>
      </w:r>
    </w:p>
    <w:p w:rsidR="00A748EB" w:rsidRDefault="00A748EB" w:rsidP="00490A4D">
      <w:pPr>
        <w:pStyle w:val="PS"/>
        <w:ind w:left="1134" w:firstLine="851"/>
      </w:pPr>
      <w:r>
        <w:t>Attendu, d’autre part,</w:t>
      </w:r>
      <w:r w:rsidR="00703E3C">
        <w:t xml:space="preserve"> </w:t>
      </w:r>
      <w:r w:rsidR="00AD0A61">
        <w:t xml:space="preserve">que la délibération du </w:t>
      </w:r>
      <w:r w:rsidR="00DB5DA6">
        <w:t>26 octobre 2012, contrairement</w:t>
      </w:r>
      <w:r w:rsidR="008F0A71">
        <w:t xml:space="preserve"> à ce que prétend l’appelant</w:t>
      </w:r>
      <w:r w:rsidR="00DB5DA6">
        <w:t>,</w:t>
      </w:r>
      <w:r w:rsidR="008F0A71">
        <w:t xml:space="preserve"> ne valide pas à titre rétroactif les paiements intervenus en 2010, ne comportant aucune disposition explicite en ce sens ; qu’elle serait, en tout état de cause inopérante sur l’existence du manquement du comptable, sa responsabilité s’appréciant au regard des éléments dont il </w:t>
      </w:r>
      <w:r w:rsidR="007F58E1">
        <w:t>disposait au moment du paiement ;</w:t>
      </w:r>
    </w:p>
    <w:p w:rsidR="00826F69" w:rsidRDefault="00C51641" w:rsidP="00490A4D">
      <w:pPr>
        <w:pStyle w:val="PS"/>
        <w:ind w:left="1134" w:firstLine="851"/>
      </w:pPr>
      <w:r>
        <w:t>Attendu</w:t>
      </w:r>
      <w:r w:rsidR="00593990">
        <w:t xml:space="preserve"> que ces deux délibérations ne saurai</w:t>
      </w:r>
      <w:r w:rsidR="004F227C">
        <w:t>en</w:t>
      </w:r>
      <w:r w:rsidR="00593990">
        <w:t>t se substituer aux pièces justificatives prévues par la réglementation ; que dès lors le moyen de l’appelant est à écarter</w:t>
      </w:r>
      <w:r>
        <w:t xml:space="preserve"> ; </w:t>
      </w:r>
    </w:p>
    <w:p w:rsidR="007F58E1" w:rsidRPr="007F58E1" w:rsidRDefault="007F58E1" w:rsidP="00490A4D">
      <w:pPr>
        <w:pStyle w:val="NormalWeb"/>
        <w:spacing w:before="0" w:beforeAutospacing="0" w:after="480" w:afterAutospacing="0"/>
        <w:ind w:left="1134" w:firstLine="851"/>
        <w:jc w:val="both"/>
        <w:rPr>
          <w:b/>
          <w:i/>
        </w:rPr>
      </w:pPr>
      <w:r w:rsidRPr="007F58E1">
        <w:rPr>
          <w:b/>
          <w:i/>
        </w:rPr>
        <w:t>Sur le préjudice</w:t>
      </w:r>
    </w:p>
    <w:p w:rsidR="00B4391B" w:rsidRDefault="00490A4D" w:rsidP="00490A4D">
      <w:pPr>
        <w:pStyle w:val="PS"/>
        <w:ind w:left="1134" w:firstLine="851"/>
      </w:pPr>
      <w:r>
        <w:t>Attendu que M. </w:t>
      </w:r>
      <w:r w:rsidR="0039782F">
        <w:t>X</w:t>
      </w:r>
      <w:r w:rsidR="001B1E1C">
        <w:t xml:space="preserve"> fait valoir, tout d’abord, que, pour retenir l’existence d’un préjudice financier, la </w:t>
      </w:r>
      <w:r w:rsidR="00593990">
        <w:t>c</w:t>
      </w:r>
      <w:r w:rsidR="001B1E1C">
        <w:t>hambre régionale des comptes procède par affirmation, sans s’appuyer sur aucune jurisprudence de la Cour des comptes, prise en appel ;</w:t>
      </w:r>
    </w:p>
    <w:p w:rsidR="001B1E1C" w:rsidRDefault="001B1E1C" w:rsidP="00490A4D">
      <w:pPr>
        <w:pStyle w:val="PS"/>
        <w:ind w:left="1134" w:firstLine="851"/>
      </w:pPr>
      <w:r>
        <w:t>Attendu</w:t>
      </w:r>
      <w:r w:rsidR="00FC43EF">
        <w:t>,</w:t>
      </w:r>
      <w:r>
        <w:t xml:space="preserve"> </w:t>
      </w:r>
      <w:r w:rsidR="00FC43EF">
        <w:t xml:space="preserve">d’une part, </w:t>
      </w:r>
      <w:r>
        <w:t>qu’il ne résulte d’</w:t>
      </w:r>
      <w:r w:rsidR="00FC43EF">
        <w:t>a</w:t>
      </w:r>
      <w:r>
        <w:t xml:space="preserve">ucune disposition du code des </w:t>
      </w:r>
      <w:r w:rsidR="00593990">
        <w:t>j</w:t>
      </w:r>
      <w:r>
        <w:t>uridictions financières ni d’aucun principe général du droit</w:t>
      </w:r>
      <w:r w:rsidR="00FC43EF">
        <w:t xml:space="preserve"> qu’un juge de première instance devrait attendre de connaitre la position du juge d’appel sur l’application d’une règle avant de se prononcer ; qu’au contraire il appartient aux juges de se prononcer sur les affaire</w:t>
      </w:r>
      <w:r w:rsidR="00EE7626">
        <w:t>s</w:t>
      </w:r>
      <w:r w:rsidR="00FC43EF">
        <w:t xml:space="preserve"> qui leur sont soumises, à peine de déni de justice ;</w:t>
      </w:r>
    </w:p>
    <w:p w:rsidR="00FC43EF" w:rsidRDefault="00FC43EF" w:rsidP="00490A4D">
      <w:pPr>
        <w:pStyle w:val="PS"/>
        <w:ind w:left="1134" w:firstLine="851"/>
      </w:pPr>
      <w:r>
        <w:t xml:space="preserve">Attendu, d’autre part, que </w:t>
      </w:r>
      <w:r w:rsidR="00593990">
        <w:t>le jugement</w:t>
      </w:r>
      <w:r w:rsidR="00130302">
        <w:t>,</w:t>
      </w:r>
      <w:r>
        <w:t xml:space="preserve"> </w:t>
      </w:r>
      <w:r w:rsidR="00130302">
        <w:t xml:space="preserve">après avoir répondu aux arguments du comptable et constaté que les indemnités en cause n’avaient été prévues ni par un vote de l’assemblée délibérante ni par les contrats d’embauche, </w:t>
      </w:r>
      <w:r>
        <w:t xml:space="preserve">a motivé l’existence d’un préjudice </w:t>
      </w:r>
      <w:r w:rsidR="00130302">
        <w:t>par le fait que c</w:t>
      </w:r>
      <w:r>
        <w:t xml:space="preserve">es </w:t>
      </w:r>
      <w:r w:rsidR="00130302">
        <w:t>indemnités a</w:t>
      </w:r>
      <w:r>
        <w:t xml:space="preserve">vaient été payées à la fois en l’absence </w:t>
      </w:r>
      <w:r w:rsidR="00291F78">
        <w:t xml:space="preserve">de ces éléments </w:t>
      </w:r>
      <w:r>
        <w:t>e</w:t>
      </w:r>
      <w:r w:rsidR="00130302">
        <w:t>t en méconnaissance des disposi</w:t>
      </w:r>
      <w:r>
        <w:t>t</w:t>
      </w:r>
      <w:r w:rsidR="00130302">
        <w:t>i</w:t>
      </w:r>
      <w:r>
        <w:t>ons réglementaires et procédurales les autorisant</w:t>
      </w:r>
      <w:r w:rsidR="00291F78">
        <w:t>,</w:t>
      </w:r>
      <w:r>
        <w:t xml:space="preserve"> et de façon opaque</w:t>
      </w:r>
      <w:r w:rsidR="00130302">
        <w:t xml:space="preserve"> à la </w:t>
      </w:r>
      <w:r w:rsidR="00130302">
        <w:lastRenderedPageBreak/>
        <w:t xml:space="preserve">fois </w:t>
      </w:r>
      <w:r w:rsidR="00291F78">
        <w:t>quant aux</w:t>
      </w:r>
      <w:r w:rsidR="00130302">
        <w:t xml:space="preserve"> montant</w:t>
      </w:r>
      <w:r w:rsidR="00291F78">
        <w:t>s et aux bénéficiaires des dites primes</w:t>
      </w:r>
      <w:r w:rsidR="00130302">
        <w:t> ; que le moyen selon lequel la chambre aurait procédé par affirmation manque en fait ;</w:t>
      </w:r>
    </w:p>
    <w:p w:rsidR="00FC43EF" w:rsidRDefault="00FC43EF" w:rsidP="00490A4D">
      <w:pPr>
        <w:pStyle w:val="PS"/>
        <w:ind w:left="1134" w:firstLine="851"/>
      </w:pPr>
      <w:r>
        <w:t xml:space="preserve">Attendu que </w:t>
      </w:r>
      <w:r w:rsidR="0039782F">
        <w:t>M. X</w:t>
      </w:r>
      <w:r>
        <w:t xml:space="preserve"> fait valoir ensuite</w:t>
      </w:r>
      <w:r w:rsidR="00130302">
        <w:t xml:space="preserve"> que le lien de causalité entre le paiement irrégulier et l’existence d’un préjudice financier n’est pas établi ;</w:t>
      </w:r>
      <w:r>
        <w:t xml:space="preserve"> </w:t>
      </w:r>
    </w:p>
    <w:p w:rsidR="00935D9B" w:rsidRDefault="00130302" w:rsidP="00490A4D">
      <w:pPr>
        <w:pStyle w:val="PS"/>
        <w:ind w:left="1134" w:firstLine="851"/>
      </w:pPr>
      <w:r>
        <w:t xml:space="preserve">Attendu </w:t>
      </w:r>
      <w:r w:rsidR="00935D9B">
        <w:t xml:space="preserve">que les </w:t>
      </w:r>
      <w:r>
        <w:t xml:space="preserve">indemnités </w:t>
      </w:r>
      <w:r w:rsidR="00935D9B">
        <w:t>en cause étaient</w:t>
      </w:r>
      <w:r>
        <w:t xml:space="preserve"> incertaines </w:t>
      </w:r>
      <w:r w:rsidR="00935D9B">
        <w:t xml:space="preserve">et </w:t>
      </w:r>
      <w:r>
        <w:t xml:space="preserve">dans leur principe, à défaut d’avoir été valablement </w:t>
      </w:r>
      <w:r w:rsidR="005C4848">
        <w:t>décidées par l’autorité investie du pouvoir de nomination dans le cadre de délibérations</w:t>
      </w:r>
      <w:r>
        <w:t xml:space="preserve"> suffisantes de l’assemblée délibérante</w:t>
      </w:r>
      <w:r w:rsidR="00AB57D9">
        <w:t>,</w:t>
      </w:r>
      <w:r>
        <w:t xml:space="preserve"> </w:t>
      </w:r>
      <w:r w:rsidR="00EE7626">
        <w:t>et dans leur montant</w:t>
      </w:r>
      <w:r>
        <w:t xml:space="preserve">, à défaut d’avoir été </w:t>
      </w:r>
      <w:r w:rsidR="00AB57D9">
        <w:t>précisées pour chaque bénéficiaire par un acte individuel</w:t>
      </w:r>
      <w:r w:rsidR="00935D9B">
        <w:t> ; qu’elles étaient donc indues ; que leur paiement a causé un préjudice financier à la communauté ;</w:t>
      </w:r>
      <w:r w:rsidR="00935D9B" w:rsidRPr="00935D9B">
        <w:t xml:space="preserve"> </w:t>
      </w:r>
      <w:r w:rsidR="00935D9B">
        <w:t xml:space="preserve">que </w:t>
      </w:r>
      <w:r w:rsidR="00935D9B" w:rsidRPr="00935D9B">
        <w:t xml:space="preserve">les obligations de contrôle incombant aux comptables visent notamment à prévenir la survenance d’un éventuel préjudice financier à la collectivité </w:t>
      </w:r>
      <w:r w:rsidR="00A91A17">
        <w:t>dont ils tiennent la caisse </w:t>
      </w:r>
      <w:r w:rsidR="00935D9B" w:rsidRPr="00935D9B">
        <w:t xml:space="preserve">; que dès lors, lorsqu’un préjudice financier n’a pu être évité du fait d’un manquement du comptable auxdites obligations, il y a lieu de </w:t>
      </w:r>
      <w:r w:rsidR="005C4848">
        <w:t>considérer que ce manquement est la cause du préjudice ; qu’ainsi le deuxième moyen de l’appelant est à écarter ;</w:t>
      </w:r>
    </w:p>
    <w:p w:rsidR="00AB57D9" w:rsidRDefault="00AB57D9" w:rsidP="00490A4D">
      <w:pPr>
        <w:pStyle w:val="PS"/>
        <w:ind w:left="1134" w:firstLine="851"/>
      </w:pPr>
      <w:r>
        <w:t xml:space="preserve">Attendu que </w:t>
      </w:r>
      <w:r w:rsidR="005A26E1">
        <w:t>le requérant</w:t>
      </w:r>
      <w:r>
        <w:t xml:space="preserve"> fait </w:t>
      </w:r>
      <w:r w:rsidR="005A26E1">
        <w:t>par ailleurs</w:t>
      </w:r>
      <w:r>
        <w:t xml:space="preserve"> valoir que l’ordonnateur n’a pas fait état d’un préjudice au cours de la contradiction et, qu’au contraire, l’assemblée délibérante a régularisé la situation et confirmé </w:t>
      </w:r>
      <w:r w:rsidRPr="005C4848">
        <w:rPr>
          <w:i/>
        </w:rPr>
        <w:t>de facto</w:t>
      </w:r>
      <w:r>
        <w:t xml:space="preserve"> l’absence de préjudice ;</w:t>
      </w:r>
    </w:p>
    <w:p w:rsidR="00E86177" w:rsidRDefault="00AB57D9" w:rsidP="00490A4D">
      <w:pPr>
        <w:pStyle w:val="PS"/>
        <w:ind w:left="1134" w:firstLine="851"/>
      </w:pPr>
      <w:r>
        <w:t xml:space="preserve">Attendu, </w:t>
      </w:r>
      <w:r w:rsidR="00657FBC">
        <w:t xml:space="preserve">qu’il résulte </w:t>
      </w:r>
      <w:r w:rsidR="00291F78">
        <w:t>du VI de</w:t>
      </w:r>
      <w:r w:rsidR="005C4848" w:rsidRPr="005C4848">
        <w:t xml:space="preserve"> l’article 60 de la loi du 23 février 1963 </w:t>
      </w:r>
      <w:r w:rsidR="000D4BA7">
        <w:t xml:space="preserve">susvisée </w:t>
      </w:r>
      <w:r w:rsidR="005C4848">
        <w:t xml:space="preserve">que </w:t>
      </w:r>
      <w:r w:rsidRPr="00AB57D9">
        <w:t xml:space="preserve">le constat de l’existence ou non d’un préjudice financier relève de l’appréciation </w:t>
      </w:r>
      <w:r w:rsidR="005C4848">
        <w:t>du seul juge financier</w:t>
      </w:r>
      <w:r w:rsidR="00892D4D">
        <w:t> ;</w:t>
      </w:r>
      <w:r w:rsidRPr="00AB57D9">
        <w:t xml:space="preserve"> </w:t>
      </w:r>
      <w:r>
        <w:t xml:space="preserve">que, </w:t>
      </w:r>
      <w:r w:rsidRPr="00AB57D9">
        <w:t>si, au regard du caractère contradictoire de la procédure, ledit juge doit tenir compte, pour cette appréciation, des dires et actes éventuels de la collectivité qui figurent au dossier, il n’est pas lié par une déclaration de l’organe délibérant ou de l’ordonnateur indiquant que la collectivité</w:t>
      </w:r>
      <w:r>
        <w:t xml:space="preserve"> n’aurait subi aucun préjudice ; qu</w:t>
      </w:r>
      <w:r w:rsidR="00657FBC">
        <w:t>’en l’espèce, le moyen du comptable selon lequel le juge financier ne pourrait, contre l’avis du représentant légal de la collectivité</w:t>
      </w:r>
      <w:r w:rsidR="000D4BA7">
        <w:t>,</w:t>
      </w:r>
      <w:r w:rsidR="00657FBC">
        <w:t xml:space="preserve"> valablement retenir l’existence d’un préjudice de son fait, est donc non fondé en droit ; </w:t>
      </w:r>
      <w:r w:rsidR="00E86177">
        <w:t xml:space="preserve">qu’au surplus la délibération du 26 octobre 2012, invoquée par l’appelant à l’appui de ses dires, </w:t>
      </w:r>
      <w:r w:rsidR="00AF57C4" w:rsidRPr="00AF57C4">
        <w:t>ne valide pas à titre rétroactif</w:t>
      </w:r>
      <w:r w:rsidR="00AF57C4">
        <w:t>, comme susdit,</w:t>
      </w:r>
      <w:r w:rsidR="00AF57C4" w:rsidRPr="00AF57C4">
        <w:t xml:space="preserve"> les paiements </w:t>
      </w:r>
      <w:r w:rsidR="000D4BA7">
        <w:t>litigieux</w:t>
      </w:r>
      <w:r w:rsidR="00E86177">
        <w:t> ;</w:t>
      </w:r>
    </w:p>
    <w:p w:rsidR="00650BE4" w:rsidRDefault="00650BE4" w:rsidP="00490A4D">
      <w:pPr>
        <w:pStyle w:val="PS"/>
        <w:ind w:left="1134" w:firstLine="851"/>
      </w:pPr>
      <w:r>
        <w:t>Attendu que le r</w:t>
      </w:r>
      <w:r w:rsidR="00291F78">
        <w:t>e</w:t>
      </w:r>
      <w:r>
        <w:t>quérant cite à l’appui de son moyen un jugement de la chambre régionale des comptes d’Aquitaine, Poitou-Charentes ; que le fait que cette chambre a jugé qu’un manquement du comptable de la communauté de communes des Vals de Gartempe et Creuse n’avait pas causé de préjudice financier à cette collectivité car l’ordonnateur n’avait pas argué d’un préjudice est sans conséquence sur l’analyse qui précède ; que le juge d’appel n’est pas davantage tenu qu’un juge de première instance par la solution donnée dans une instance présentée comme voisine ; qu’accessoirement, le jugement cité a été frappé d’appel par le ministère public</w:t>
      </w:r>
      <w:r w:rsidR="000D4BA7">
        <w:t xml:space="preserve"> et n’a pas, à ce stade, l’autorité de la chose jugée</w:t>
      </w:r>
      <w:r>
        <w:t> ; que, par conséquent, l’argument du comptable est inopérant ;</w:t>
      </w:r>
    </w:p>
    <w:p w:rsidR="00657FBC" w:rsidRDefault="00657FBC" w:rsidP="00490A4D">
      <w:pPr>
        <w:pStyle w:val="PS"/>
        <w:ind w:left="1134" w:firstLine="851"/>
      </w:pPr>
      <w:r>
        <w:lastRenderedPageBreak/>
        <w:t>Attendu que</w:t>
      </w:r>
      <w:r w:rsidR="000D4BA7">
        <w:t>, toujours à l’appui de son moyen,</w:t>
      </w:r>
      <w:r>
        <w:t xml:space="preserve"> le requérant estime</w:t>
      </w:r>
      <w:r w:rsidR="000D4BA7">
        <w:t xml:space="preserve"> </w:t>
      </w:r>
      <w:r>
        <w:t xml:space="preserve">qu’il </w:t>
      </w:r>
      <w:r w:rsidR="00E86177">
        <w:t xml:space="preserve">ne </w:t>
      </w:r>
      <w:r>
        <w:t>serait</w:t>
      </w:r>
      <w:r w:rsidR="00E86177">
        <w:t xml:space="preserve"> pas cohérent que le juge financier, lorsqu’il statue sur les comptes d’un comptable de fait, se trouve lié par la décision de l’organe délibérant reconnaissant l’utilité publique des dépenses effectuées par ledit comptable de fait, mais qu’il refuse de prendre en considération une décision de l’organe délibérant de la collectivité, lorsqu’il statue sur les comptes d’un comptable patent ;</w:t>
      </w:r>
    </w:p>
    <w:p w:rsidR="00A80713" w:rsidRDefault="00A80713" w:rsidP="00490A4D">
      <w:pPr>
        <w:pStyle w:val="PS"/>
        <w:ind w:left="1134" w:firstLine="851"/>
      </w:pPr>
      <w:r>
        <w:t>Attendu</w:t>
      </w:r>
      <w:r w:rsidR="00E86177">
        <w:t xml:space="preserve"> que la déclaration </w:t>
      </w:r>
      <w:r>
        <w:t xml:space="preserve">d’utilité publique des dépenses </w:t>
      </w:r>
      <w:r w:rsidR="00E86177">
        <w:t xml:space="preserve">d’une gestion de fait a pour seul objet de rétablir l’ordre budgétaire ; que les dépenses dont l’organe compétent ne déclare pas l’utilité publique sont mises à la charge du comptable de fait ; qu’ainsi le juge financier est lié par la décision d’absence d’utilité publique ; qu’en revanche, les dépenses dont l’utilité publique a été déclarée ne sont pas </w:t>
      </w:r>
      <w:r w:rsidR="00E86177" w:rsidRPr="00E86177">
        <w:rPr>
          <w:i/>
        </w:rPr>
        <w:t>ipso facto</w:t>
      </w:r>
      <w:r w:rsidR="00E86177">
        <w:t xml:space="preserve"> régulières ; qu’il appartient au juge financier de juger de la régularité des dépenses inscrites au compte de la gestion de fait ; que ce jugement peut le conduire à juger tout ou partie de ces dépenses irrégulières et, le cas échéant, à les mettre à la charge du ou des comptables de fait ; que, par conséquent, le juge financier n’est pas lié par la décision de l’organe délibérant reconnaissant l’utilité publique des dépenses d’une gestion de fait ; que </w:t>
      </w:r>
      <w:r w:rsidR="000D4BA7">
        <w:t xml:space="preserve">par </w:t>
      </w:r>
      <w:r w:rsidR="00291F78">
        <w:t>conséquent</w:t>
      </w:r>
      <w:r w:rsidR="000D4BA7">
        <w:t xml:space="preserve"> l’argument </w:t>
      </w:r>
      <w:r w:rsidR="00E86177">
        <w:t>du comptable est inopérant ;</w:t>
      </w:r>
      <w:r>
        <w:t xml:space="preserve"> </w:t>
      </w:r>
    </w:p>
    <w:p w:rsidR="00B739ED" w:rsidRPr="00AF57C4" w:rsidRDefault="00B739ED" w:rsidP="00490A4D">
      <w:pPr>
        <w:pStyle w:val="PS"/>
        <w:ind w:left="1134" w:firstLine="851"/>
        <w:rPr>
          <w:b/>
          <w:i/>
        </w:rPr>
      </w:pPr>
      <w:r w:rsidRPr="00AF57C4">
        <w:rPr>
          <w:b/>
          <w:i/>
        </w:rPr>
        <w:t>Sur le respect des règles du contrôle sélectif</w:t>
      </w:r>
    </w:p>
    <w:p w:rsidR="005A26E1" w:rsidRDefault="00B739ED" w:rsidP="00490A4D">
      <w:pPr>
        <w:pStyle w:val="PS"/>
        <w:ind w:left="1134" w:firstLine="851"/>
      </w:pPr>
      <w:r>
        <w:t xml:space="preserve">Attendu que </w:t>
      </w:r>
      <w:r w:rsidR="005A26E1">
        <w:t>le requérant</w:t>
      </w:r>
      <w:r>
        <w:t xml:space="preserve"> affirme avoir respecté les règles du contrôle sélectif ;</w:t>
      </w:r>
      <w:r w:rsidR="005A26E1">
        <w:t xml:space="preserve"> </w:t>
      </w:r>
    </w:p>
    <w:p w:rsidR="00B739ED" w:rsidRDefault="005A26E1" w:rsidP="00490A4D">
      <w:pPr>
        <w:pStyle w:val="PS"/>
        <w:ind w:left="1134" w:firstLine="851"/>
      </w:pPr>
      <w:r>
        <w:t>Attendu qu’</w:t>
      </w:r>
      <w:r w:rsidR="000D4BA7">
        <w:t xml:space="preserve">il ne produit aucune justification </w:t>
      </w:r>
      <w:r>
        <w:t>à l’appui de cette allégation</w:t>
      </w:r>
      <w:r w:rsidR="00B739ED">
        <w:t> ;</w:t>
      </w:r>
      <w:r w:rsidR="004E631E">
        <w:t xml:space="preserve"> que ce respect ne peut </w:t>
      </w:r>
      <w:r>
        <w:t xml:space="preserve">donc </w:t>
      </w:r>
      <w:r w:rsidR="004E631E">
        <w:t>être considéré comme établi ;</w:t>
      </w:r>
      <w:r>
        <w:t xml:space="preserve"> qu’</w:t>
      </w:r>
      <w:r w:rsidR="00CA311D">
        <w:t>en conséquence, cette circonstance fait obstacle à une éventuelle remise gracieuse totale du débet ;</w:t>
      </w:r>
    </w:p>
    <w:p w:rsidR="00D60D8C" w:rsidRPr="00D60D8C" w:rsidRDefault="00D60D8C" w:rsidP="00490A4D">
      <w:pPr>
        <w:spacing w:after="480"/>
        <w:ind w:left="1134" w:firstLine="851"/>
        <w:jc w:val="both"/>
        <w:rPr>
          <w:sz w:val="24"/>
        </w:rPr>
      </w:pPr>
      <w:r w:rsidRPr="00D60D8C">
        <w:rPr>
          <w:sz w:val="24"/>
        </w:rPr>
        <w:t>Par ces motifs,</w:t>
      </w:r>
    </w:p>
    <w:p w:rsidR="00D60D8C" w:rsidRPr="00D60D8C" w:rsidRDefault="00D60D8C" w:rsidP="00490A4D">
      <w:pPr>
        <w:spacing w:after="480"/>
        <w:ind w:left="1134" w:firstLine="851"/>
        <w:jc w:val="center"/>
        <w:rPr>
          <w:sz w:val="24"/>
        </w:rPr>
      </w:pPr>
      <w:r w:rsidRPr="00D60D8C">
        <w:rPr>
          <w:sz w:val="24"/>
        </w:rPr>
        <w:t>DECIDE :</w:t>
      </w:r>
    </w:p>
    <w:p w:rsidR="004F55DA" w:rsidRDefault="004F55DA" w:rsidP="00490A4D">
      <w:pPr>
        <w:spacing w:after="480"/>
        <w:ind w:left="1134" w:firstLine="851"/>
        <w:jc w:val="both"/>
        <w:rPr>
          <w:sz w:val="24"/>
        </w:rPr>
      </w:pPr>
      <w:r>
        <w:rPr>
          <w:sz w:val="24"/>
        </w:rPr>
        <w:t xml:space="preserve">Article </w:t>
      </w:r>
      <w:r w:rsidR="000D4BA7">
        <w:rPr>
          <w:sz w:val="24"/>
        </w:rPr>
        <w:t>1</w:t>
      </w:r>
      <w:r w:rsidR="00BD6B9D">
        <w:rPr>
          <w:sz w:val="24"/>
        </w:rPr>
        <w:t> :</w:t>
      </w:r>
      <w:r w:rsidR="00D60D8C" w:rsidRPr="00D60D8C">
        <w:rPr>
          <w:sz w:val="24"/>
        </w:rPr>
        <w:t> </w:t>
      </w:r>
      <w:r w:rsidR="00D60D8C">
        <w:rPr>
          <w:sz w:val="24"/>
        </w:rPr>
        <w:t xml:space="preserve">La requête de </w:t>
      </w:r>
      <w:r w:rsidR="003B1BE0">
        <w:rPr>
          <w:sz w:val="24"/>
        </w:rPr>
        <w:t>M</w:t>
      </w:r>
      <w:r>
        <w:rPr>
          <w:sz w:val="24"/>
        </w:rPr>
        <w:t>.</w:t>
      </w:r>
      <w:r w:rsidR="00291F78">
        <w:rPr>
          <w:sz w:val="24"/>
        </w:rPr>
        <w:t> </w:t>
      </w:r>
      <w:r w:rsidR="0039782F">
        <w:rPr>
          <w:sz w:val="24"/>
        </w:rPr>
        <w:t>X</w:t>
      </w:r>
      <w:r>
        <w:rPr>
          <w:sz w:val="24"/>
        </w:rPr>
        <w:t xml:space="preserve"> est rejetée. </w:t>
      </w:r>
    </w:p>
    <w:p w:rsidR="00F270DD" w:rsidRDefault="00F270DD" w:rsidP="00490A4D">
      <w:pPr>
        <w:spacing w:after="480"/>
        <w:ind w:left="1134" w:firstLine="851"/>
        <w:jc w:val="both"/>
        <w:rPr>
          <w:sz w:val="24"/>
        </w:rPr>
      </w:pPr>
      <w:r>
        <w:rPr>
          <w:sz w:val="24"/>
        </w:rPr>
        <w:t>Article 2 : Pour les paiements incriminés, M.</w:t>
      </w:r>
      <w:r w:rsidR="00291F78">
        <w:rPr>
          <w:sz w:val="24"/>
        </w:rPr>
        <w:t> </w:t>
      </w:r>
      <w:r w:rsidR="0039782F">
        <w:rPr>
          <w:sz w:val="24"/>
        </w:rPr>
        <w:t>X</w:t>
      </w:r>
      <w:r>
        <w:rPr>
          <w:sz w:val="24"/>
        </w:rPr>
        <w:t xml:space="preserve"> n’a pas respecté les règles du contrôle sélectif de la dépense.</w:t>
      </w:r>
    </w:p>
    <w:p w:rsidR="00F1372B" w:rsidRDefault="00F1372B" w:rsidP="00490A4D">
      <w:pPr>
        <w:pStyle w:val="PS"/>
        <w:ind w:left="1134" w:firstLine="851"/>
        <w:jc w:val="center"/>
      </w:pPr>
      <w:r>
        <w:t>------</w:t>
      </w:r>
    </w:p>
    <w:p w:rsidR="00122AEB" w:rsidRDefault="00122AEB" w:rsidP="00490A4D">
      <w:pPr>
        <w:spacing w:after="480"/>
        <w:ind w:left="1134" w:firstLine="851"/>
        <w:jc w:val="both"/>
        <w:rPr>
          <w:sz w:val="24"/>
          <w:szCs w:val="24"/>
        </w:rPr>
      </w:pPr>
      <w:r w:rsidRPr="00122AEB">
        <w:rPr>
          <w:sz w:val="24"/>
          <w:szCs w:val="24"/>
        </w:rPr>
        <w:lastRenderedPageBreak/>
        <w:t xml:space="preserve">Fait et jugé en la Cour des comptes, quatrième chambre, première section. Présents : M. </w:t>
      </w:r>
      <w:r w:rsidR="005A26E1">
        <w:rPr>
          <w:sz w:val="24"/>
          <w:szCs w:val="24"/>
        </w:rPr>
        <w:t>Ganser</w:t>
      </w:r>
      <w:r w:rsidRPr="00122AEB">
        <w:rPr>
          <w:sz w:val="24"/>
          <w:szCs w:val="24"/>
        </w:rPr>
        <w:t>, président</w:t>
      </w:r>
      <w:r w:rsidR="005A26E1">
        <w:rPr>
          <w:sz w:val="24"/>
          <w:szCs w:val="24"/>
        </w:rPr>
        <w:t xml:space="preserve"> de section, président de séance</w:t>
      </w:r>
      <w:r w:rsidR="004901BB">
        <w:rPr>
          <w:sz w:val="24"/>
          <w:szCs w:val="24"/>
        </w:rPr>
        <w:t>, M</w:t>
      </w:r>
      <w:r w:rsidR="004901BB" w:rsidRPr="00892D4D">
        <w:rPr>
          <w:sz w:val="24"/>
          <w:szCs w:val="24"/>
          <w:vertAlign w:val="superscript"/>
        </w:rPr>
        <w:t>me</w:t>
      </w:r>
      <w:r w:rsidR="004901BB">
        <w:rPr>
          <w:sz w:val="24"/>
          <w:szCs w:val="24"/>
        </w:rPr>
        <w:t> </w:t>
      </w:r>
      <w:r w:rsidRPr="00122AEB">
        <w:rPr>
          <w:sz w:val="24"/>
          <w:szCs w:val="24"/>
        </w:rPr>
        <w:t xml:space="preserve">Froment-Meurice, présidente de chambre maintenue en activité, </w:t>
      </w:r>
      <w:r w:rsidR="00405000">
        <w:rPr>
          <w:sz w:val="24"/>
          <w:szCs w:val="24"/>
        </w:rPr>
        <w:t xml:space="preserve">M. Bertucci </w:t>
      </w:r>
      <w:r w:rsidR="005A26E1">
        <w:rPr>
          <w:sz w:val="24"/>
          <w:szCs w:val="24"/>
        </w:rPr>
        <w:t>M</w:t>
      </w:r>
      <w:bookmarkStart w:id="0" w:name="_GoBack"/>
      <w:r w:rsidR="005A26E1" w:rsidRPr="00892D4D">
        <w:rPr>
          <w:sz w:val="24"/>
          <w:szCs w:val="24"/>
          <w:vertAlign w:val="superscript"/>
        </w:rPr>
        <w:t>me</w:t>
      </w:r>
      <w:bookmarkEnd w:id="0"/>
      <w:r w:rsidR="00A91A17">
        <w:rPr>
          <w:sz w:val="24"/>
          <w:szCs w:val="24"/>
        </w:rPr>
        <w:t> </w:t>
      </w:r>
      <w:r w:rsidR="005A26E1">
        <w:rPr>
          <w:sz w:val="24"/>
          <w:szCs w:val="24"/>
        </w:rPr>
        <w:t>Gadriot-Renard</w:t>
      </w:r>
      <w:r w:rsidR="0045722F">
        <w:rPr>
          <w:sz w:val="24"/>
          <w:szCs w:val="24"/>
        </w:rPr>
        <w:t xml:space="preserve"> et M</w:t>
      </w:r>
      <w:r w:rsidR="005A26E1">
        <w:rPr>
          <w:sz w:val="24"/>
          <w:szCs w:val="24"/>
        </w:rPr>
        <w:t xml:space="preserve">. </w:t>
      </w:r>
      <w:r w:rsidR="00405000">
        <w:rPr>
          <w:sz w:val="24"/>
          <w:szCs w:val="24"/>
        </w:rPr>
        <w:t>Rolland</w:t>
      </w:r>
      <w:r w:rsidRPr="00122AEB">
        <w:rPr>
          <w:sz w:val="24"/>
          <w:szCs w:val="24"/>
        </w:rPr>
        <w:t>, conseillers maîtres.</w:t>
      </w:r>
    </w:p>
    <w:p w:rsidR="00200B02" w:rsidRPr="00200B02" w:rsidRDefault="00200B02" w:rsidP="00200B02">
      <w:pPr>
        <w:spacing w:after="480"/>
        <w:ind w:left="1134" w:firstLine="851"/>
        <w:jc w:val="both"/>
        <w:rPr>
          <w:sz w:val="24"/>
          <w:szCs w:val="24"/>
        </w:rPr>
      </w:pPr>
      <w:r w:rsidRPr="00200B02">
        <w:rPr>
          <w:sz w:val="24"/>
          <w:szCs w:val="24"/>
        </w:rPr>
        <w:t>Signé : Gérard Ganser président de section, et Marie-Hélène Paris-Varin, greffier de séance.</w:t>
      </w:r>
    </w:p>
    <w:p w:rsidR="00200B02" w:rsidRPr="00200B02" w:rsidRDefault="00200B02" w:rsidP="00200B02">
      <w:pPr>
        <w:spacing w:after="480"/>
        <w:ind w:left="1134" w:firstLine="851"/>
        <w:jc w:val="both"/>
        <w:rPr>
          <w:sz w:val="24"/>
          <w:szCs w:val="24"/>
        </w:rPr>
      </w:pPr>
      <w:r w:rsidRPr="00200B02">
        <w:rPr>
          <w:sz w:val="24"/>
          <w:szCs w:val="24"/>
        </w:rPr>
        <w:t>Collationné, certifié conforme à la minute étant au greffe de la Cour des comptes.</w:t>
      </w:r>
    </w:p>
    <w:p w:rsidR="00200B02" w:rsidRPr="00200B02" w:rsidRDefault="00200B02" w:rsidP="00200B02">
      <w:pPr>
        <w:spacing w:after="480"/>
        <w:ind w:left="1134" w:firstLine="851"/>
        <w:jc w:val="both"/>
        <w:rPr>
          <w:sz w:val="24"/>
          <w:szCs w:val="24"/>
        </w:rPr>
      </w:pPr>
      <w:r w:rsidRPr="00200B02">
        <w:rPr>
          <w:sz w:val="24"/>
          <w:szCs w:val="24"/>
        </w:rPr>
        <w:t>Délivré par moi, secrétaire général.</w:t>
      </w:r>
    </w:p>
    <w:p w:rsidR="00200B02" w:rsidRDefault="00200B02" w:rsidP="00200B02">
      <w:pPr>
        <w:spacing w:after="80"/>
        <w:ind w:left="567"/>
      </w:pPr>
    </w:p>
    <w:p w:rsidR="00200B02" w:rsidRDefault="00200B02" w:rsidP="00200B02">
      <w:pPr>
        <w:spacing w:after="80"/>
        <w:ind w:left="567"/>
      </w:pPr>
    </w:p>
    <w:p w:rsidR="00200B02" w:rsidRPr="002C4257" w:rsidRDefault="00200B02" w:rsidP="00200B02">
      <w:pPr>
        <w:pStyle w:val="PS"/>
        <w:spacing w:after="0"/>
        <w:ind w:firstLine="2410"/>
        <w:jc w:val="center"/>
        <w:rPr>
          <w:b/>
          <w:bCs/>
        </w:rPr>
      </w:pPr>
      <w:r>
        <w:rPr>
          <w:b/>
          <w:bCs/>
        </w:rPr>
        <w:t>Pour le s</w:t>
      </w:r>
      <w:r w:rsidRPr="002C4257">
        <w:rPr>
          <w:b/>
          <w:bCs/>
        </w:rPr>
        <w:t>ecrétaire général</w:t>
      </w:r>
    </w:p>
    <w:p w:rsidR="00200B02" w:rsidRDefault="00200B02" w:rsidP="00200B02">
      <w:pPr>
        <w:pStyle w:val="PS"/>
        <w:spacing w:after="0"/>
        <w:ind w:firstLine="2410"/>
        <w:jc w:val="center"/>
        <w:rPr>
          <w:b/>
          <w:bCs/>
        </w:rPr>
      </w:pPr>
      <w:proofErr w:type="gramStart"/>
      <w:r w:rsidRPr="002C4257">
        <w:rPr>
          <w:b/>
          <w:bCs/>
        </w:rPr>
        <w:t>et</w:t>
      </w:r>
      <w:proofErr w:type="gramEnd"/>
      <w:r w:rsidRPr="002C4257">
        <w:rPr>
          <w:b/>
          <w:bCs/>
        </w:rPr>
        <w:t xml:space="preserve"> par délégation,</w:t>
      </w:r>
      <w:r>
        <w:rPr>
          <w:b/>
          <w:bCs/>
        </w:rPr>
        <w:t xml:space="preserve"> </w:t>
      </w:r>
      <w:r w:rsidRPr="002C4257">
        <w:rPr>
          <w:b/>
          <w:bCs/>
        </w:rPr>
        <w:t xml:space="preserve">le </w:t>
      </w:r>
      <w:r>
        <w:rPr>
          <w:b/>
          <w:bCs/>
        </w:rPr>
        <w:t>c</w:t>
      </w:r>
      <w:r w:rsidRPr="002C4257">
        <w:rPr>
          <w:b/>
          <w:bCs/>
        </w:rPr>
        <w:t xml:space="preserve">hef du </w:t>
      </w:r>
      <w:r>
        <w:rPr>
          <w:b/>
          <w:bCs/>
        </w:rPr>
        <w:t>g</w:t>
      </w:r>
      <w:r w:rsidRPr="002C4257">
        <w:rPr>
          <w:b/>
          <w:bCs/>
        </w:rPr>
        <w:t>reffe contentieux</w:t>
      </w:r>
    </w:p>
    <w:p w:rsidR="00200B02" w:rsidRDefault="00200B02" w:rsidP="00200B02">
      <w:pPr>
        <w:pStyle w:val="PS"/>
        <w:spacing w:after="720"/>
        <w:ind w:firstLine="2410"/>
        <w:jc w:val="center"/>
        <w:rPr>
          <w:b/>
          <w:bCs/>
        </w:rPr>
      </w:pPr>
    </w:p>
    <w:p w:rsidR="00200B02" w:rsidRPr="002C4257" w:rsidRDefault="00200B02" w:rsidP="00200B02">
      <w:pPr>
        <w:pStyle w:val="PS"/>
        <w:spacing w:after="1920"/>
        <w:ind w:firstLine="2410"/>
        <w:jc w:val="center"/>
        <w:rPr>
          <w:b/>
          <w:bCs/>
        </w:rPr>
      </w:pPr>
      <w:r>
        <w:rPr>
          <w:b/>
          <w:bCs/>
        </w:rPr>
        <w:t xml:space="preserve">Daniel </w:t>
      </w:r>
      <w:proofErr w:type="spellStart"/>
      <w:r>
        <w:rPr>
          <w:b/>
          <w:bCs/>
        </w:rPr>
        <w:t>Férez</w:t>
      </w:r>
      <w:proofErr w:type="spellEnd"/>
    </w:p>
    <w:p w:rsidR="00BA618C" w:rsidRDefault="00BA618C" w:rsidP="00405000">
      <w:pPr>
        <w:pStyle w:val="PS"/>
        <w:spacing w:after="600"/>
        <w:ind w:left="851" w:firstLine="283"/>
        <w:jc w:val="left"/>
        <w:rPr>
          <w:b/>
          <w:bCs/>
        </w:rPr>
      </w:pPr>
    </w:p>
    <w:sectPr w:rsidR="00BA618C" w:rsidSect="00F1372B">
      <w:headerReference w:type="default" r:id="rId9"/>
      <w:pgSz w:w="11907" w:h="16840"/>
      <w:pgMar w:top="1417" w:right="1417" w:bottom="1417" w:left="141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173" w:rsidRDefault="00763173">
      <w:r>
        <w:separator/>
      </w:r>
    </w:p>
  </w:endnote>
  <w:endnote w:type="continuationSeparator" w:id="0">
    <w:p w:rsidR="00763173" w:rsidRDefault="00763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173" w:rsidRDefault="00763173">
      <w:r>
        <w:separator/>
      </w:r>
    </w:p>
  </w:footnote>
  <w:footnote w:type="continuationSeparator" w:id="0">
    <w:p w:rsidR="00763173" w:rsidRDefault="007631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C17" w:rsidRPr="00F1372B" w:rsidRDefault="00B22C17">
    <w:pPr>
      <w:pStyle w:val="En-tte"/>
      <w:jc w:val="right"/>
      <w:rPr>
        <w:sz w:val="22"/>
        <w:szCs w:val="22"/>
      </w:rPr>
    </w:pPr>
    <w:r w:rsidRPr="00F1372B">
      <w:rPr>
        <w:sz w:val="22"/>
        <w:szCs w:val="22"/>
      </w:rPr>
      <w:fldChar w:fldCharType="begin"/>
    </w:r>
    <w:r w:rsidRPr="00F1372B">
      <w:rPr>
        <w:sz w:val="22"/>
        <w:szCs w:val="22"/>
      </w:rPr>
      <w:instrText>PAGE</w:instrText>
    </w:r>
    <w:r w:rsidRPr="00F1372B">
      <w:rPr>
        <w:sz w:val="22"/>
        <w:szCs w:val="22"/>
      </w:rPr>
      <w:fldChar w:fldCharType="separate"/>
    </w:r>
    <w:r w:rsidR="00892D4D">
      <w:rPr>
        <w:noProof/>
        <w:sz w:val="22"/>
        <w:szCs w:val="22"/>
      </w:rPr>
      <w:t>6</w:t>
    </w:r>
    <w:r w:rsidRPr="00F1372B">
      <w:rPr>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05A9F"/>
    <w:multiLevelType w:val="multilevel"/>
    <w:tmpl w:val="8B8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052EE"/>
    <w:multiLevelType w:val="hybridMultilevel"/>
    <w:tmpl w:val="A1DAA984"/>
    <w:lvl w:ilvl="0" w:tplc="685C00B6">
      <w:start w:val="3"/>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2">
    <w:nsid w:val="526E0D9D"/>
    <w:multiLevelType w:val="hybridMultilevel"/>
    <w:tmpl w:val="878C9182"/>
    <w:lvl w:ilvl="0" w:tplc="A8B481B6">
      <w:start w:val="75"/>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3">
    <w:nsid w:val="5C946FFA"/>
    <w:multiLevelType w:val="hybridMultilevel"/>
    <w:tmpl w:val="A6860C82"/>
    <w:lvl w:ilvl="0" w:tplc="A978E512">
      <w:start w:val="1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36B31BA"/>
    <w:multiLevelType w:val="hybridMultilevel"/>
    <w:tmpl w:val="0F52F91E"/>
    <w:lvl w:ilvl="0" w:tplc="93F2143E">
      <w:start w:val="4"/>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displayBackgroundShape/>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A2"/>
    <w:rsid w:val="0000455D"/>
    <w:rsid w:val="00004E4C"/>
    <w:rsid w:val="00011296"/>
    <w:rsid w:val="0001238F"/>
    <w:rsid w:val="00015BA3"/>
    <w:rsid w:val="00015CAB"/>
    <w:rsid w:val="000167EA"/>
    <w:rsid w:val="0002010D"/>
    <w:rsid w:val="000210D8"/>
    <w:rsid w:val="00031B18"/>
    <w:rsid w:val="00031DC7"/>
    <w:rsid w:val="000346CC"/>
    <w:rsid w:val="00040676"/>
    <w:rsid w:val="00042F11"/>
    <w:rsid w:val="00044B07"/>
    <w:rsid w:val="00045432"/>
    <w:rsid w:val="00047D5A"/>
    <w:rsid w:val="0005109B"/>
    <w:rsid w:val="00051F01"/>
    <w:rsid w:val="00052B8C"/>
    <w:rsid w:val="00053099"/>
    <w:rsid w:val="0005408C"/>
    <w:rsid w:val="00054162"/>
    <w:rsid w:val="00063226"/>
    <w:rsid w:val="00080308"/>
    <w:rsid w:val="000841E8"/>
    <w:rsid w:val="00090074"/>
    <w:rsid w:val="00092FC7"/>
    <w:rsid w:val="000A0D7F"/>
    <w:rsid w:val="000A2D71"/>
    <w:rsid w:val="000A67F3"/>
    <w:rsid w:val="000B0A68"/>
    <w:rsid w:val="000B324E"/>
    <w:rsid w:val="000B3ED9"/>
    <w:rsid w:val="000B647D"/>
    <w:rsid w:val="000B7061"/>
    <w:rsid w:val="000B7BBF"/>
    <w:rsid w:val="000C23BA"/>
    <w:rsid w:val="000C2AF2"/>
    <w:rsid w:val="000D0433"/>
    <w:rsid w:val="000D4BA7"/>
    <w:rsid w:val="000D5159"/>
    <w:rsid w:val="000D58C0"/>
    <w:rsid w:val="000D65F3"/>
    <w:rsid w:val="000D72BA"/>
    <w:rsid w:val="000F0767"/>
    <w:rsid w:val="000F1481"/>
    <w:rsid w:val="000F2BA6"/>
    <w:rsid w:val="000F514E"/>
    <w:rsid w:val="000F7D06"/>
    <w:rsid w:val="001051A8"/>
    <w:rsid w:val="00111EFF"/>
    <w:rsid w:val="00112758"/>
    <w:rsid w:val="00115246"/>
    <w:rsid w:val="00115872"/>
    <w:rsid w:val="00120130"/>
    <w:rsid w:val="001219C2"/>
    <w:rsid w:val="00121CD9"/>
    <w:rsid w:val="00121E92"/>
    <w:rsid w:val="00122AEB"/>
    <w:rsid w:val="0012513C"/>
    <w:rsid w:val="00126F8F"/>
    <w:rsid w:val="00127FF5"/>
    <w:rsid w:val="00130302"/>
    <w:rsid w:val="00131C69"/>
    <w:rsid w:val="00132BE9"/>
    <w:rsid w:val="001368AF"/>
    <w:rsid w:val="00136F82"/>
    <w:rsid w:val="00137E24"/>
    <w:rsid w:val="0014129E"/>
    <w:rsid w:val="00142BC9"/>
    <w:rsid w:val="0014588C"/>
    <w:rsid w:val="001471A0"/>
    <w:rsid w:val="001476A4"/>
    <w:rsid w:val="00152827"/>
    <w:rsid w:val="001538F1"/>
    <w:rsid w:val="00154D43"/>
    <w:rsid w:val="001554D1"/>
    <w:rsid w:val="0015653F"/>
    <w:rsid w:val="00160BD1"/>
    <w:rsid w:val="00161E41"/>
    <w:rsid w:val="00170574"/>
    <w:rsid w:val="00170F4A"/>
    <w:rsid w:val="00176E56"/>
    <w:rsid w:val="00186F78"/>
    <w:rsid w:val="0019514E"/>
    <w:rsid w:val="0019589C"/>
    <w:rsid w:val="00195F7C"/>
    <w:rsid w:val="001A1815"/>
    <w:rsid w:val="001A1BE5"/>
    <w:rsid w:val="001A2270"/>
    <w:rsid w:val="001A30CD"/>
    <w:rsid w:val="001A65E0"/>
    <w:rsid w:val="001A7BC7"/>
    <w:rsid w:val="001B1E1C"/>
    <w:rsid w:val="001B2945"/>
    <w:rsid w:val="001C2209"/>
    <w:rsid w:val="001C30D5"/>
    <w:rsid w:val="001C5E28"/>
    <w:rsid w:val="001C646C"/>
    <w:rsid w:val="001D403A"/>
    <w:rsid w:val="001D45FA"/>
    <w:rsid w:val="001D79AB"/>
    <w:rsid w:val="001E02A2"/>
    <w:rsid w:val="001E05FA"/>
    <w:rsid w:val="001E1E93"/>
    <w:rsid w:val="001E20AA"/>
    <w:rsid w:val="001E3DF1"/>
    <w:rsid w:val="001E4340"/>
    <w:rsid w:val="001E524C"/>
    <w:rsid w:val="001E6BF7"/>
    <w:rsid w:val="0020041E"/>
    <w:rsid w:val="00200B02"/>
    <w:rsid w:val="00201092"/>
    <w:rsid w:val="0020471A"/>
    <w:rsid w:val="00212504"/>
    <w:rsid w:val="00215F05"/>
    <w:rsid w:val="00217B98"/>
    <w:rsid w:val="00220434"/>
    <w:rsid w:val="002205BD"/>
    <w:rsid w:val="00226942"/>
    <w:rsid w:val="00230A4A"/>
    <w:rsid w:val="00232156"/>
    <w:rsid w:val="0023434D"/>
    <w:rsid w:val="00236930"/>
    <w:rsid w:val="00237E7F"/>
    <w:rsid w:val="0024206F"/>
    <w:rsid w:val="00242251"/>
    <w:rsid w:val="002439E6"/>
    <w:rsid w:val="002530E2"/>
    <w:rsid w:val="002538BB"/>
    <w:rsid w:val="00254304"/>
    <w:rsid w:val="002544FD"/>
    <w:rsid w:val="0025465F"/>
    <w:rsid w:val="00257C3B"/>
    <w:rsid w:val="0026309C"/>
    <w:rsid w:val="00264872"/>
    <w:rsid w:val="0026720A"/>
    <w:rsid w:val="002679B2"/>
    <w:rsid w:val="002709AA"/>
    <w:rsid w:val="00271BEF"/>
    <w:rsid w:val="0027348A"/>
    <w:rsid w:val="00274593"/>
    <w:rsid w:val="00276D25"/>
    <w:rsid w:val="00281C6F"/>
    <w:rsid w:val="00282585"/>
    <w:rsid w:val="00282DFA"/>
    <w:rsid w:val="002857D2"/>
    <w:rsid w:val="00291F78"/>
    <w:rsid w:val="002938A7"/>
    <w:rsid w:val="00293C94"/>
    <w:rsid w:val="002A33A0"/>
    <w:rsid w:val="002A70D8"/>
    <w:rsid w:val="002B16B0"/>
    <w:rsid w:val="002B4265"/>
    <w:rsid w:val="002B4756"/>
    <w:rsid w:val="002C0462"/>
    <w:rsid w:val="002C1B96"/>
    <w:rsid w:val="002C37EA"/>
    <w:rsid w:val="002C5FB7"/>
    <w:rsid w:val="002C77FF"/>
    <w:rsid w:val="002D082C"/>
    <w:rsid w:val="002D50E2"/>
    <w:rsid w:val="002D61F1"/>
    <w:rsid w:val="002E0A8A"/>
    <w:rsid w:val="002E39A4"/>
    <w:rsid w:val="002E4319"/>
    <w:rsid w:val="002E5B48"/>
    <w:rsid w:val="0030157C"/>
    <w:rsid w:val="0030628E"/>
    <w:rsid w:val="00307371"/>
    <w:rsid w:val="003075F0"/>
    <w:rsid w:val="00310242"/>
    <w:rsid w:val="00310A94"/>
    <w:rsid w:val="003208E9"/>
    <w:rsid w:val="003224AD"/>
    <w:rsid w:val="00324F1C"/>
    <w:rsid w:val="003258DE"/>
    <w:rsid w:val="003268F9"/>
    <w:rsid w:val="003273B9"/>
    <w:rsid w:val="00327432"/>
    <w:rsid w:val="00331271"/>
    <w:rsid w:val="0033234C"/>
    <w:rsid w:val="003323C4"/>
    <w:rsid w:val="00333B66"/>
    <w:rsid w:val="00334ECB"/>
    <w:rsid w:val="003355A2"/>
    <w:rsid w:val="00335694"/>
    <w:rsid w:val="00337494"/>
    <w:rsid w:val="003409B3"/>
    <w:rsid w:val="0034110D"/>
    <w:rsid w:val="003432DC"/>
    <w:rsid w:val="00344506"/>
    <w:rsid w:val="003445A9"/>
    <w:rsid w:val="003446B6"/>
    <w:rsid w:val="00350E71"/>
    <w:rsid w:val="0035169B"/>
    <w:rsid w:val="003563F0"/>
    <w:rsid w:val="003602F9"/>
    <w:rsid w:val="00362C28"/>
    <w:rsid w:val="003641D8"/>
    <w:rsid w:val="00364774"/>
    <w:rsid w:val="00364AA0"/>
    <w:rsid w:val="00366620"/>
    <w:rsid w:val="003670B6"/>
    <w:rsid w:val="00370340"/>
    <w:rsid w:val="0037349D"/>
    <w:rsid w:val="003739DA"/>
    <w:rsid w:val="00380509"/>
    <w:rsid w:val="00380F5A"/>
    <w:rsid w:val="0038135D"/>
    <w:rsid w:val="00382197"/>
    <w:rsid w:val="00382405"/>
    <w:rsid w:val="0038403E"/>
    <w:rsid w:val="00391A53"/>
    <w:rsid w:val="003966AB"/>
    <w:rsid w:val="0039697E"/>
    <w:rsid w:val="0039782F"/>
    <w:rsid w:val="003A1632"/>
    <w:rsid w:val="003A237A"/>
    <w:rsid w:val="003A4E9E"/>
    <w:rsid w:val="003A65E9"/>
    <w:rsid w:val="003B1BE0"/>
    <w:rsid w:val="003B3C9C"/>
    <w:rsid w:val="003B7062"/>
    <w:rsid w:val="003C3B3C"/>
    <w:rsid w:val="003C3D9C"/>
    <w:rsid w:val="003C4148"/>
    <w:rsid w:val="003C4A89"/>
    <w:rsid w:val="003D1500"/>
    <w:rsid w:val="003D169C"/>
    <w:rsid w:val="003D2F74"/>
    <w:rsid w:val="003D33F1"/>
    <w:rsid w:val="003D4208"/>
    <w:rsid w:val="003E5D84"/>
    <w:rsid w:val="003F1A1C"/>
    <w:rsid w:val="003F3321"/>
    <w:rsid w:val="003F4E3B"/>
    <w:rsid w:val="003F586B"/>
    <w:rsid w:val="003F61E5"/>
    <w:rsid w:val="003F76F8"/>
    <w:rsid w:val="00400545"/>
    <w:rsid w:val="00405000"/>
    <w:rsid w:val="00405406"/>
    <w:rsid w:val="00410114"/>
    <w:rsid w:val="004161F0"/>
    <w:rsid w:val="0042357A"/>
    <w:rsid w:val="00423697"/>
    <w:rsid w:val="00424968"/>
    <w:rsid w:val="00424B92"/>
    <w:rsid w:val="00432D6D"/>
    <w:rsid w:val="00433C6C"/>
    <w:rsid w:val="00433DA1"/>
    <w:rsid w:val="004359F5"/>
    <w:rsid w:val="00435B1B"/>
    <w:rsid w:val="00441591"/>
    <w:rsid w:val="00442FEE"/>
    <w:rsid w:val="004430F0"/>
    <w:rsid w:val="00446918"/>
    <w:rsid w:val="0045035E"/>
    <w:rsid w:val="00452BE0"/>
    <w:rsid w:val="00453692"/>
    <w:rsid w:val="0045653B"/>
    <w:rsid w:val="00457043"/>
    <w:rsid w:val="0045722F"/>
    <w:rsid w:val="00460733"/>
    <w:rsid w:val="00462EFA"/>
    <w:rsid w:val="00470181"/>
    <w:rsid w:val="00477868"/>
    <w:rsid w:val="00480AB3"/>
    <w:rsid w:val="00481839"/>
    <w:rsid w:val="00484E4A"/>
    <w:rsid w:val="004901BB"/>
    <w:rsid w:val="00490A4D"/>
    <w:rsid w:val="00490F7A"/>
    <w:rsid w:val="00491678"/>
    <w:rsid w:val="00493347"/>
    <w:rsid w:val="00493CAB"/>
    <w:rsid w:val="00496F6E"/>
    <w:rsid w:val="00497AFE"/>
    <w:rsid w:val="004A107D"/>
    <w:rsid w:val="004A20FE"/>
    <w:rsid w:val="004A6476"/>
    <w:rsid w:val="004B01C3"/>
    <w:rsid w:val="004B3031"/>
    <w:rsid w:val="004B3517"/>
    <w:rsid w:val="004B3A74"/>
    <w:rsid w:val="004B613C"/>
    <w:rsid w:val="004B68A4"/>
    <w:rsid w:val="004B7591"/>
    <w:rsid w:val="004C54DF"/>
    <w:rsid w:val="004C619E"/>
    <w:rsid w:val="004C7FEE"/>
    <w:rsid w:val="004D3275"/>
    <w:rsid w:val="004D3642"/>
    <w:rsid w:val="004D449F"/>
    <w:rsid w:val="004D5CD3"/>
    <w:rsid w:val="004D65E6"/>
    <w:rsid w:val="004D7563"/>
    <w:rsid w:val="004E0283"/>
    <w:rsid w:val="004E02B2"/>
    <w:rsid w:val="004E1AE2"/>
    <w:rsid w:val="004E1F8C"/>
    <w:rsid w:val="004E2062"/>
    <w:rsid w:val="004E5942"/>
    <w:rsid w:val="004E631E"/>
    <w:rsid w:val="004E75C9"/>
    <w:rsid w:val="004E7FFB"/>
    <w:rsid w:val="004F227C"/>
    <w:rsid w:val="004F2BC1"/>
    <w:rsid w:val="004F3B10"/>
    <w:rsid w:val="004F55DA"/>
    <w:rsid w:val="004F7766"/>
    <w:rsid w:val="005066D0"/>
    <w:rsid w:val="00511713"/>
    <w:rsid w:val="00513415"/>
    <w:rsid w:val="005139F9"/>
    <w:rsid w:val="00517352"/>
    <w:rsid w:val="00517366"/>
    <w:rsid w:val="005210B5"/>
    <w:rsid w:val="005217D5"/>
    <w:rsid w:val="00522938"/>
    <w:rsid w:val="0052790D"/>
    <w:rsid w:val="005352A9"/>
    <w:rsid w:val="00535E77"/>
    <w:rsid w:val="005436A2"/>
    <w:rsid w:val="0054439A"/>
    <w:rsid w:val="005453B5"/>
    <w:rsid w:val="005500D0"/>
    <w:rsid w:val="00550387"/>
    <w:rsid w:val="00550A75"/>
    <w:rsid w:val="00551273"/>
    <w:rsid w:val="00554058"/>
    <w:rsid w:val="00556BA6"/>
    <w:rsid w:val="005631EF"/>
    <w:rsid w:val="0057156C"/>
    <w:rsid w:val="00573A7A"/>
    <w:rsid w:val="005757A1"/>
    <w:rsid w:val="00582173"/>
    <w:rsid w:val="00584072"/>
    <w:rsid w:val="00585792"/>
    <w:rsid w:val="0059083D"/>
    <w:rsid w:val="005915E5"/>
    <w:rsid w:val="00592D9E"/>
    <w:rsid w:val="00593096"/>
    <w:rsid w:val="00593990"/>
    <w:rsid w:val="00596260"/>
    <w:rsid w:val="00596B84"/>
    <w:rsid w:val="0059742F"/>
    <w:rsid w:val="0059792B"/>
    <w:rsid w:val="005A26E1"/>
    <w:rsid w:val="005A4F5A"/>
    <w:rsid w:val="005B01F2"/>
    <w:rsid w:val="005B27B6"/>
    <w:rsid w:val="005C1A52"/>
    <w:rsid w:val="005C3AB6"/>
    <w:rsid w:val="005C4848"/>
    <w:rsid w:val="005C5FF3"/>
    <w:rsid w:val="005C6717"/>
    <w:rsid w:val="005C7C8B"/>
    <w:rsid w:val="005D031D"/>
    <w:rsid w:val="005D1CA8"/>
    <w:rsid w:val="005D1FA0"/>
    <w:rsid w:val="005D5884"/>
    <w:rsid w:val="005D6544"/>
    <w:rsid w:val="005E0BD5"/>
    <w:rsid w:val="005E2520"/>
    <w:rsid w:val="005E5884"/>
    <w:rsid w:val="005E77A3"/>
    <w:rsid w:val="005F450A"/>
    <w:rsid w:val="005F56D0"/>
    <w:rsid w:val="005F67F1"/>
    <w:rsid w:val="005F6924"/>
    <w:rsid w:val="00600C8F"/>
    <w:rsid w:val="0060280E"/>
    <w:rsid w:val="006041F6"/>
    <w:rsid w:val="00610E69"/>
    <w:rsid w:val="00610E8F"/>
    <w:rsid w:val="00610EEA"/>
    <w:rsid w:val="00612811"/>
    <w:rsid w:val="00612ABF"/>
    <w:rsid w:val="0061540B"/>
    <w:rsid w:val="00615B1E"/>
    <w:rsid w:val="0061726A"/>
    <w:rsid w:val="00617F45"/>
    <w:rsid w:val="006225FE"/>
    <w:rsid w:val="0062353D"/>
    <w:rsid w:val="00625D60"/>
    <w:rsid w:val="00626365"/>
    <w:rsid w:val="00630E13"/>
    <w:rsid w:val="0063773A"/>
    <w:rsid w:val="006378E2"/>
    <w:rsid w:val="00642FB5"/>
    <w:rsid w:val="006434D6"/>
    <w:rsid w:val="00650BE4"/>
    <w:rsid w:val="006512C8"/>
    <w:rsid w:val="00651EA3"/>
    <w:rsid w:val="00654399"/>
    <w:rsid w:val="00655266"/>
    <w:rsid w:val="00656670"/>
    <w:rsid w:val="00657FBC"/>
    <w:rsid w:val="006624E0"/>
    <w:rsid w:val="0066457D"/>
    <w:rsid w:val="00665DFA"/>
    <w:rsid w:val="00666D05"/>
    <w:rsid w:val="006672AE"/>
    <w:rsid w:val="006705C5"/>
    <w:rsid w:val="00671960"/>
    <w:rsid w:val="00673B6D"/>
    <w:rsid w:val="00676C79"/>
    <w:rsid w:val="00680736"/>
    <w:rsid w:val="006807E3"/>
    <w:rsid w:val="0068172D"/>
    <w:rsid w:val="00681F69"/>
    <w:rsid w:val="00682DEB"/>
    <w:rsid w:val="006846FA"/>
    <w:rsid w:val="00692379"/>
    <w:rsid w:val="00694686"/>
    <w:rsid w:val="006A01D6"/>
    <w:rsid w:val="006B0725"/>
    <w:rsid w:val="006B183B"/>
    <w:rsid w:val="006B22D1"/>
    <w:rsid w:val="006B2673"/>
    <w:rsid w:val="006B41C0"/>
    <w:rsid w:val="006C116A"/>
    <w:rsid w:val="006C1FCE"/>
    <w:rsid w:val="006C4B2B"/>
    <w:rsid w:val="006D05F7"/>
    <w:rsid w:val="006D1F24"/>
    <w:rsid w:val="006D21EC"/>
    <w:rsid w:val="006D2271"/>
    <w:rsid w:val="006D30F9"/>
    <w:rsid w:val="006D6A6A"/>
    <w:rsid w:val="006E06E5"/>
    <w:rsid w:val="006E2E7D"/>
    <w:rsid w:val="006E7B09"/>
    <w:rsid w:val="006F2C76"/>
    <w:rsid w:val="006F2CDE"/>
    <w:rsid w:val="006F7016"/>
    <w:rsid w:val="00700C72"/>
    <w:rsid w:val="007038ED"/>
    <w:rsid w:val="00703E3C"/>
    <w:rsid w:val="00705CC9"/>
    <w:rsid w:val="00711A79"/>
    <w:rsid w:val="00711AF3"/>
    <w:rsid w:val="00713635"/>
    <w:rsid w:val="00716B53"/>
    <w:rsid w:val="00721360"/>
    <w:rsid w:val="00726D11"/>
    <w:rsid w:val="00731B57"/>
    <w:rsid w:val="00732FBE"/>
    <w:rsid w:val="00744572"/>
    <w:rsid w:val="007541F9"/>
    <w:rsid w:val="0075641F"/>
    <w:rsid w:val="00757989"/>
    <w:rsid w:val="007605C3"/>
    <w:rsid w:val="00761BC6"/>
    <w:rsid w:val="007628A3"/>
    <w:rsid w:val="00762989"/>
    <w:rsid w:val="00763173"/>
    <w:rsid w:val="00765684"/>
    <w:rsid w:val="00765BA3"/>
    <w:rsid w:val="007677AB"/>
    <w:rsid w:val="0077108D"/>
    <w:rsid w:val="00773927"/>
    <w:rsid w:val="00773B91"/>
    <w:rsid w:val="007743EA"/>
    <w:rsid w:val="0077652E"/>
    <w:rsid w:val="00792887"/>
    <w:rsid w:val="00792E8B"/>
    <w:rsid w:val="007938D6"/>
    <w:rsid w:val="00793B38"/>
    <w:rsid w:val="007945B7"/>
    <w:rsid w:val="007952F3"/>
    <w:rsid w:val="007A43BC"/>
    <w:rsid w:val="007A539D"/>
    <w:rsid w:val="007B01DF"/>
    <w:rsid w:val="007B24EA"/>
    <w:rsid w:val="007B3B60"/>
    <w:rsid w:val="007B4114"/>
    <w:rsid w:val="007B613D"/>
    <w:rsid w:val="007B7029"/>
    <w:rsid w:val="007C036D"/>
    <w:rsid w:val="007C25F5"/>
    <w:rsid w:val="007C2B36"/>
    <w:rsid w:val="007C3F44"/>
    <w:rsid w:val="007C3FEE"/>
    <w:rsid w:val="007C412B"/>
    <w:rsid w:val="007C4165"/>
    <w:rsid w:val="007C5A15"/>
    <w:rsid w:val="007C5B86"/>
    <w:rsid w:val="007C5BD7"/>
    <w:rsid w:val="007C634F"/>
    <w:rsid w:val="007D3136"/>
    <w:rsid w:val="007D3921"/>
    <w:rsid w:val="007D76E9"/>
    <w:rsid w:val="007E07DD"/>
    <w:rsid w:val="007E23E6"/>
    <w:rsid w:val="007F08C3"/>
    <w:rsid w:val="007F4F85"/>
    <w:rsid w:val="007F58E1"/>
    <w:rsid w:val="0080774A"/>
    <w:rsid w:val="00817CCE"/>
    <w:rsid w:val="00817DB0"/>
    <w:rsid w:val="00820C3E"/>
    <w:rsid w:val="00820DDE"/>
    <w:rsid w:val="008229CE"/>
    <w:rsid w:val="00822D34"/>
    <w:rsid w:val="008234EA"/>
    <w:rsid w:val="008235B0"/>
    <w:rsid w:val="0082388D"/>
    <w:rsid w:val="00826531"/>
    <w:rsid w:val="00826B2F"/>
    <w:rsid w:val="00826F69"/>
    <w:rsid w:val="00827EBC"/>
    <w:rsid w:val="0084111C"/>
    <w:rsid w:val="008429C7"/>
    <w:rsid w:val="0084361D"/>
    <w:rsid w:val="00844457"/>
    <w:rsid w:val="00845CE5"/>
    <w:rsid w:val="008515ED"/>
    <w:rsid w:val="00853905"/>
    <w:rsid w:val="00857840"/>
    <w:rsid w:val="00864000"/>
    <w:rsid w:val="0086481D"/>
    <w:rsid w:val="00864EFF"/>
    <w:rsid w:val="00867132"/>
    <w:rsid w:val="00871945"/>
    <w:rsid w:val="00880B3D"/>
    <w:rsid w:val="00883658"/>
    <w:rsid w:val="00886CD7"/>
    <w:rsid w:val="00892D4D"/>
    <w:rsid w:val="008947D0"/>
    <w:rsid w:val="008A0426"/>
    <w:rsid w:val="008A079A"/>
    <w:rsid w:val="008A3876"/>
    <w:rsid w:val="008A6372"/>
    <w:rsid w:val="008B156D"/>
    <w:rsid w:val="008B4262"/>
    <w:rsid w:val="008B600F"/>
    <w:rsid w:val="008C0ACB"/>
    <w:rsid w:val="008C15DD"/>
    <w:rsid w:val="008C1E77"/>
    <w:rsid w:val="008D404D"/>
    <w:rsid w:val="008D6E7F"/>
    <w:rsid w:val="008D6FE4"/>
    <w:rsid w:val="008D77AC"/>
    <w:rsid w:val="008D7A39"/>
    <w:rsid w:val="008E4CB4"/>
    <w:rsid w:val="008F0362"/>
    <w:rsid w:val="008F0A71"/>
    <w:rsid w:val="008F3E37"/>
    <w:rsid w:val="008F61CF"/>
    <w:rsid w:val="009061BB"/>
    <w:rsid w:val="00910628"/>
    <w:rsid w:val="009121DA"/>
    <w:rsid w:val="00914AF6"/>
    <w:rsid w:val="00915F57"/>
    <w:rsid w:val="009172C3"/>
    <w:rsid w:val="00920E10"/>
    <w:rsid w:val="009219E0"/>
    <w:rsid w:val="00922AE2"/>
    <w:rsid w:val="0092386D"/>
    <w:rsid w:val="00926F8A"/>
    <w:rsid w:val="009323FB"/>
    <w:rsid w:val="00935D9B"/>
    <w:rsid w:val="00940FAB"/>
    <w:rsid w:val="00943696"/>
    <w:rsid w:val="00943863"/>
    <w:rsid w:val="00945315"/>
    <w:rsid w:val="00950F35"/>
    <w:rsid w:val="00955D17"/>
    <w:rsid w:val="009636E6"/>
    <w:rsid w:val="00964301"/>
    <w:rsid w:val="00967CFD"/>
    <w:rsid w:val="009716DB"/>
    <w:rsid w:val="00971977"/>
    <w:rsid w:val="0097416E"/>
    <w:rsid w:val="00977788"/>
    <w:rsid w:val="009815FB"/>
    <w:rsid w:val="00982595"/>
    <w:rsid w:val="00985198"/>
    <w:rsid w:val="009860B4"/>
    <w:rsid w:val="0099255A"/>
    <w:rsid w:val="00993539"/>
    <w:rsid w:val="00995533"/>
    <w:rsid w:val="00997E57"/>
    <w:rsid w:val="009A04DD"/>
    <w:rsid w:val="009A165A"/>
    <w:rsid w:val="009A64D7"/>
    <w:rsid w:val="009B4E30"/>
    <w:rsid w:val="009C0535"/>
    <w:rsid w:val="009C28CF"/>
    <w:rsid w:val="009C76B4"/>
    <w:rsid w:val="009D0F64"/>
    <w:rsid w:val="009D5E53"/>
    <w:rsid w:val="009D63D8"/>
    <w:rsid w:val="009F1784"/>
    <w:rsid w:val="009F1A10"/>
    <w:rsid w:val="009F6130"/>
    <w:rsid w:val="00A05FBC"/>
    <w:rsid w:val="00A0631A"/>
    <w:rsid w:val="00A07695"/>
    <w:rsid w:val="00A07A50"/>
    <w:rsid w:val="00A156C5"/>
    <w:rsid w:val="00A15CE0"/>
    <w:rsid w:val="00A26EDA"/>
    <w:rsid w:val="00A31966"/>
    <w:rsid w:val="00A453CE"/>
    <w:rsid w:val="00A515CD"/>
    <w:rsid w:val="00A54399"/>
    <w:rsid w:val="00A57284"/>
    <w:rsid w:val="00A72731"/>
    <w:rsid w:val="00A72D6D"/>
    <w:rsid w:val="00A748EB"/>
    <w:rsid w:val="00A80713"/>
    <w:rsid w:val="00A80842"/>
    <w:rsid w:val="00A82748"/>
    <w:rsid w:val="00A82D98"/>
    <w:rsid w:val="00A90742"/>
    <w:rsid w:val="00A91A17"/>
    <w:rsid w:val="00AA4A32"/>
    <w:rsid w:val="00AA53B7"/>
    <w:rsid w:val="00AA5E25"/>
    <w:rsid w:val="00AA72F5"/>
    <w:rsid w:val="00AB03B6"/>
    <w:rsid w:val="00AB11BF"/>
    <w:rsid w:val="00AB1423"/>
    <w:rsid w:val="00AB4114"/>
    <w:rsid w:val="00AB57D9"/>
    <w:rsid w:val="00AB5DA7"/>
    <w:rsid w:val="00AC318B"/>
    <w:rsid w:val="00AC4D25"/>
    <w:rsid w:val="00AD0A61"/>
    <w:rsid w:val="00AD1230"/>
    <w:rsid w:val="00AD41E3"/>
    <w:rsid w:val="00AD79BD"/>
    <w:rsid w:val="00AE0A4D"/>
    <w:rsid w:val="00AE173F"/>
    <w:rsid w:val="00AE1AAC"/>
    <w:rsid w:val="00AE38BE"/>
    <w:rsid w:val="00AE4835"/>
    <w:rsid w:val="00AE5EAC"/>
    <w:rsid w:val="00AE69A0"/>
    <w:rsid w:val="00AF26F4"/>
    <w:rsid w:val="00AF3353"/>
    <w:rsid w:val="00AF4129"/>
    <w:rsid w:val="00AF44E9"/>
    <w:rsid w:val="00AF57C4"/>
    <w:rsid w:val="00AF67F4"/>
    <w:rsid w:val="00AF7397"/>
    <w:rsid w:val="00B013CD"/>
    <w:rsid w:val="00B04E4C"/>
    <w:rsid w:val="00B07062"/>
    <w:rsid w:val="00B07923"/>
    <w:rsid w:val="00B11EFE"/>
    <w:rsid w:val="00B1487D"/>
    <w:rsid w:val="00B202C6"/>
    <w:rsid w:val="00B202E2"/>
    <w:rsid w:val="00B21854"/>
    <w:rsid w:val="00B22C17"/>
    <w:rsid w:val="00B274DF"/>
    <w:rsid w:val="00B3309A"/>
    <w:rsid w:val="00B33604"/>
    <w:rsid w:val="00B340BA"/>
    <w:rsid w:val="00B35028"/>
    <w:rsid w:val="00B3768A"/>
    <w:rsid w:val="00B379E0"/>
    <w:rsid w:val="00B4391B"/>
    <w:rsid w:val="00B453C0"/>
    <w:rsid w:val="00B4670B"/>
    <w:rsid w:val="00B53942"/>
    <w:rsid w:val="00B55A29"/>
    <w:rsid w:val="00B613EA"/>
    <w:rsid w:val="00B72741"/>
    <w:rsid w:val="00B739ED"/>
    <w:rsid w:val="00B74DEC"/>
    <w:rsid w:val="00B82C8A"/>
    <w:rsid w:val="00B8384E"/>
    <w:rsid w:val="00B86D3B"/>
    <w:rsid w:val="00B87960"/>
    <w:rsid w:val="00BA4547"/>
    <w:rsid w:val="00BA49B9"/>
    <w:rsid w:val="00BA56AA"/>
    <w:rsid w:val="00BA618C"/>
    <w:rsid w:val="00BA79A0"/>
    <w:rsid w:val="00BB17F4"/>
    <w:rsid w:val="00BB658B"/>
    <w:rsid w:val="00BB6F2B"/>
    <w:rsid w:val="00BC11F9"/>
    <w:rsid w:val="00BC2C1E"/>
    <w:rsid w:val="00BC2D3A"/>
    <w:rsid w:val="00BC38CA"/>
    <w:rsid w:val="00BC6888"/>
    <w:rsid w:val="00BC6FA3"/>
    <w:rsid w:val="00BC76EA"/>
    <w:rsid w:val="00BD084C"/>
    <w:rsid w:val="00BD1391"/>
    <w:rsid w:val="00BD6243"/>
    <w:rsid w:val="00BD6B9D"/>
    <w:rsid w:val="00BE2771"/>
    <w:rsid w:val="00BF1394"/>
    <w:rsid w:val="00BF2251"/>
    <w:rsid w:val="00BF51B3"/>
    <w:rsid w:val="00BF53B0"/>
    <w:rsid w:val="00C02CE3"/>
    <w:rsid w:val="00C05237"/>
    <w:rsid w:val="00C104BC"/>
    <w:rsid w:val="00C1668E"/>
    <w:rsid w:val="00C168DD"/>
    <w:rsid w:val="00C208A0"/>
    <w:rsid w:val="00C27883"/>
    <w:rsid w:val="00C335F2"/>
    <w:rsid w:val="00C37EDA"/>
    <w:rsid w:val="00C51641"/>
    <w:rsid w:val="00C52285"/>
    <w:rsid w:val="00C52311"/>
    <w:rsid w:val="00C53119"/>
    <w:rsid w:val="00C612A8"/>
    <w:rsid w:val="00C61B96"/>
    <w:rsid w:val="00C638ED"/>
    <w:rsid w:val="00C72905"/>
    <w:rsid w:val="00C82C82"/>
    <w:rsid w:val="00C83621"/>
    <w:rsid w:val="00C875CB"/>
    <w:rsid w:val="00C934AB"/>
    <w:rsid w:val="00C95402"/>
    <w:rsid w:val="00C955F6"/>
    <w:rsid w:val="00C969CF"/>
    <w:rsid w:val="00CA311D"/>
    <w:rsid w:val="00CA640C"/>
    <w:rsid w:val="00CB0C8A"/>
    <w:rsid w:val="00CB1BCD"/>
    <w:rsid w:val="00CB26A7"/>
    <w:rsid w:val="00CB2E1A"/>
    <w:rsid w:val="00CC0144"/>
    <w:rsid w:val="00CC05A6"/>
    <w:rsid w:val="00CC4761"/>
    <w:rsid w:val="00CC4ABA"/>
    <w:rsid w:val="00CC5CE8"/>
    <w:rsid w:val="00CC67E6"/>
    <w:rsid w:val="00CD14B5"/>
    <w:rsid w:val="00CD1B6B"/>
    <w:rsid w:val="00CD349F"/>
    <w:rsid w:val="00CD7A23"/>
    <w:rsid w:val="00CE538E"/>
    <w:rsid w:val="00CE5C4F"/>
    <w:rsid w:val="00CE5E0D"/>
    <w:rsid w:val="00CF1084"/>
    <w:rsid w:val="00CF25F3"/>
    <w:rsid w:val="00CF2D0A"/>
    <w:rsid w:val="00CF2D56"/>
    <w:rsid w:val="00CF49E2"/>
    <w:rsid w:val="00CF695E"/>
    <w:rsid w:val="00D02869"/>
    <w:rsid w:val="00D04BF9"/>
    <w:rsid w:val="00D1531D"/>
    <w:rsid w:val="00D153D3"/>
    <w:rsid w:val="00D161B5"/>
    <w:rsid w:val="00D20161"/>
    <w:rsid w:val="00D33794"/>
    <w:rsid w:val="00D339D6"/>
    <w:rsid w:val="00D37665"/>
    <w:rsid w:val="00D37F8F"/>
    <w:rsid w:val="00D44306"/>
    <w:rsid w:val="00D50D49"/>
    <w:rsid w:val="00D526EA"/>
    <w:rsid w:val="00D53B34"/>
    <w:rsid w:val="00D60708"/>
    <w:rsid w:val="00D60D8C"/>
    <w:rsid w:val="00D67E88"/>
    <w:rsid w:val="00D704B3"/>
    <w:rsid w:val="00D73D12"/>
    <w:rsid w:val="00D77211"/>
    <w:rsid w:val="00D81949"/>
    <w:rsid w:val="00D91454"/>
    <w:rsid w:val="00D9261B"/>
    <w:rsid w:val="00D9382F"/>
    <w:rsid w:val="00D942CB"/>
    <w:rsid w:val="00D97C43"/>
    <w:rsid w:val="00DA002E"/>
    <w:rsid w:val="00DA19D1"/>
    <w:rsid w:val="00DB37D0"/>
    <w:rsid w:val="00DB4FCE"/>
    <w:rsid w:val="00DB509B"/>
    <w:rsid w:val="00DB5DA6"/>
    <w:rsid w:val="00DB7A55"/>
    <w:rsid w:val="00DC1CA7"/>
    <w:rsid w:val="00DC2D6A"/>
    <w:rsid w:val="00DC2F0C"/>
    <w:rsid w:val="00DC6A43"/>
    <w:rsid w:val="00DD0F51"/>
    <w:rsid w:val="00DD2FFF"/>
    <w:rsid w:val="00DD37C2"/>
    <w:rsid w:val="00DD3EDE"/>
    <w:rsid w:val="00DD7B82"/>
    <w:rsid w:val="00DE1220"/>
    <w:rsid w:val="00DE48EB"/>
    <w:rsid w:val="00DE504C"/>
    <w:rsid w:val="00DE51FF"/>
    <w:rsid w:val="00DF06D3"/>
    <w:rsid w:val="00DF2ADF"/>
    <w:rsid w:val="00DF3174"/>
    <w:rsid w:val="00E07994"/>
    <w:rsid w:val="00E079CB"/>
    <w:rsid w:val="00E124AF"/>
    <w:rsid w:val="00E132B6"/>
    <w:rsid w:val="00E13CC6"/>
    <w:rsid w:val="00E13DAE"/>
    <w:rsid w:val="00E16BBC"/>
    <w:rsid w:val="00E21A48"/>
    <w:rsid w:val="00E21CAF"/>
    <w:rsid w:val="00E242C6"/>
    <w:rsid w:val="00E25D25"/>
    <w:rsid w:val="00E27A58"/>
    <w:rsid w:val="00E27CEE"/>
    <w:rsid w:val="00E30747"/>
    <w:rsid w:val="00E338FC"/>
    <w:rsid w:val="00E33CEE"/>
    <w:rsid w:val="00E41394"/>
    <w:rsid w:val="00E427D0"/>
    <w:rsid w:val="00E43C23"/>
    <w:rsid w:val="00E44AD6"/>
    <w:rsid w:val="00E47267"/>
    <w:rsid w:val="00E50429"/>
    <w:rsid w:val="00E5215F"/>
    <w:rsid w:val="00E630BA"/>
    <w:rsid w:val="00E6553D"/>
    <w:rsid w:val="00E66943"/>
    <w:rsid w:val="00E66CF3"/>
    <w:rsid w:val="00E7051F"/>
    <w:rsid w:val="00E76F2B"/>
    <w:rsid w:val="00E77A89"/>
    <w:rsid w:val="00E805DB"/>
    <w:rsid w:val="00E81209"/>
    <w:rsid w:val="00E823A2"/>
    <w:rsid w:val="00E8321B"/>
    <w:rsid w:val="00E84372"/>
    <w:rsid w:val="00E86177"/>
    <w:rsid w:val="00E90488"/>
    <w:rsid w:val="00E91268"/>
    <w:rsid w:val="00E91C05"/>
    <w:rsid w:val="00EA3CC6"/>
    <w:rsid w:val="00EA47D3"/>
    <w:rsid w:val="00EA5EB5"/>
    <w:rsid w:val="00EB1CCB"/>
    <w:rsid w:val="00EB1F85"/>
    <w:rsid w:val="00EB5678"/>
    <w:rsid w:val="00EB699F"/>
    <w:rsid w:val="00EC07D3"/>
    <w:rsid w:val="00EC4D0F"/>
    <w:rsid w:val="00EC5BAC"/>
    <w:rsid w:val="00EC5D3E"/>
    <w:rsid w:val="00EC7C1F"/>
    <w:rsid w:val="00ED0DFF"/>
    <w:rsid w:val="00EE47C8"/>
    <w:rsid w:val="00EE60AF"/>
    <w:rsid w:val="00EE7626"/>
    <w:rsid w:val="00EF2DCB"/>
    <w:rsid w:val="00EF601A"/>
    <w:rsid w:val="00EF6248"/>
    <w:rsid w:val="00EF634C"/>
    <w:rsid w:val="00F016DF"/>
    <w:rsid w:val="00F065A9"/>
    <w:rsid w:val="00F100CB"/>
    <w:rsid w:val="00F12BC0"/>
    <w:rsid w:val="00F1372B"/>
    <w:rsid w:val="00F1546E"/>
    <w:rsid w:val="00F270DD"/>
    <w:rsid w:val="00F414B1"/>
    <w:rsid w:val="00F42044"/>
    <w:rsid w:val="00F53CB2"/>
    <w:rsid w:val="00F5625E"/>
    <w:rsid w:val="00F57E85"/>
    <w:rsid w:val="00F60949"/>
    <w:rsid w:val="00F61FDB"/>
    <w:rsid w:val="00F64A07"/>
    <w:rsid w:val="00F64CBD"/>
    <w:rsid w:val="00F67546"/>
    <w:rsid w:val="00F721F4"/>
    <w:rsid w:val="00F73F06"/>
    <w:rsid w:val="00F752E4"/>
    <w:rsid w:val="00F8551D"/>
    <w:rsid w:val="00F86E72"/>
    <w:rsid w:val="00F92836"/>
    <w:rsid w:val="00F94E8E"/>
    <w:rsid w:val="00FA073F"/>
    <w:rsid w:val="00FA09CD"/>
    <w:rsid w:val="00FA221B"/>
    <w:rsid w:val="00FB4029"/>
    <w:rsid w:val="00FB71D2"/>
    <w:rsid w:val="00FC43EF"/>
    <w:rsid w:val="00FD02AE"/>
    <w:rsid w:val="00FD1BAA"/>
    <w:rsid w:val="00FD2BBC"/>
    <w:rsid w:val="00FD59EC"/>
    <w:rsid w:val="00FD69EA"/>
    <w:rsid w:val="00FD7EC7"/>
    <w:rsid w:val="00FE071E"/>
    <w:rsid w:val="00FE128F"/>
    <w:rsid w:val="00FE383E"/>
    <w:rsid w:val="00FE3A25"/>
    <w:rsid w:val="00FE557E"/>
    <w:rsid w:val="00FE6247"/>
    <w:rsid w:val="00FE628C"/>
    <w:rsid w:val="00FE6659"/>
    <w:rsid w:val="00FE7119"/>
    <w:rsid w:val="00FE7647"/>
    <w:rsid w:val="00FE7DD0"/>
    <w:rsid w:val="00FF1816"/>
    <w:rsid w:val="00FF4494"/>
    <w:rsid w:val="00FF5C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220"/>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E02A2"/>
    <w:pPr>
      <w:tabs>
        <w:tab w:val="center" w:pos="4536"/>
        <w:tab w:val="right" w:pos="9072"/>
      </w:tabs>
    </w:pPr>
  </w:style>
  <w:style w:type="character" w:customStyle="1" w:styleId="PieddepageCar">
    <w:name w:val="Pied de page Car"/>
    <w:basedOn w:val="Policepardfaut"/>
    <w:link w:val="Pieddepage"/>
    <w:uiPriority w:val="99"/>
    <w:rsid w:val="001E02A2"/>
  </w:style>
  <w:style w:type="paragraph" w:customStyle="1" w:styleId="Style1">
    <w:name w:val="Style 1"/>
    <w:basedOn w:val="Normal"/>
    <w:uiPriority w:val="99"/>
    <w:rsid w:val="00694686"/>
    <w:pPr>
      <w:widowControl w:val="0"/>
      <w:autoSpaceDE w:val="0"/>
      <w:autoSpaceDN w:val="0"/>
      <w:adjustRightInd w:val="0"/>
    </w:pPr>
  </w:style>
  <w:style w:type="character" w:customStyle="1" w:styleId="CharacterStyle1">
    <w:name w:val="Character Style 1"/>
    <w:uiPriority w:val="99"/>
    <w:rsid w:val="00694686"/>
    <w:rPr>
      <w:sz w:val="20"/>
    </w:rPr>
  </w:style>
  <w:style w:type="character" w:styleId="Lienhypertexte">
    <w:name w:val="Hyperlink"/>
    <w:uiPriority w:val="99"/>
    <w:unhideWhenUsed/>
    <w:rsid w:val="00915F57"/>
    <w:rPr>
      <w:color w:val="0000FF"/>
      <w:u w:val="single"/>
    </w:rPr>
  </w:style>
  <w:style w:type="paragraph" w:styleId="NormalWeb">
    <w:name w:val="Normal (Web)"/>
    <w:basedOn w:val="Normal"/>
    <w:uiPriority w:val="99"/>
    <w:unhideWhenUsed/>
    <w:rsid w:val="006B22D1"/>
    <w:pPr>
      <w:spacing w:before="100" w:beforeAutospacing="1" w:after="100" w:afterAutospacing="1"/>
    </w:pPr>
    <w:rPr>
      <w:sz w:val="24"/>
      <w:szCs w:val="24"/>
    </w:rPr>
  </w:style>
  <w:style w:type="character" w:styleId="Marquedecommentaire">
    <w:name w:val="annotation reference"/>
    <w:uiPriority w:val="99"/>
    <w:semiHidden/>
    <w:unhideWhenUsed/>
    <w:rsid w:val="00B3768A"/>
    <w:rPr>
      <w:sz w:val="16"/>
      <w:szCs w:val="16"/>
    </w:rPr>
  </w:style>
  <w:style w:type="paragraph" w:styleId="Commentaire">
    <w:name w:val="annotation text"/>
    <w:basedOn w:val="Normal"/>
    <w:link w:val="CommentaireCar"/>
    <w:uiPriority w:val="99"/>
    <w:semiHidden/>
    <w:unhideWhenUsed/>
    <w:rsid w:val="00B3768A"/>
  </w:style>
  <w:style w:type="character" w:customStyle="1" w:styleId="CommentaireCar">
    <w:name w:val="Commentaire Car"/>
    <w:basedOn w:val="Policepardfaut"/>
    <w:link w:val="Commentaire"/>
    <w:uiPriority w:val="99"/>
    <w:semiHidden/>
    <w:rsid w:val="00B3768A"/>
  </w:style>
  <w:style w:type="paragraph" w:styleId="Objetducommentaire">
    <w:name w:val="annotation subject"/>
    <w:basedOn w:val="Commentaire"/>
    <w:next w:val="Commentaire"/>
    <w:link w:val="ObjetducommentaireCar"/>
    <w:uiPriority w:val="99"/>
    <w:semiHidden/>
    <w:unhideWhenUsed/>
    <w:rsid w:val="00B3768A"/>
    <w:rPr>
      <w:b/>
      <w:bCs/>
    </w:rPr>
  </w:style>
  <w:style w:type="character" w:customStyle="1" w:styleId="ObjetducommentaireCar">
    <w:name w:val="Objet du commentaire Car"/>
    <w:link w:val="Objetducommentaire"/>
    <w:uiPriority w:val="99"/>
    <w:semiHidden/>
    <w:rsid w:val="00B3768A"/>
    <w:rPr>
      <w:b/>
      <w:bCs/>
    </w:rPr>
  </w:style>
  <w:style w:type="paragraph" w:styleId="Rvision">
    <w:name w:val="Revision"/>
    <w:hidden/>
    <w:uiPriority w:val="99"/>
    <w:semiHidden/>
    <w:rsid w:val="00B376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220"/>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E02A2"/>
    <w:pPr>
      <w:tabs>
        <w:tab w:val="center" w:pos="4536"/>
        <w:tab w:val="right" w:pos="9072"/>
      </w:tabs>
    </w:pPr>
  </w:style>
  <w:style w:type="character" w:customStyle="1" w:styleId="PieddepageCar">
    <w:name w:val="Pied de page Car"/>
    <w:basedOn w:val="Policepardfaut"/>
    <w:link w:val="Pieddepage"/>
    <w:uiPriority w:val="99"/>
    <w:rsid w:val="001E02A2"/>
  </w:style>
  <w:style w:type="paragraph" w:customStyle="1" w:styleId="Style1">
    <w:name w:val="Style 1"/>
    <w:basedOn w:val="Normal"/>
    <w:uiPriority w:val="99"/>
    <w:rsid w:val="00694686"/>
    <w:pPr>
      <w:widowControl w:val="0"/>
      <w:autoSpaceDE w:val="0"/>
      <w:autoSpaceDN w:val="0"/>
      <w:adjustRightInd w:val="0"/>
    </w:pPr>
  </w:style>
  <w:style w:type="character" w:customStyle="1" w:styleId="CharacterStyle1">
    <w:name w:val="Character Style 1"/>
    <w:uiPriority w:val="99"/>
    <w:rsid w:val="00694686"/>
    <w:rPr>
      <w:sz w:val="20"/>
    </w:rPr>
  </w:style>
  <w:style w:type="character" w:styleId="Lienhypertexte">
    <w:name w:val="Hyperlink"/>
    <w:uiPriority w:val="99"/>
    <w:unhideWhenUsed/>
    <w:rsid w:val="00915F57"/>
    <w:rPr>
      <w:color w:val="0000FF"/>
      <w:u w:val="single"/>
    </w:rPr>
  </w:style>
  <w:style w:type="paragraph" w:styleId="NormalWeb">
    <w:name w:val="Normal (Web)"/>
    <w:basedOn w:val="Normal"/>
    <w:uiPriority w:val="99"/>
    <w:unhideWhenUsed/>
    <w:rsid w:val="006B22D1"/>
    <w:pPr>
      <w:spacing w:before="100" w:beforeAutospacing="1" w:after="100" w:afterAutospacing="1"/>
    </w:pPr>
    <w:rPr>
      <w:sz w:val="24"/>
      <w:szCs w:val="24"/>
    </w:rPr>
  </w:style>
  <w:style w:type="character" w:styleId="Marquedecommentaire">
    <w:name w:val="annotation reference"/>
    <w:uiPriority w:val="99"/>
    <w:semiHidden/>
    <w:unhideWhenUsed/>
    <w:rsid w:val="00B3768A"/>
    <w:rPr>
      <w:sz w:val="16"/>
      <w:szCs w:val="16"/>
    </w:rPr>
  </w:style>
  <w:style w:type="paragraph" w:styleId="Commentaire">
    <w:name w:val="annotation text"/>
    <w:basedOn w:val="Normal"/>
    <w:link w:val="CommentaireCar"/>
    <w:uiPriority w:val="99"/>
    <w:semiHidden/>
    <w:unhideWhenUsed/>
    <w:rsid w:val="00B3768A"/>
  </w:style>
  <w:style w:type="character" w:customStyle="1" w:styleId="CommentaireCar">
    <w:name w:val="Commentaire Car"/>
    <w:basedOn w:val="Policepardfaut"/>
    <w:link w:val="Commentaire"/>
    <w:uiPriority w:val="99"/>
    <w:semiHidden/>
    <w:rsid w:val="00B3768A"/>
  </w:style>
  <w:style w:type="paragraph" w:styleId="Objetducommentaire">
    <w:name w:val="annotation subject"/>
    <w:basedOn w:val="Commentaire"/>
    <w:next w:val="Commentaire"/>
    <w:link w:val="ObjetducommentaireCar"/>
    <w:uiPriority w:val="99"/>
    <w:semiHidden/>
    <w:unhideWhenUsed/>
    <w:rsid w:val="00B3768A"/>
    <w:rPr>
      <w:b/>
      <w:bCs/>
    </w:rPr>
  </w:style>
  <w:style w:type="character" w:customStyle="1" w:styleId="ObjetducommentaireCar">
    <w:name w:val="Objet du commentaire Car"/>
    <w:link w:val="Objetducommentaire"/>
    <w:uiPriority w:val="99"/>
    <w:semiHidden/>
    <w:rsid w:val="00B3768A"/>
    <w:rPr>
      <w:b/>
      <w:bCs/>
    </w:rPr>
  </w:style>
  <w:style w:type="paragraph" w:styleId="Rvision">
    <w:name w:val="Revision"/>
    <w:hidden/>
    <w:uiPriority w:val="99"/>
    <w:semiHidden/>
    <w:rsid w:val="00B37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5013">
      <w:bodyDiv w:val="1"/>
      <w:marLeft w:val="0"/>
      <w:marRight w:val="0"/>
      <w:marTop w:val="0"/>
      <w:marBottom w:val="0"/>
      <w:divBdr>
        <w:top w:val="none" w:sz="0" w:space="0" w:color="auto"/>
        <w:left w:val="none" w:sz="0" w:space="0" w:color="auto"/>
        <w:bottom w:val="none" w:sz="0" w:space="0" w:color="auto"/>
        <w:right w:val="none" w:sz="0" w:space="0" w:color="auto"/>
      </w:divBdr>
    </w:div>
    <w:div w:id="169299627">
      <w:bodyDiv w:val="1"/>
      <w:marLeft w:val="0"/>
      <w:marRight w:val="0"/>
      <w:marTop w:val="0"/>
      <w:marBottom w:val="0"/>
      <w:divBdr>
        <w:top w:val="none" w:sz="0" w:space="0" w:color="auto"/>
        <w:left w:val="none" w:sz="0" w:space="0" w:color="auto"/>
        <w:bottom w:val="none" w:sz="0" w:space="0" w:color="auto"/>
        <w:right w:val="none" w:sz="0" w:space="0" w:color="auto"/>
      </w:divBdr>
      <w:divsChild>
        <w:div w:id="673803762">
          <w:marLeft w:val="0"/>
          <w:marRight w:val="0"/>
          <w:marTop w:val="0"/>
          <w:marBottom w:val="0"/>
          <w:divBdr>
            <w:top w:val="none" w:sz="0" w:space="0" w:color="auto"/>
            <w:left w:val="none" w:sz="0" w:space="0" w:color="auto"/>
            <w:bottom w:val="none" w:sz="0" w:space="0" w:color="auto"/>
            <w:right w:val="none" w:sz="0" w:space="0" w:color="auto"/>
          </w:divBdr>
          <w:divsChild>
            <w:div w:id="882400227">
              <w:marLeft w:val="0"/>
              <w:marRight w:val="0"/>
              <w:marTop w:val="0"/>
              <w:marBottom w:val="0"/>
              <w:divBdr>
                <w:top w:val="none" w:sz="0" w:space="0" w:color="auto"/>
                <w:left w:val="none" w:sz="0" w:space="0" w:color="auto"/>
                <w:bottom w:val="none" w:sz="0" w:space="0" w:color="auto"/>
                <w:right w:val="none" w:sz="0" w:space="0" w:color="auto"/>
              </w:divBdr>
              <w:divsChild>
                <w:div w:id="1414858807">
                  <w:marLeft w:val="0"/>
                  <w:marRight w:val="0"/>
                  <w:marTop w:val="0"/>
                  <w:marBottom w:val="0"/>
                  <w:divBdr>
                    <w:top w:val="none" w:sz="0" w:space="0" w:color="auto"/>
                    <w:left w:val="none" w:sz="0" w:space="0" w:color="auto"/>
                    <w:bottom w:val="none" w:sz="0" w:space="0" w:color="auto"/>
                    <w:right w:val="none" w:sz="0" w:space="0" w:color="auto"/>
                  </w:divBdr>
                  <w:divsChild>
                    <w:div w:id="714158759">
                      <w:marLeft w:val="0"/>
                      <w:marRight w:val="0"/>
                      <w:marTop w:val="0"/>
                      <w:marBottom w:val="0"/>
                      <w:divBdr>
                        <w:top w:val="none" w:sz="0" w:space="0" w:color="auto"/>
                        <w:left w:val="none" w:sz="0" w:space="0" w:color="auto"/>
                        <w:bottom w:val="none" w:sz="0" w:space="0" w:color="auto"/>
                        <w:right w:val="none" w:sz="0" w:space="0" w:color="auto"/>
                      </w:divBdr>
                      <w:divsChild>
                        <w:div w:id="1907491558">
                          <w:marLeft w:val="0"/>
                          <w:marRight w:val="0"/>
                          <w:marTop w:val="0"/>
                          <w:marBottom w:val="0"/>
                          <w:divBdr>
                            <w:top w:val="none" w:sz="0" w:space="0" w:color="auto"/>
                            <w:left w:val="none" w:sz="0" w:space="0" w:color="auto"/>
                            <w:bottom w:val="none" w:sz="0" w:space="0" w:color="auto"/>
                            <w:right w:val="none" w:sz="0" w:space="0" w:color="auto"/>
                          </w:divBdr>
                          <w:divsChild>
                            <w:div w:id="1558778174">
                              <w:marLeft w:val="0"/>
                              <w:marRight w:val="0"/>
                              <w:marTop w:val="0"/>
                              <w:marBottom w:val="0"/>
                              <w:divBdr>
                                <w:top w:val="none" w:sz="0" w:space="0" w:color="auto"/>
                                <w:left w:val="none" w:sz="0" w:space="0" w:color="auto"/>
                                <w:bottom w:val="none" w:sz="0" w:space="0" w:color="auto"/>
                                <w:right w:val="none" w:sz="0" w:space="0" w:color="auto"/>
                              </w:divBdr>
                              <w:divsChild>
                                <w:div w:id="2440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36830">
      <w:bodyDiv w:val="1"/>
      <w:marLeft w:val="0"/>
      <w:marRight w:val="0"/>
      <w:marTop w:val="0"/>
      <w:marBottom w:val="0"/>
      <w:divBdr>
        <w:top w:val="none" w:sz="0" w:space="0" w:color="auto"/>
        <w:left w:val="none" w:sz="0" w:space="0" w:color="auto"/>
        <w:bottom w:val="none" w:sz="0" w:space="0" w:color="auto"/>
        <w:right w:val="none" w:sz="0" w:space="0" w:color="auto"/>
      </w:divBdr>
    </w:div>
    <w:div w:id="860322497">
      <w:bodyDiv w:val="1"/>
      <w:marLeft w:val="0"/>
      <w:marRight w:val="0"/>
      <w:marTop w:val="0"/>
      <w:marBottom w:val="0"/>
      <w:divBdr>
        <w:top w:val="none" w:sz="0" w:space="0" w:color="auto"/>
        <w:left w:val="none" w:sz="0" w:space="0" w:color="auto"/>
        <w:bottom w:val="none" w:sz="0" w:space="0" w:color="auto"/>
        <w:right w:val="none" w:sz="0" w:space="0" w:color="auto"/>
      </w:divBdr>
    </w:div>
    <w:div w:id="1178033638">
      <w:bodyDiv w:val="1"/>
      <w:marLeft w:val="0"/>
      <w:marRight w:val="0"/>
      <w:marTop w:val="0"/>
      <w:marBottom w:val="0"/>
      <w:divBdr>
        <w:top w:val="none" w:sz="0" w:space="0" w:color="auto"/>
        <w:left w:val="none" w:sz="0" w:space="0" w:color="auto"/>
        <w:bottom w:val="none" w:sz="0" w:space="0" w:color="auto"/>
        <w:right w:val="none" w:sz="0" w:space="0" w:color="auto"/>
      </w:divBdr>
      <w:divsChild>
        <w:div w:id="312686891">
          <w:marLeft w:val="0"/>
          <w:marRight w:val="0"/>
          <w:marTop w:val="0"/>
          <w:marBottom w:val="0"/>
          <w:divBdr>
            <w:top w:val="none" w:sz="0" w:space="0" w:color="auto"/>
            <w:left w:val="none" w:sz="0" w:space="0" w:color="auto"/>
            <w:bottom w:val="none" w:sz="0" w:space="0" w:color="auto"/>
            <w:right w:val="none" w:sz="0" w:space="0" w:color="auto"/>
          </w:divBdr>
          <w:divsChild>
            <w:div w:id="1699164117">
              <w:marLeft w:val="0"/>
              <w:marRight w:val="0"/>
              <w:marTop w:val="0"/>
              <w:marBottom w:val="0"/>
              <w:divBdr>
                <w:top w:val="none" w:sz="0" w:space="0" w:color="auto"/>
                <w:left w:val="none" w:sz="0" w:space="0" w:color="auto"/>
                <w:bottom w:val="none" w:sz="0" w:space="0" w:color="auto"/>
                <w:right w:val="none" w:sz="0" w:space="0" w:color="auto"/>
              </w:divBdr>
              <w:divsChild>
                <w:div w:id="255745360">
                  <w:marLeft w:val="0"/>
                  <w:marRight w:val="0"/>
                  <w:marTop w:val="0"/>
                  <w:marBottom w:val="0"/>
                  <w:divBdr>
                    <w:top w:val="none" w:sz="0" w:space="0" w:color="auto"/>
                    <w:left w:val="none" w:sz="0" w:space="0" w:color="auto"/>
                    <w:bottom w:val="none" w:sz="0" w:space="0" w:color="auto"/>
                    <w:right w:val="none" w:sz="0" w:space="0" w:color="auto"/>
                  </w:divBdr>
                  <w:divsChild>
                    <w:div w:id="322708369">
                      <w:marLeft w:val="0"/>
                      <w:marRight w:val="0"/>
                      <w:marTop w:val="0"/>
                      <w:marBottom w:val="0"/>
                      <w:divBdr>
                        <w:top w:val="none" w:sz="0" w:space="0" w:color="auto"/>
                        <w:left w:val="none" w:sz="0" w:space="0" w:color="auto"/>
                        <w:bottom w:val="none" w:sz="0" w:space="0" w:color="auto"/>
                        <w:right w:val="none" w:sz="0" w:space="0" w:color="auto"/>
                      </w:divBdr>
                      <w:divsChild>
                        <w:div w:id="186721016">
                          <w:marLeft w:val="0"/>
                          <w:marRight w:val="0"/>
                          <w:marTop w:val="0"/>
                          <w:marBottom w:val="0"/>
                          <w:divBdr>
                            <w:top w:val="none" w:sz="0" w:space="0" w:color="auto"/>
                            <w:left w:val="none" w:sz="0" w:space="0" w:color="auto"/>
                            <w:bottom w:val="none" w:sz="0" w:space="0" w:color="auto"/>
                            <w:right w:val="none" w:sz="0" w:space="0" w:color="auto"/>
                          </w:divBdr>
                          <w:divsChild>
                            <w:div w:id="2044553844">
                              <w:marLeft w:val="0"/>
                              <w:marRight w:val="0"/>
                              <w:marTop w:val="0"/>
                              <w:marBottom w:val="0"/>
                              <w:divBdr>
                                <w:top w:val="none" w:sz="0" w:space="0" w:color="auto"/>
                                <w:left w:val="none" w:sz="0" w:space="0" w:color="auto"/>
                                <w:bottom w:val="none" w:sz="0" w:space="0" w:color="auto"/>
                                <w:right w:val="none" w:sz="0" w:space="0" w:color="auto"/>
                              </w:divBdr>
                              <w:divsChild>
                                <w:div w:id="708575836">
                                  <w:marLeft w:val="0"/>
                                  <w:marRight w:val="0"/>
                                  <w:marTop w:val="0"/>
                                  <w:marBottom w:val="0"/>
                                  <w:divBdr>
                                    <w:top w:val="none" w:sz="0" w:space="0" w:color="auto"/>
                                    <w:left w:val="none" w:sz="0" w:space="0" w:color="auto"/>
                                    <w:bottom w:val="none" w:sz="0" w:space="0" w:color="auto"/>
                                    <w:right w:val="none" w:sz="0" w:space="0" w:color="auto"/>
                                  </w:divBdr>
                                  <w:divsChild>
                                    <w:div w:id="1662075379">
                                      <w:marLeft w:val="0"/>
                                      <w:marRight w:val="0"/>
                                      <w:marTop w:val="0"/>
                                      <w:marBottom w:val="0"/>
                                      <w:divBdr>
                                        <w:top w:val="none" w:sz="0" w:space="0" w:color="auto"/>
                                        <w:left w:val="none" w:sz="0" w:space="0" w:color="auto"/>
                                        <w:bottom w:val="none" w:sz="0" w:space="0" w:color="auto"/>
                                        <w:right w:val="none" w:sz="0" w:space="0" w:color="auto"/>
                                      </w:divBdr>
                                      <w:divsChild>
                                        <w:div w:id="743723476">
                                          <w:marLeft w:val="0"/>
                                          <w:marRight w:val="0"/>
                                          <w:marTop w:val="0"/>
                                          <w:marBottom w:val="0"/>
                                          <w:divBdr>
                                            <w:top w:val="none" w:sz="0" w:space="0" w:color="auto"/>
                                            <w:left w:val="none" w:sz="0" w:space="0" w:color="auto"/>
                                            <w:bottom w:val="none" w:sz="0" w:space="0" w:color="auto"/>
                                            <w:right w:val="none" w:sz="0" w:space="0" w:color="auto"/>
                                          </w:divBdr>
                                          <w:divsChild>
                                            <w:div w:id="1010454338">
                                              <w:marLeft w:val="0"/>
                                              <w:marRight w:val="0"/>
                                              <w:marTop w:val="0"/>
                                              <w:marBottom w:val="0"/>
                                              <w:divBdr>
                                                <w:top w:val="none" w:sz="0" w:space="0" w:color="auto"/>
                                                <w:left w:val="none" w:sz="0" w:space="0" w:color="auto"/>
                                                <w:bottom w:val="none" w:sz="0" w:space="0" w:color="auto"/>
                                                <w:right w:val="none" w:sz="0" w:space="0" w:color="auto"/>
                                              </w:divBdr>
                                            </w:div>
                                          </w:divsChild>
                                        </w:div>
                                        <w:div w:id="897281521">
                                          <w:marLeft w:val="0"/>
                                          <w:marRight w:val="0"/>
                                          <w:marTop w:val="0"/>
                                          <w:marBottom w:val="0"/>
                                          <w:divBdr>
                                            <w:top w:val="none" w:sz="0" w:space="0" w:color="auto"/>
                                            <w:left w:val="none" w:sz="0" w:space="0" w:color="auto"/>
                                            <w:bottom w:val="none" w:sz="0" w:space="0" w:color="auto"/>
                                            <w:right w:val="none" w:sz="0" w:space="0" w:color="auto"/>
                                          </w:divBdr>
                                          <w:divsChild>
                                            <w:div w:id="690187803">
                                              <w:marLeft w:val="0"/>
                                              <w:marRight w:val="0"/>
                                              <w:marTop w:val="0"/>
                                              <w:marBottom w:val="0"/>
                                              <w:divBdr>
                                                <w:top w:val="none" w:sz="0" w:space="0" w:color="auto"/>
                                                <w:left w:val="none" w:sz="0" w:space="0" w:color="auto"/>
                                                <w:bottom w:val="none" w:sz="0" w:space="0" w:color="auto"/>
                                                <w:right w:val="none" w:sz="0" w:space="0" w:color="auto"/>
                                              </w:divBdr>
                                            </w:div>
                                            <w:div w:id="1507592564">
                                              <w:marLeft w:val="0"/>
                                              <w:marRight w:val="0"/>
                                              <w:marTop w:val="0"/>
                                              <w:marBottom w:val="0"/>
                                              <w:divBdr>
                                                <w:top w:val="none" w:sz="0" w:space="0" w:color="auto"/>
                                                <w:left w:val="none" w:sz="0" w:space="0" w:color="auto"/>
                                                <w:bottom w:val="none" w:sz="0" w:space="0" w:color="auto"/>
                                                <w:right w:val="none" w:sz="0" w:space="0" w:color="auto"/>
                                              </w:divBdr>
                                            </w:div>
                                          </w:divsChild>
                                        </w:div>
                                        <w:div w:id="1671643936">
                                          <w:marLeft w:val="0"/>
                                          <w:marRight w:val="0"/>
                                          <w:marTop w:val="0"/>
                                          <w:marBottom w:val="0"/>
                                          <w:divBdr>
                                            <w:top w:val="none" w:sz="0" w:space="0" w:color="auto"/>
                                            <w:left w:val="none" w:sz="0" w:space="0" w:color="auto"/>
                                            <w:bottom w:val="none" w:sz="0" w:space="0" w:color="auto"/>
                                            <w:right w:val="none" w:sz="0" w:space="0" w:color="auto"/>
                                          </w:divBdr>
                                          <w:divsChild>
                                            <w:div w:id="50272213">
                                              <w:marLeft w:val="0"/>
                                              <w:marRight w:val="0"/>
                                              <w:marTop w:val="0"/>
                                              <w:marBottom w:val="0"/>
                                              <w:divBdr>
                                                <w:top w:val="none" w:sz="0" w:space="0" w:color="auto"/>
                                                <w:left w:val="none" w:sz="0" w:space="0" w:color="auto"/>
                                                <w:bottom w:val="none" w:sz="0" w:space="0" w:color="auto"/>
                                                <w:right w:val="none" w:sz="0" w:space="0" w:color="auto"/>
                                              </w:divBdr>
                                            </w:div>
                                            <w:div w:id="1989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310559">
      <w:bodyDiv w:val="1"/>
      <w:marLeft w:val="0"/>
      <w:marRight w:val="0"/>
      <w:marTop w:val="0"/>
      <w:marBottom w:val="0"/>
      <w:divBdr>
        <w:top w:val="none" w:sz="0" w:space="0" w:color="auto"/>
        <w:left w:val="none" w:sz="0" w:space="0" w:color="auto"/>
        <w:bottom w:val="none" w:sz="0" w:space="0" w:color="auto"/>
        <w:right w:val="none" w:sz="0" w:space="0" w:color="auto"/>
      </w:divBdr>
    </w:div>
    <w:div w:id="1401247180">
      <w:bodyDiv w:val="1"/>
      <w:marLeft w:val="0"/>
      <w:marRight w:val="0"/>
      <w:marTop w:val="0"/>
      <w:marBottom w:val="0"/>
      <w:divBdr>
        <w:top w:val="none" w:sz="0" w:space="0" w:color="auto"/>
        <w:left w:val="none" w:sz="0" w:space="0" w:color="auto"/>
        <w:bottom w:val="none" w:sz="0" w:space="0" w:color="auto"/>
        <w:right w:val="none" w:sz="0" w:space="0" w:color="auto"/>
      </w:divBdr>
    </w:div>
    <w:div w:id="1535116896">
      <w:bodyDiv w:val="1"/>
      <w:marLeft w:val="0"/>
      <w:marRight w:val="0"/>
      <w:marTop w:val="0"/>
      <w:marBottom w:val="0"/>
      <w:divBdr>
        <w:top w:val="none" w:sz="0" w:space="0" w:color="auto"/>
        <w:left w:val="none" w:sz="0" w:space="0" w:color="auto"/>
        <w:bottom w:val="none" w:sz="0" w:space="0" w:color="auto"/>
        <w:right w:val="none" w:sz="0" w:space="0" w:color="auto"/>
      </w:divBdr>
    </w:div>
    <w:div w:id="1680696100">
      <w:bodyDiv w:val="1"/>
      <w:marLeft w:val="0"/>
      <w:marRight w:val="0"/>
      <w:marTop w:val="0"/>
      <w:marBottom w:val="0"/>
      <w:divBdr>
        <w:top w:val="none" w:sz="0" w:space="0" w:color="auto"/>
        <w:left w:val="none" w:sz="0" w:space="0" w:color="auto"/>
        <w:bottom w:val="none" w:sz="0" w:space="0" w:color="auto"/>
        <w:right w:val="none" w:sz="0" w:space="0" w:color="auto"/>
      </w:divBdr>
    </w:div>
    <w:div w:id="1752268280">
      <w:bodyDiv w:val="1"/>
      <w:marLeft w:val="0"/>
      <w:marRight w:val="0"/>
      <w:marTop w:val="0"/>
      <w:marBottom w:val="0"/>
      <w:divBdr>
        <w:top w:val="none" w:sz="0" w:space="0" w:color="auto"/>
        <w:left w:val="none" w:sz="0" w:space="0" w:color="auto"/>
        <w:bottom w:val="none" w:sz="0" w:space="0" w:color="auto"/>
        <w:right w:val="none" w:sz="0" w:space="0" w:color="auto"/>
      </w:divBdr>
    </w:div>
    <w:div w:id="20528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8B220-00D5-43E6-BE04-77B5527B1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7</TotalTime>
  <Pages>6</Pages>
  <Words>1778</Words>
  <Characters>9782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2014-12-08T12:56:00Z</cp:lastPrinted>
  <dcterms:created xsi:type="dcterms:W3CDTF">2015-01-22T18:56:00Z</dcterms:created>
  <dcterms:modified xsi:type="dcterms:W3CDTF">2015-01-23T19:45:00Z</dcterms:modified>
</cp:coreProperties>
</file>