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7447A7">
      <w:pPr>
        <w:spacing w:after="80"/>
        <w:ind w:right="6235" w:firstLine="0"/>
        <w:jc w:val="center"/>
        <w:rPr>
          <w:b/>
        </w:rPr>
      </w:pPr>
      <w:r w:rsidRPr="00AF7DBC">
        <w:rPr>
          <w:b/>
        </w:rPr>
        <w:t>COUR DES COMPTES</w:t>
      </w:r>
    </w:p>
    <w:p w:rsidR="00E84E46" w:rsidRPr="00AF7DBC" w:rsidRDefault="00E84E46" w:rsidP="007447A7">
      <w:pPr>
        <w:spacing w:after="80"/>
        <w:ind w:right="6235" w:firstLine="0"/>
        <w:jc w:val="center"/>
        <w:rPr>
          <w:b/>
        </w:rPr>
      </w:pPr>
      <w:r w:rsidRPr="00AF7DBC">
        <w:rPr>
          <w:b/>
        </w:rPr>
        <w:t>--------</w:t>
      </w:r>
    </w:p>
    <w:p w:rsidR="00E84E46" w:rsidRPr="00AF7DBC" w:rsidRDefault="00E84E46" w:rsidP="007447A7">
      <w:pPr>
        <w:spacing w:after="80"/>
        <w:ind w:right="6235" w:firstLine="0"/>
        <w:jc w:val="center"/>
        <w:rPr>
          <w:b/>
        </w:rPr>
      </w:pPr>
      <w:r w:rsidRPr="00AF7DBC">
        <w:rPr>
          <w:b/>
        </w:rPr>
        <w:t>QUATRIEME CHAMBRE</w:t>
      </w:r>
    </w:p>
    <w:p w:rsidR="00E84E46" w:rsidRPr="00AF7DBC" w:rsidRDefault="00E84E46" w:rsidP="007447A7">
      <w:pPr>
        <w:spacing w:after="80"/>
        <w:ind w:right="6235" w:firstLine="0"/>
        <w:jc w:val="center"/>
        <w:rPr>
          <w:b/>
        </w:rPr>
      </w:pPr>
      <w:r w:rsidRPr="00AF7DBC">
        <w:rPr>
          <w:b/>
        </w:rPr>
        <w:t>--------</w:t>
      </w:r>
    </w:p>
    <w:p w:rsidR="00E84E46" w:rsidRPr="00AF7DBC" w:rsidRDefault="00E84E46" w:rsidP="007447A7">
      <w:pPr>
        <w:spacing w:after="80"/>
        <w:ind w:right="6235" w:firstLine="0"/>
        <w:jc w:val="center"/>
        <w:rPr>
          <w:b/>
        </w:rPr>
      </w:pPr>
      <w:r w:rsidRPr="00AF7DBC">
        <w:rPr>
          <w:b/>
        </w:rPr>
        <w:t>PREMIERE SECTION</w:t>
      </w:r>
    </w:p>
    <w:p w:rsidR="00C94DCC" w:rsidRPr="00AF7DBC" w:rsidRDefault="00C94DCC" w:rsidP="007447A7">
      <w:pPr>
        <w:spacing w:after="80"/>
        <w:ind w:right="6235" w:firstLine="0"/>
        <w:jc w:val="center"/>
        <w:rPr>
          <w:b/>
        </w:rPr>
      </w:pPr>
      <w:r w:rsidRPr="00AF7DBC">
        <w:rPr>
          <w:b/>
        </w:rPr>
        <w:t>--------</w:t>
      </w:r>
    </w:p>
    <w:p w:rsidR="00E84E46" w:rsidRPr="00AF7DBC" w:rsidRDefault="00E84E46" w:rsidP="007447A7">
      <w:pPr>
        <w:spacing w:after="80"/>
        <w:ind w:right="6235" w:firstLine="0"/>
        <w:jc w:val="center"/>
        <w:rPr>
          <w:b/>
          <w:i/>
        </w:rPr>
      </w:pPr>
      <w:r w:rsidRPr="00AF7DBC">
        <w:rPr>
          <w:b/>
          <w:i/>
        </w:rPr>
        <w:t>Arrêt n°</w:t>
      </w:r>
      <w:r w:rsidR="00501435">
        <w:rPr>
          <w:b/>
          <w:i/>
        </w:rPr>
        <w:t xml:space="preserve"> 71415</w:t>
      </w:r>
    </w:p>
    <w:p w:rsidR="00E84E46" w:rsidRDefault="00E84E46" w:rsidP="00E84E46">
      <w:pPr>
        <w:spacing w:after="80"/>
      </w:pPr>
    </w:p>
    <w:p w:rsidR="00E84E46" w:rsidRPr="007447A7" w:rsidRDefault="006E5F26" w:rsidP="00501435">
      <w:pPr>
        <w:ind w:left="3686" w:firstLine="0"/>
        <w:rPr>
          <w:caps/>
        </w:rPr>
      </w:pPr>
      <w:r w:rsidRPr="007447A7">
        <w:rPr>
          <w:caps/>
        </w:rPr>
        <w:t xml:space="preserve">Commune de </w:t>
      </w:r>
      <w:r w:rsidR="00602841" w:rsidRPr="007447A7">
        <w:rPr>
          <w:caps/>
        </w:rPr>
        <w:t>Fourmies</w:t>
      </w:r>
      <w:r w:rsidR="00026A34" w:rsidRPr="007447A7">
        <w:rPr>
          <w:caps/>
        </w:rPr>
        <w:t xml:space="preserve"> </w:t>
      </w:r>
      <w:r w:rsidR="00E84E46" w:rsidRPr="007447A7">
        <w:rPr>
          <w:caps/>
        </w:rPr>
        <w:t>(</w:t>
      </w:r>
      <w:r w:rsidR="00602841" w:rsidRPr="007447A7">
        <w:rPr>
          <w:caps/>
        </w:rPr>
        <w:t>Nord</w:t>
      </w:r>
      <w:r w:rsidR="00E84E46" w:rsidRPr="007447A7">
        <w:rPr>
          <w:caps/>
        </w:rPr>
        <w:t>)</w:t>
      </w:r>
    </w:p>
    <w:p w:rsidR="00501435" w:rsidRPr="007447A7" w:rsidRDefault="00501435" w:rsidP="00501435">
      <w:pPr>
        <w:ind w:left="3686" w:firstLine="0"/>
        <w:rPr>
          <w:caps/>
        </w:rPr>
      </w:pPr>
    </w:p>
    <w:p w:rsidR="00780468" w:rsidRPr="00C94DCC" w:rsidRDefault="00780468" w:rsidP="00501435">
      <w:pPr>
        <w:ind w:left="3686" w:firstLine="0"/>
      </w:pPr>
      <w:r w:rsidRPr="00C94DCC">
        <w:t xml:space="preserve">Appel d’un jugement de la chambre régionale des </w:t>
      </w:r>
      <w:proofErr w:type="gramStart"/>
      <w:r w:rsidRPr="00C94DCC">
        <w:t>comptes</w:t>
      </w:r>
      <w:proofErr w:type="gramEnd"/>
      <w:r w:rsidRPr="00C94DCC">
        <w:t xml:space="preserve"> de Nord-Pas-de-Calais, Picardie</w:t>
      </w:r>
    </w:p>
    <w:p w:rsidR="00E84E46" w:rsidRPr="00C94DCC" w:rsidRDefault="00E84E46" w:rsidP="00501435">
      <w:pPr>
        <w:ind w:left="3686" w:firstLine="0"/>
      </w:pPr>
    </w:p>
    <w:p w:rsidR="00E84E46" w:rsidRPr="00C94DCC" w:rsidRDefault="00E84E46" w:rsidP="00501435">
      <w:pPr>
        <w:ind w:left="3686" w:firstLine="0"/>
      </w:pPr>
      <w:r w:rsidRPr="00C94DCC">
        <w:t xml:space="preserve">Rapport n° </w:t>
      </w:r>
      <w:r w:rsidR="00780468" w:rsidRPr="00C94DCC">
        <w:t>2014-632-0</w:t>
      </w:r>
    </w:p>
    <w:p w:rsidR="00E84E46" w:rsidRPr="00C94DCC" w:rsidRDefault="00E84E46" w:rsidP="00501435">
      <w:pPr>
        <w:ind w:left="3686" w:firstLine="0"/>
      </w:pPr>
    </w:p>
    <w:p w:rsidR="00E84E46" w:rsidRPr="00C94DCC" w:rsidRDefault="00E84E46" w:rsidP="00501435">
      <w:pPr>
        <w:ind w:left="3686" w:firstLine="0"/>
      </w:pPr>
      <w:r w:rsidRPr="00C94DCC">
        <w:t xml:space="preserve">Audience </w:t>
      </w:r>
      <w:r w:rsidR="00501435" w:rsidRPr="00C94DCC">
        <w:t>publique</w:t>
      </w:r>
      <w:r w:rsidR="00780468" w:rsidRPr="00C94DCC">
        <w:t xml:space="preserve"> </w:t>
      </w:r>
      <w:r w:rsidRPr="00C94DCC">
        <w:t xml:space="preserve">du </w:t>
      </w:r>
      <w:r w:rsidR="00780468" w:rsidRPr="00C94DCC">
        <w:t>13 novembre 2014</w:t>
      </w:r>
    </w:p>
    <w:p w:rsidR="00501435" w:rsidRPr="00C94DCC" w:rsidRDefault="00501435" w:rsidP="00501435">
      <w:pPr>
        <w:ind w:left="3686" w:firstLine="0"/>
      </w:pPr>
    </w:p>
    <w:p w:rsidR="00E84E46" w:rsidRPr="00C94DCC" w:rsidRDefault="00501435" w:rsidP="00501435">
      <w:pPr>
        <w:ind w:left="3686" w:firstLine="0"/>
      </w:pPr>
      <w:r w:rsidRPr="00C94DCC">
        <w:t>Lecture publique du 18 décembre 2014</w:t>
      </w:r>
    </w:p>
    <w:p w:rsidR="00C94DCC" w:rsidRDefault="00C94DCC" w:rsidP="00E84E46">
      <w:pPr>
        <w:spacing w:after="80"/>
      </w:pPr>
    </w:p>
    <w:p w:rsidR="007D3C8E" w:rsidRDefault="007D3C8E" w:rsidP="00E84E46">
      <w:pPr>
        <w:spacing w:after="80"/>
      </w:pPr>
    </w:p>
    <w:p w:rsidR="007D3C8E" w:rsidRPr="00690D05" w:rsidRDefault="007D3C8E" w:rsidP="007447A7">
      <w:pPr>
        <w:pStyle w:val="P0"/>
        <w:spacing w:after="240"/>
        <w:ind w:left="1134" w:right="-284"/>
        <w:jc w:val="center"/>
      </w:pPr>
      <w:r w:rsidRPr="00690D05">
        <w:t>REPUBLIQUE FRANÇAISE</w:t>
      </w:r>
    </w:p>
    <w:p w:rsidR="007D3C8E" w:rsidRPr="00690D05" w:rsidRDefault="007D3C8E" w:rsidP="007447A7">
      <w:pPr>
        <w:pStyle w:val="P0"/>
        <w:spacing w:after="360"/>
        <w:ind w:left="1134" w:right="-284"/>
        <w:jc w:val="center"/>
      </w:pPr>
      <w:r w:rsidRPr="00690D05">
        <w:t>AU NOM DU PEUPLE FRANÇAIS</w:t>
      </w:r>
    </w:p>
    <w:p w:rsidR="007D3C8E" w:rsidRPr="00690D05" w:rsidRDefault="007D3C8E" w:rsidP="007447A7">
      <w:pPr>
        <w:pStyle w:val="P0"/>
        <w:spacing w:after="120"/>
        <w:ind w:left="1134" w:right="-284"/>
        <w:jc w:val="center"/>
      </w:pPr>
      <w:r w:rsidRPr="00690D05">
        <w:t>LA COUR DES COMPTES a rendu l’arrêt suivant :</w:t>
      </w:r>
    </w:p>
    <w:p w:rsidR="00E84E46" w:rsidRDefault="00E84E46" w:rsidP="007D3C8E">
      <w:pPr>
        <w:spacing w:after="80"/>
      </w:pPr>
    </w:p>
    <w:p w:rsidR="00E84E46" w:rsidRPr="00484671" w:rsidRDefault="00E84E46" w:rsidP="007D3C8E">
      <w:pPr>
        <w:spacing w:after="240"/>
        <w:ind w:left="1134" w:firstLine="567"/>
      </w:pPr>
      <w:r w:rsidRPr="00484671">
        <w:t>L</w:t>
      </w:r>
      <w:r w:rsidR="00C95D53">
        <w:t>A</w:t>
      </w:r>
      <w:r w:rsidRPr="00484671">
        <w:t xml:space="preserve"> COUR,</w:t>
      </w:r>
    </w:p>
    <w:p w:rsidR="004B784F" w:rsidRPr="007F534A" w:rsidRDefault="004B784F" w:rsidP="003B7AB5">
      <w:pPr>
        <w:spacing w:after="480"/>
        <w:ind w:left="1134" w:firstLine="567"/>
      </w:pPr>
      <w:r>
        <w:t xml:space="preserve">Vu </w:t>
      </w:r>
      <w:r w:rsidR="006E5F26">
        <w:t>l</w:t>
      </w:r>
      <w:r w:rsidR="00501435">
        <w:t xml:space="preserve">a requête, enregistrée le 22 avril 2014 au greffe </w:t>
      </w:r>
      <w:r w:rsidR="006E5F26">
        <w:t>de la chambre régionale des comptes</w:t>
      </w:r>
      <w:r w:rsidR="00BF32ED">
        <w:t xml:space="preserve"> de</w:t>
      </w:r>
      <w:r w:rsidR="006E5F26">
        <w:t xml:space="preserve"> </w:t>
      </w:r>
      <w:r w:rsidR="00602841">
        <w:t>Nord-Pas-de-Calais, Picardie</w:t>
      </w:r>
      <w:r w:rsidR="00501435">
        <w:t xml:space="preserve">, par laquelle </w:t>
      </w:r>
      <w:r w:rsidR="005D0959">
        <w:t>M</w:t>
      </w:r>
      <w:r w:rsidR="005D0959" w:rsidRPr="007447A7">
        <w:rPr>
          <w:vertAlign w:val="superscript"/>
        </w:rPr>
        <w:t>me</w:t>
      </w:r>
      <w:r w:rsidR="005D0959">
        <w:t xml:space="preserve"> X</w:t>
      </w:r>
      <w:r w:rsidR="00501435">
        <w:t xml:space="preserve">, </w:t>
      </w:r>
      <w:r w:rsidR="00026A34">
        <w:t xml:space="preserve">comptable de la commune de Fourmies, </w:t>
      </w:r>
      <w:r w:rsidR="00501435">
        <w:t>a élevé appel du jugement n° 2014-0001 du 28</w:t>
      </w:r>
      <w:r w:rsidR="007447A7">
        <w:t xml:space="preserve"> </w:t>
      </w:r>
      <w:r w:rsidR="00501435">
        <w:t>janvier 2014 par lequel ladite chambre l’a constituée</w:t>
      </w:r>
      <w:r w:rsidR="006E5F26">
        <w:t xml:space="preserve"> débitrice </w:t>
      </w:r>
      <w:r w:rsidR="00501435">
        <w:t xml:space="preserve">des deniers de la commune pour la </w:t>
      </w:r>
      <w:r w:rsidR="006E5F26">
        <w:t xml:space="preserve">somme de </w:t>
      </w:r>
      <w:r w:rsidR="00602841">
        <w:t>2 206,72</w:t>
      </w:r>
      <w:r w:rsidR="006E5F26">
        <w:t xml:space="preserve"> €</w:t>
      </w:r>
      <w:r w:rsidR="00501435">
        <w:t>, augmentée des intérêts de droit, à compter du 2</w:t>
      </w:r>
      <w:r w:rsidR="007447A7">
        <w:t xml:space="preserve"> </w:t>
      </w:r>
      <w:r w:rsidR="00501435">
        <w:t>octobre 2013</w:t>
      </w:r>
      <w:r>
        <w:t> ;</w:t>
      </w:r>
    </w:p>
    <w:p w:rsidR="00501435" w:rsidRDefault="006E5F26" w:rsidP="003B7AB5">
      <w:pPr>
        <w:spacing w:after="480"/>
        <w:ind w:left="1134" w:firstLine="567"/>
      </w:pPr>
      <w:r>
        <w:t>Vu l</w:t>
      </w:r>
      <w:r w:rsidR="00501435">
        <w:t>e réquisitoire n° 2014-70 du Procureur général du 6 juin 2014, transmettant la requête précitée ;</w:t>
      </w:r>
    </w:p>
    <w:p w:rsidR="006E5F26" w:rsidRDefault="006E5F26" w:rsidP="003B7AB5">
      <w:pPr>
        <w:spacing w:after="480"/>
        <w:ind w:left="1134" w:firstLine="567"/>
      </w:pPr>
      <w:r w:rsidRPr="007F534A">
        <w:t>Vu</w:t>
      </w:r>
      <w:r w:rsidRPr="00484671">
        <w:t xml:space="preserve"> les pièces de la procédure suivie en première instance</w:t>
      </w:r>
      <w:r w:rsidR="007447A7">
        <w:t> ;</w:t>
      </w:r>
    </w:p>
    <w:p w:rsidR="00E84E46" w:rsidRPr="007F534A" w:rsidRDefault="00E84E46" w:rsidP="003B7AB5">
      <w:pPr>
        <w:spacing w:after="480"/>
        <w:ind w:left="1134" w:firstLine="567"/>
      </w:pPr>
      <w:r w:rsidRPr="007F534A">
        <w:t>Vu le code des juridictions financières ;</w:t>
      </w:r>
    </w:p>
    <w:p w:rsidR="00E84E46" w:rsidRDefault="00E84E46" w:rsidP="003B7AB5">
      <w:pPr>
        <w:spacing w:after="480"/>
        <w:ind w:left="1134" w:firstLine="567"/>
      </w:pPr>
      <w:r w:rsidRPr="007F534A">
        <w:t>Vu l’article 60 de la loi de finances n° 63-156 du 23 février 1963 ;</w:t>
      </w:r>
    </w:p>
    <w:p w:rsidR="00501435" w:rsidRPr="007447A7" w:rsidRDefault="00501435" w:rsidP="00501435">
      <w:pPr>
        <w:pStyle w:val="PS"/>
        <w:spacing w:after="360"/>
        <w:ind w:left="1134" w:firstLine="567"/>
        <w:rPr>
          <w:rFonts w:ascii="Times New Roman" w:hAnsi="Times New Roman"/>
          <w:szCs w:val="24"/>
        </w:rPr>
      </w:pPr>
      <w:r w:rsidRPr="007447A7">
        <w:rPr>
          <w:rFonts w:ascii="Times New Roman" w:hAnsi="Times New Roman"/>
          <w:szCs w:val="24"/>
        </w:rPr>
        <w:t>Vu le décret n° 2012-1386 du 10 décembre 2012 portant application du deuxième alinéa du VI de l’article 60 de la loi de finances n° 63-156 du 23 février 1963 modifiée, dans sa rédaction issue de l’article 90 de la loi n° 2011-1978 du 28</w:t>
      </w:r>
      <w:r w:rsidR="00C95D53" w:rsidRPr="007447A7">
        <w:rPr>
          <w:rFonts w:ascii="Times New Roman" w:hAnsi="Times New Roman"/>
          <w:szCs w:val="24"/>
        </w:rPr>
        <w:t> </w:t>
      </w:r>
      <w:r w:rsidRPr="007447A7">
        <w:rPr>
          <w:rFonts w:ascii="Times New Roman" w:hAnsi="Times New Roman"/>
          <w:szCs w:val="24"/>
        </w:rPr>
        <w:t>décembre 2011 de finances rectificative pour 2011 ;</w:t>
      </w:r>
    </w:p>
    <w:p w:rsidR="00501435" w:rsidRPr="007447A7" w:rsidRDefault="00501435" w:rsidP="0072471A">
      <w:pPr>
        <w:pStyle w:val="PS"/>
        <w:spacing w:after="360"/>
        <w:ind w:left="1134" w:firstLine="567"/>
        <w:rPr>
          <w:rFonts w:ascii="Times New Roman" w:hAnsi="Times New Roman"/>
          <w:szCs w:val="24"/>
        </w:rPr>
        <w:sectPr w:rsidR="00501435" w:rsidRPr="007447A7" w:rsidSect="00C95D53">
          <w:headerReference w:type="even" r:id="rId9"/>
          <w:headerReference w:type="default" r:id="rId10"/>
          <w:footerReference w:type="even" r:id="rId11"/>
          <w:footerReference w:type="default" r:id="rId12"/>
          <w:pgSz w:w="11906" w:h="16838"/>
          <w:pgMar w:top="851" w:right="1418" w:bottom="567" w:left="1418" w:header="709" w:footer="709" w:gutter="0"/>
          <w:cols w:space="708"/>
          <w:titlePg/>
          <w:docGrid w:linePitch="360"/>
        </w:sectPr>
      </w:pPr>
    </w:p>
    <w:p w:rsidR="00E84E46" w:rsidRPr="00484671" w:rsidRDefault="00E84E46" w:rsidP="003B7AB5">
      <w:pPr>
        <w:spacing w:after="480"/>
        <w:ind w:left="1134" w:firstLine="567"/>
      </w:pPr>
      <w:r w:rsidRPr="007F534A">
        <w:lastRenderedPageBreak/>
        <w:t xml:space="preserve">Vu </w:t>
      </w:r>
      <w:r w:rsidRPr="00484671">
        <w:t>le décret n° 62-1587 du 29 décembre 1962 modifié portant règlement génér</w:t>
      </w:r>
      <w:r w:rsidR="00185873">
        <w:t>al sur la comptabilité publique</w:t>
      </w:r>
      <w:r w:rsidR="003B7AB5">
        <w:t>, en vigueur au moment des faits</w:t>
      </w:r>
      <w:r w:rsidRPr="00484671">
        <w:t> ;</w:t>
      </w:r>
    </w:p>
    <w:p w:rsidR="00E84E46" w:rsidRPr="00484671" w:rsidRDefault="00E84E46" w:rsidP="003B7AB5">
      <w:pPr>
        <w:spacing w:after="480"/>
        <w:ind w:left="1134" w:firstLine="567"/>
      </w:pPr>
      <w:r w:rsidRPr="007F534A">
        <w:t xml:space="preserve">Vu le rapport de M. </w:t>
      </w:r>
      <w:r w:rsidR="003B7AB5">
        <w:t>Yves Rolland</w:t>
      </w:r>
      <w:r>
        <w:t>, conseiller maître</w:t>
      </w:r>
      <w:r w:rsidRPr="00484671">
        <w:t> ;</w:t>
      </w:r>
    </w:p>
    <w:p w:rsidR="00E84E46" w:rsidRPr="007F534A" w:rsidRDefault="00E84E46" w:rsidP="003B7AB5">
      <w:pPr>
        <w:spacing w:after="480"/>
        <w:ind w:left="1134" w:firstLine="567"/>
      </w:pPr>
      <w:r w:rsidRPr="007F534A">
        <w:t xml:space="preserve">Vu les conclusions du Procureur général n° </w:t>
      </w:r>
      <w:r w:rsidR="008E386C">
        <w:t>591</w:t>
      </w:r>
      <w:r w:rsidR="006E5F26">
        <w:t xml:space="preserve"> </w:t>
      </w:r>
      <w:r w:rsidRPr="007F534A">
        <w:t xml:space="preserve">du </w:t>
      </w:r>
      <w:r w:rsidR="008E386C">
        <w:t>17 septembre</w:t>
      </w:r>
      <w:r w:rsidR="00376AB2">
        <w:t xml:space="preserve"> 2014 </w:t>
      </w:r>
      <w:r w:rsidRPr="007F534A">
        <w:t>;</w:t>
      </w:r>
    </w:p>
    <w:p w:rsidR="00E84E46" w:rsidRPr="00376AB2" w:rsidRDefault="00E84E46" w:rsidP="003B7AB5">
      <w:pPr>
        <w:spacing w:after="480"/>
        <w:ind w:left="1134" w:firstLine="567"/>
      </w:pPr>
      <w:r w:rsidRPr="007F534A">
        <w:t>Entendu, lors de l’audience publique de ce jour, M.</w:t>
      </w:r>
      <w:r w:rsidR="001C075C">
        <w:t> Yves</w:t>
      </w:r>
      <w:r w:rsidRPr="007F534A">
        <w:t xml:space="preserve"> </w:t>
      </w:r>
      <w:r>
        <w:t>R</w:t>
      </w:r>
      <w:r w:rsidR="003B7AB5">
        <w:t>olland</w:t>
      </w:r>
      <w:r w:rsidRPr="007F534A">
        <w:t xml:space="preserve">, en son </w:t>
      </w:r>
      <w:proofErr w:type="gramStart"/>
      <w:r w:rsidRPr="007F534A">
        <w:t>r</w:t>
      </w:r>
      <w:r w:rsidRPr="00484671">
        <w:t>apport</w:t>
      </w:r>
      <w:proofErr w:type="gramEnd"/>
      <w:r w:rsidRPr="00484671">
        <w:t xml:space="preserve">, M. </w:t>
      </w:r>
      <w:r w:rsidR="003B7AB5">
        <w:t xml:space="preserve">Christian </w:t>
      </w:r>
      <w:proofErr w:type="spellStart"/>
      <w:r w:rsidR="003B7AB5">
        <w:t>Michaut</w:t>
      </w:r>
      <w:proofErr w:type="spellEnd"/>
      <w:r w:rsidRPr="007F534A">
        <w:t>, avocat général, en les conclusions du ministère public</w:t>
      </w:r>
      <w:r w:rsidRPr="00376AB2">
        <w:t> ;</w:t>
      </w:r>
    </w:p>
    <w:p w:rsidR="00E84E46" w:rsidRPr="00484671" w:rsidRDefault="00E84E46" w:rsidP="003B7AB5">
      <w:pPr>
        <w:spacing w:after="480"/>
        <w:ind w:left="1134" w:firstLine="567"/>
      </w:pPr>
      <w:r w:rsidRPr="007F534A">
        <w:t xml:space="preserve">Entendu, en délibéré, M. </w:t>
      </w:r>
      <w:r w:rsidR="003B7AB5">
        <w:t xml:space="preserve">Jean-Pierre </w:t>
      </w:r>
      <w:proofErr w:type="spellStart"/>
      <w:r w:rsidR="003B7AB5">
        <w:t>Lafaure</w:t>
      </w:r>
      <w:proofErr w:type="spellEnd"/>
      <w:r w:rsidR="004B784F">
        <w:t>, conseiller maître</w:t>
      </w:r>
      <w:r w:rsidRPr="00484671">
        <w:t>, en ses observations ;</w:t>
      </w:r>
    </w:p>
    <w:p w:rsidR="00741460" w:rsidRDefault="006E5F26" w:rsidP="003B7AB5">
      <w:pPr>
        <w:spacing w:after="480"/>
        <w:ind w:left="1134" w:firstLine="567"/>
        <w:rPr>
          <w:rStyle w:val="Accentuation"/>
        </w:rPr>
      </w:pPr>
      <w:r>
        <w:t xml:space="preserve">Attendu que la chambre régionale des comptes de </w:t>
      </w:r>
      <w:r w:rsidR="00602841">
        <w:t>Nord-Pas-de-Calais, Picardie</w:t>
      </w:r>
      <w:r>
        <w:t xml:space="preserve"> a constitué </w:t>
      </w:r>
      <w:r w:rsidR="005D0959">
        <w:t>M</w:t>
      </w:r>
      <w:r w:rsidR="005D0959" w:rsidRPr="007447A7">
        <w:rPr>
          <w:vertAlign w:val="superscript"/>
        </w:rPr>
        <w:t>me</w:t>
      </w:r>
      <w:r w:rsidR="005D0959">
        <w:t xml:space="preserve"> X</w:t>
      </w:r>
      <w:r>
        <w:t xml:space="preserve"> débitrice de la somme de </w:t>
      </w:r>
      <w:r w:rsidR="00602841">
        <w:t>2 206,72</w:t>
      </w:r>
      <w:r>
        <w:t xml:space="preserve"> € pour avoir payé</w:t>
      </w:r>
      <w:r w:rsidR="00B16EEE">
        <w:t xml:space="preserve">, </w:t>
      </w:r>
      <w:r w:rsidR="00602841">
        <w:t>sur les exercices 2008 à 2011</w:t>
      </w:r>
      <w:r w:rsidR="00B16EEE">
        <w:t>,</w:t>
      </w:r>
      <w:r>
        <w:t xml:space="preserve"> un</w:t>
      </w:r>
      <w:r w:rsidR="00602841">
        <w:t xml:space="preserve">e nouvelle bonification indiciaire (NBI) à un agent titulaire de la commune mis à disposition du syndicat intercommunal du canton de Trélon alors que </w:t>
      </w:r>
      <w:r w:rsidR="00825C0B">
        <w:t xml:space="preserve">le paiement de </w:t>
      </w:r>
      <w:r w:rsidR="00602841">
        <w:t>cette prime, que ledit agent percevait depuis 1993, aurait dû cesser au moment de sa mise à disposition</w:t>
      </w:r>
      <w:r w:rsidR="003B7AB5">
        <w:t> ; qu’en effet</w:t>
      </w:r>
      <w:r w:rsidR="00602841">
        <w:t xml:space="preserve"> la NBI est attachée à certains emplois comportant l'exercice d'une responsabilité ou d'une technicité particulière et cesse d'être versée lorsque l'agent n'exerce plus les fonctions y ouvrant droit</w:t>
      </w:r>
      <w:r>
        <w:t> ;</w:t>
      </w:r>
      <w:r w:rsidR="00602841">
        <w:t xml:space="preserve"> que </w:t>
      </w:r>
      <w:r w:rsidR="00825C0B">
        <w:t xml:space="preserve">le jugement est motivé par </w:t>
      </w:r>
      <w:r w:rsidR="00602841">
        <w:t>le fait que</w:t>
      </w:r>
      <w:r w:rsidR="00602841" w:rsidRPr="00602841">
        <w:t xml:space="preserve"> </w:t>
      </w:r>
      <w:r w:rsidR="00602841">
        <w:t xml:space="preserve">si la commune de Fourmies </w:t>
      </w:r>
      <w:r w:rsidR="00825C0B">
        <w:t>« </w:t>
      </w:r>
      <w:r w:rsidR="00602841" w:rsidRPr="00825C0B">
        <w:rPr>
          <w:i/>
        </w:rPr>
        <w:t>n'a pas subi de préjudice financier direct compte tenu du remboursement de la dépense par le syndicat intercommunal</w:t>
      </w:r>
      <w:r w:rsidR="00825C0B" w:rsidRPr="00825C0B">
        <w:rPr>
          <w:i/>
        </w:rPr>
        <w:t xml:space="preserve"> précité</w:t>
      </w:r>
      <w:r w:rsidR="00825C0B">
        <w:t> »</w:t>
      </w:r>
      <w:r w:rsidR="00602841" w:rsidRPr="00825C0B">
        <w:t xml:space="preserve">, </w:t>
      </w:r>
      <w:r w:rsidR="00825C0B">
        <w:t>« </w:t>
      </w:r>
      <w:r w:rsidR="00602841" w:rsidRPr="00825C0B">
        <w:rPr>
          <w:i/>
        </w:rPr>
        <w:t>un préjudice financier indirect est résulté du manquement du comptable</w:t>
      </w:r>
      <w:r w:rsidR="00825C0B">
        <w:t> » car</w:t>
      </w:r>
      <w:r w:rsidR="00602841" w:rsidRPr="00825C0B">
        <w:t xml:space="preserve"> le </w:t>
      </w:r>
      <w:r w:rsidR="00825C0B">
        <w:t xml:space="preserve">paiement </w:t>
      </w:r>
      <w:r w:rsidR="00602841">
        <w:t xml:space="preserve">de cette NBI </w:t>
      </w:r>
      <w:r w:rsidR="0056582C">
        <w:t>a majoré</w:t>
      </w:r>
      <w:r w:rsidR="00602841" w:rsidRPr="00442F29">
        <w:rPr>
          <w:rStyle w:val="Accentuation"/>
        </w:rPr>
        <w:t xml:space="preserve"> </w:t>
      </w:r>
      <w:r w:rsidR="00602841">
        <w:rPr>
          <w:rStyle w:val="Accentuation"/>
        </w:rPr>
        <w:t>« </w:t>
      </w:r>
      <w:r w:rsidR="00602841" w:rsidRPr="00442F29">
        <w:rPr>
          <w:rStyle w:val="Accentuation"/>
        </w:rPr>
        <w:t>anormalement la participation de la commune au budget intercommunal dont elle est le principal contributeur</w:t>
      </w:r>
      <w:r w:rsidR="00602841">
        <w:rPr>
          <w:rStyle w:val="Accentuation"/>
        </w:rPr>
        <w:t> »</w:t>
      </w:r>
      <w:r w:rsidR="0056582C">
        <w:rPr>
          <w:rStyle w:val="Accentuation"/>
        </w:rPr>
        <w:t xml:space="preserve"> ; </w:t>
      </w:r>
      <w:r w:rsidR="0056582C" w:rsidRPr="00F51E8D">
        <w:rPr>
          <w:rStyle w:val="Accentuation"/>
          <w:i w:val="0"/>
        </w:rPr>
        <w:t>qu’il conclut que</w:t>
      </w:r>
      <w:r w:rsidR="0056582C">
        <w:rPr>
          <w:rStyle w:val="Accentuation"/>
        </w:rPr>
        <w:t xml:space="preserve"> « le manquement du comptable </w:t>
      </w:r>
      <w:r w:rsidR="00825C0B" w:rsidRPr="0056582C">
        <w:rPr>
          <w:rStyle w:val="Accentuation"/>
        </w:rPr>
        <w:t>a entraîné un préjudice financier pour la commune</w:t>
      </w:r>
      <w:r w:rsidR="0056582C">
        <w:rPr>
          <w:rStyle w:val="Accentuation"/>
          <w:i w:val="0"/>
        </w:rPr>
        <w:t> »</w:t>
      </w:r>
      <w:r w:rsidR="007447A7">
        <w:rPr>
          <w:rStyle w:val="Accentuation"/>
          <w:i w:val="0"/>
        </w:rPr>
        <w:t> ;</w:t>
      </w:r>
    </w:p>
    <w:p w:rsidR="00B57505" w:rsidRDefault="003B7AB5" w:rsidP="003B7AB5">
      <w:pPr>
        <w:spacing w:after="480"/>
        <w:ind w:left="1134" w:firstLine="567"/>
      </w:pPr>
      <w:r w:rsidRPr="003B7AB5">
        <w:t xml:space="preserve">Attendu que </w:t>
      </w:r>
      <w:r w:rsidR="005D0959">
        <w:t>M</w:t>
      </w:r>
      <w:r w:rsidR="005D0959" w:rsidRPr="007447A7">
        <w:rPr>
          <w:vertAlign w:val="superscript"/>
        </w:rPr>
        <w:t>me</w:t>
      </w:r>
      <w:r w:rsidR="005D0959">
        <w:t xml:space="preserve"> X</w:t>
      </w:r>
      <w:r w:rsidR="00825C0B">
        <w:t xml:space="preserve"> </w:t>
      </w:r>
      <w:r w:rsidR="0072471A">
        <w:t>dans sa requête</w:t>
      </w:r>
      <w:r w:rsidR="00825C0B">
        <w:t xml:space="preserve"> conteste </w:t>
      </w:r>
      <w:r w:rsidR="00877592">
        <w:t xml:space="preserve">que les paiements litigieux </w:t>
      </w:r>
      <w:r w:rsidR="00825C0B">
        <w:t>ai</w:t>
      </w:r>
      <w:r w:rsidR="00877592">
        <w:t>en</w:t>
      </w:r>
      <w:r w:rsidR="00825C0B">
        <w:t>t causé un préjudice financier à la commune ;</w:t>
      </w:r>
      <w:r>
        <w:t xml:space="preserve"> </w:t>
      </w:r>
      <w:r w:rsidR="00877592" w:rsidRPr="00877592">
        <w:t xml:space="preserve">qu’elle ne conteste pas </w:t>
      </w:r>
      <w:r w:rsidR="00877592">
        <w:t xml:space="preserve">en revanche </w:t>
      </w:r>
      <w:r w:rsidR="00877592" w:rsidRPr="00877592">
        <w:t>avoir manqué à ses obligations de contrôles et engagé ainsi sa responsabilité personnelle et pécuniaire</w:t>
      </w:r>
      <w:r w:rsidR="00877592">
        <w:t xml:space="preserve">, puisqu’elle conclut en demandant à la Cour, de fixer </w:t>
      </w:r>
      <w:r w:rsidR="00877592" w:rsidRPr="00877592">
        <w:rPr>
          <w:i/>
        </w:rPr>
        <w:t>a minima</w:t>
      </w:r>
      <w:r w:rsidR="00877592">
        <w:t xml:space="preserve"> la somme laissée à sa charge </w:t>
      </w:r>
      <w:r w:rsidR="00877592" w:rsidRPr="00877592">
        <w:t>;</w:t>
      </w:r>
    </w:p>
    <w:p w:rsidR="00877592" w:rsidRPr="00877592" w:rsidRDefault="00877592" w:rsidP="003B7AB5">
      <w:pPr>
        <w:spacing w:after="480"/>
        <w:ind w:left="1134" w:firstLine="567"/>
        <w:rPr>
          <w:b/>
          <w:i/>
        </w:rPr>
      </w:pPr>
      <w:r w:rsidRPr="00877592">
        <w:rPr>
          <w:b/>
          <w:i/>
        </w:rPr>
        <w:t>Sur le préjudice financier</w:t>
      </w:r>
    </w:p>
    <w:p w:rsidR="006E5F26" w:rsidRDefault="00B57505" w:rsidP="003B7AB5">
      <w:pPr>
        <w:spacing w:after="480"/>
        <w:ind w:left="1134" w:firstLine="567"/>
      </w:pPr>
      <w:r>
        <w:t xml:space="preserve">Attendu </w:t>
      </w:r>
      <w:r w:rsidR="00877592">
        <w:t xml:space="preserve">que l’appelante fait valoir notamment </w:t>
      </w:r>
      <w:r w:rsidR="00277375">
        <w:t xml:space="preserve">que </w:t>
      </w:r>
      <w:r w:rsidR="00877592">
        <w:t>« </w:t>
      </w:r>
      <w:r w:rsidR="00277375" w:rsidRPr="00877592">
        <w:rPr>
          <w:i/>
        </w:rPr>
        <w:t xml:space="preserve">la réglementation se rapportant à la responsabilité des comptables publics ne prévoit pas que puissent être sanctionnés des manquements ayant entraîné des préjudices financiers </w:t>
      </w:r>
      <w:r w:rsidR="007447A7">
        <w:rPr>
          <w:i/>
        </w:rPr>
        <w:t>‟</w:t>
      </w:r>
      <w:r w:rsidR="00277375" w:rsidRPr="00877592">
        <w:rPr>
          <w:i/>
        </w:rPr>
        <w:t>indirects</w:t>
      </w:r>
      <w:r w:rsidR="007447A7">
        <w:rPr>
          <w:i/>
        </w:rPr>
        <w:t>”</w:t>
      </w:r>
      <w:r w:rsidR="00877592">
        <w:t> »</w:t>
      </w:r>
      <w:r w:rsidR="00277375">
        <w:t> ;</w:t>
      </w:r>
    </w:p>
    <w:p w:rsidR="0010584B" w:rsidRDefault="00774F44" w:rsidP="003B7AB5">
      <w:pPr>
        <w:tabs>
          <w:tab w:val="left" w:pos="2850"/>
        </w:tabs>
        <w:spacing w:after="480"/>
        <w:ind w:left="1134" w:firstLine="567"/>
        <w:rPr>
          <w:rStyle w:val="Accentuation"/>
        </w:rPr>
      </w:pPr>
      <w:r>
        <w:rPr>
          <w:rStyle w:val="Accentuation"/>
          <w:i w:val="0"/>
        </w:rPr>
        <w:lastRenderedPageBreak/>
        <w:t>Attendu</w:t>
      </w:r>
      <w:r w:rsidR="0010584B">
        <w:rPr>
          <w:rStyle w:val="Accentuation"/>
          <w:i w:val="0"/>
        </w:rPr>
        <w:t xml:space="preserve"> que selon </w:t>
      </w:r>
      <w:r w:rsidR="00452473">
        <w:rPr>
          <w:rStyle w:val="Accentuation"/>
          <w:i w:val="0"/>
        </w:rPr>
        <w:t xml:space="preserve">le VI de </w:t>
      </w:r>
      <w:r w:rsidR="0010584B">
        <w:rPr>
          <w:rStyle w:val="Accentuation"/>
          <w:i w:val="0"/>
        </w:rPr>
        <w:t>l’article 60 susvisé de la loi du 23 février 1963, « </w:t>
      </w:r>
      <w:r w:rsidR="0010584B" w:rsidRPr="0010584B">
        <w:rPr>
          <w:rStyle w:val="Accentuation"/>
        </w:rPr>
        <w:t>la responsabilité personnelle et pécuniaire prévue au I est mise en jeu par le ministre dont relève le comptable, le ministre chargé du budget ou le juge des comptes dans les conditions qui suivent</w:t>
      </w:r>
      <w:r w:rsidR="0010584B">
        <w:rPr>
          <w:rStyle w:val="Accentuation"/>
          <w:i w:val="0"/>
        </w:rPr>
        <w:t> » ; que « </w:t>
      </w:r>
      <w:r w:rsidR="0010584B" w:rsidRPr="0010584B">
        <w:rPr>
          <w:rStyle w:val="Accentuation"/>
        </w:rPr>
        <w:t>lorsque le manquement du comptable</w:t>
      </w:r>
      <w:r w:rsidR="0010584B">
        <w:rPr>
          <w:rStyle w:val="Accentuation"/>
          <w:i w:val="0"/>
        </w:rPr>
        <w:t xml:space="preserve"> […] </w:t>
      </w:r>
      <w:r w:rsidR="0010584B" w:rsidRPr="0010584B">
        <w:rPr>
          <w:rStyle w:val="Accentuation"/>
        </w:rPr>
        <w:t>n’a pas causé de préjudice financier à l’organisme public concerné, le juge des comptes peut l’obliger à s’acquitter d’une somme, arrêtée pour chaque exercice</w:t>
      </w:r>
      <w:r w:rsidR="0010584B">
        <w:rPr>
          <w:rStyle w:val="Accentuation"/>
        </w:rPr>
        <w:t>,</w:t>
      </w:r>
      <w:r w:rsidR="0010584B" w:rsidRPr="0010584B">
        <w:rPr>
          <w:rStyle w:val="Accentuation"/>
        </w:rPr>
        <w:t xml:space="preserve"> en tenant compte des circonstances de l’espèce</w:t>
      </w:r>
      <w:r w:rsidR="0010584B">
        <w:rPr>
          <w:rStyle w:val="Accentuation"/>
          <w:i w:val="0"/>
        </w:rPr>
        <w:t> » ; que « </w:t>
      </w:r>
      <w:r w:rsidR="0010584B" w:rsidRPr="0010584B">
        <w:rPr>
          <w:rStyle w:val="Accentuation"/>
        </w:rPr>
        <w:t>lorsque le manquement du comptable</w:t>
      </w:r>
      <w:r w:rsidR="0010584B">
        <w:rPr>
          <w:rStyle w:val="Accentuation"/>
          <w:i w:val="0"/>
        </w:rPr>
        <w:t xml:space="preserve"> […] </w:t>
      </w:r>
      <w:r w:rsidR="0010584B" w:rsidRPr="0010584B">
        <w:rPr>
          <w:rStyle w:val="Accentuation"/>
        </w:rPr>
        <w:t xml:space="preserve">a causé un préjudice financier à l’organisme public concerné, </w:t>
      </w:r>
      <w:r w:rsidR="0010584B" w:rsidRPr="000153D1">
        <w:rPr>
          <w:rStyle w:val="Accentuation"/>
          <w:i w:val="0"/>
        </w:rPr>
        <w:t>[…]</w:t>
      </w:r>
      <w:r w:rsidR="0010584B">
        <w:rPr>
          <w:rStyle w:val="Accentuation"/>
        </w:rPr>
        <w:t xml:space="preserve"> le comptable a l’obligation de verser </w:t>
      </w:r>
      <w:r w:rsidR="000153D1">
        <w:rPr>
          <w:rStyle w:val="Accentuation"/>
        </w:rPr>
        <w:t>immédiatement de</w:t>
      </w:r>
      <w:r w:rsidR="0010584B">
        <w:rPr>
          <w:rStyle w:val="Accentuation"/>
        </w:rPr>
        <w:t xml:space="preserve"> ses deniers </w:t>
      </w:r>
      <w:r w:rsidR="000153D1">
        <w:rPr>
          <w:rStyle w:val="Accentuation"/>
        </w:rPr>
        <w:t>personnels la somme correspondante » ;</w:t>
      </w:r>
    </w:p>
    <w:p w:rsidR="006121DC" w:rsidRDefault="006121DC" w:rsidP="003B7AB5">
      <w:pPr>
        <w:pStyle w:val="Corpsdetexte"/>
        <w:spacing w:before="0" w:after="480"/>
        <w:ind w:left="1134" w:firstLine="567"/>
      </w:pPr>
      <w:r w:rsidRPr="00A23364">
        <w:t xml:space="preserve">Attendu </w:t>
      </w:r>
      <w:r w:rsidR="00876E05" w:rsidRPr="00A23364">
        <w:t>qu’il résulte du texte précité que lorsque l’instance est ouverte devant le juge des comptes, le constat de l’existence ou non d’un préjudice financier relève de l</w:t>
      </w:r>
      <w:r w:rsidRPr="00A23364">
        <w:t xml:space="preserve">a seule </w:t>
      </w:r>
      <w:r w:rsidR="00876E05" w:rsidRPr="00A23364">
        <w:t>appréciation de ce juge</w:t>
      </w:r>
      <w:r w:rsidRPr="00A23364">
        <w:t xml:space="preserve"> ; que toutefois </w:t>
      </w:r>
      <w:r w:rsidR="00CB1749">
        <w:t xml:space="preserve">la somme correspondant au </w:t>
      </w:r>
      <w:r w:rsidRPr="00A23364">
        <w:t xml:space="preserve">préjudice financier </w:t>
      </w:r>
      <w:r w:rsidR="00CB1749">
        <w:t xml:space="preserve">ne peut être mise à la charge du comptable que si son </w:t>
      </w:r>
      <w:r w:rsidRPr="00A23364">
        <w:t>manquement est la cause d</w:t>
      </w:r>
      <w:r w:rsidR="00CB1749">
        <w:t>’un préjudice</w:t>
      </w:r>
      <w:r w:rsidR="0030091A" w:rsidRPr="00A23364">
        <w:t xml:space="preserve"> direct et certain ;</w:t>
      </w:r>
    </w:p>
    <w:p w:rsidR="009176C4" w:rsidRDefault="0056582C" w:rsidP="003B7AB5">
      <w:pPr>
        <w:pStyle w:val="Corpsdetexte"/>
        <w:spacing w:before="0" w:after="480"/>
        <w:ind w:left="1134" w:firstLine="567"/>
      </w:pPr>
      <w:r>
        <w:t xml:space="preserve">Attendu que le jugement entrepris </w:t>
      </w:r>
      <w:r w:rsidR="00CB1749">
        <w:t xml:space="preserve">a mis à la charge </w:t>
      </w:r>
      <w:r w:rsidR="000B4720">
        <w:t xml:space="preserve">de </w:t>
      </w:r>
      <w:r w:rsidR="005D0959">
        <w:t>M</w:t>
      </w:r>
      <w:r w:rsidR="005D0959" w:rsidRPr="007447A7">
        <w:rPr>
          <w:vertAlign w:val="superscript"/>
        </w:rPr>
        <w:t>me</w:t>
      </w:r>
      <w:r w:rsidR="005D0959">
        <w:t xml:space="preserve"> X</w:t>
      </w:r>
      <w:r w:rsidR="00CB1749">
        <w:t xml:space="preserve"> </w:t>
      </w:r>
      <w:r>
        <w:t>un</w:t>
      </w:r>
      <w:r w:rsidR="000B4720">
        <w:t>e somme correspondant à un</w:t>
      </w:r>
      <w:r>
        <w:t xml:space="preserve"> préjudice fina</w:t>
      </w:r>
      <w:r w:rsidR="00F51E8D">
        <w:t>n</w:t>
      </w:r>
      <w:r>
        <w:t xml:space="preserve">cier </w:t>
      </w:r>
      <w:r w:rsidR="0072471A">
        <w:t>« </w:t>
      </w:r>
      <w:r w:rsidRPr="0072471A">
        <w:rPr>
          <w:i/>
        </w:rPr>
        <w:t>indirect</w:t>
      </w:r>
      <w:r w:rsidR="0072471A">
        <w:t> »</w:t>
      </w:r>
      <w:r w:rsidR="009176C4">
        <w:t xml:space="preserve"> ; </w:t>
      </w:r>
      <w:r>
        <w:t>qu</w:t>
      </w:r>
      <w:r w:rsidR="000B006C">
        <w:t>’ainsi</w:t>
      </w:r>
      <w:r w:rsidR="00F86C31">
        <w:t xml:space="preserve"> la chambre régionale a commis une erreur de droit ; qu’il </w:t>
      </w:r>
      <w:r w:rsidR="000B006C">
        <w:t>convient</w:t>
      </w:r>
      <w:r w:rsidR="00F86C31">
        <w:t>, par conséquent,</w:t>
      </w:r>
      <w:r w:rsidR="009176C4">
        <w:t xml:space="preserve"> d’admettre le moyen de l’appelante ;</w:t>
      </w:r>
    </w:p>
    <w:p w:rsidR="0062385F" w:rsidRPr="00A70B93" w:rsidRDefault="009176C4" w:rsidP="009176C4">
      <w:pPr>
        <w:pStyle w:val="Corpsdetexte"/>
        <w:spacing w:before="0" w:after="480"/>
        <w:ind w:left="1134" w:firstLine="567"/>
      </w:pPr>
      <w:r>
        <w:t xml:space="preserve">Attendu, sans qu’il soit besoin de statuer sur les autres moyens de la requête, </w:t>
      </w:r>
      <w:r w:rsidR="000B4720">
        <w:t>qu’</w:t>
      </w:r>
      <w:r>
        <w:t>il y a lieu d’infirmer le jugement en ce qu’il</w:t>
      </w:r>
      <w:r w:rsidR="00EF72DA">
        <w:t xml:space="preserve"> a constitué </w:t>
      </w:r>
      <w:r w:rsidR="005D0959">
        <w:t>M</w:t>
      </w:r>
      <w:r w:rsidR="005D0959" w:rsidRPr="007447A7">
        <w:rPr>
          <w:vertAlign w:val="superscript"/>
        </w:rPr>
        <w:t>me</w:t>
      </w:r>
      <w:r w:rsidR="005D0959">
        <w:t xml:space="preserve"> X</w:t>
      </w:r>
      <w:r w:rsidR="00EF72DA">
        <w:t xml:space="preserve"> </w:t>
      </w:r>
      <w:r w:rsidR="00452473">
        <w:t xml:space="preserve">débitrice </w:t>
      </w:r>
      <w:r w:rsidR="00452473" w:rsidRPr="00A70B93">
        <w:t>de la somme de 2 206,72 €</w:t>
      </w:r>
      <w:r w:rsidR="0072471A" w:rsidRPr="00A70B93">
        <w:t xml:space="preserve"> à l’égard de la commune</w:t>
      </w:r>
      <w:r w:rsidR="000B006C" w:rsidRPr="00A70B93">
        <w:t xml:space="preserve"> de Fourmies</w:t>
      </w:r>
      <w:r w:rsidR="00452473" w:rsidRPr="00A70B93">
        <w:t> ;</w:t>
      </w:r>
    </w:p>
    <w:p w:rsidR="00CB1749" w:rsidRPr="00A70B93" w:rsidRDefault="00CB1749" w:rsidP="009176C4">
      <w:pPr>
        <w:pStyle w:val="Corpsdetexte"/>
        <w:spacing w:before="0" w:after="480"/>
        <w:ind w:left="1134" w:firstLine="567"/>
      </w:pPr>
      <w:r w:rsidRPr="00A70B93">
        <w:t>Attendu qu</w:t>
      </w:r>
      <w:r w:rsidR="000B4720" w:rsidRPr="00A70B93">
        <w:t>’en raison de</w:t>
      </w:r>
      <w:r w:rsidRPr="00A70B93">
        <w:t xml:space="preserve"> l'effet dévolutif de l'appel, </w:t>
      </w:r>
      <w:r w:rsidR="000B4720" w:rsidRPr="00A70B93">
        <w:t xml:space="preserve">il y a lieu </w:t>
      </w:r>
      <w:r w:rsidRPr="00A70B93">
        <w:t>de statuer au fond ;</w:t>
      </w:r>
    </w:p>
    <w:p w:rsidR="00975190" w:rsidRDefault="00525BE8" w:rsidP="009176C4">
      <w:pPr>
        <w:pStyle w:val="Corpsdetexte"/>
        <w:spacing w:before="0" w:after="480"/>
        <w:ind w:left="1134" w:firstLine="567"/>
      </w:pPr>
      <w:r w:rsidRPr="00A70B93">
        <w:t>Attendu que la NBI irrégulièrement payée par la comptable n’était pas due ; que toutefois ces paiements indus ont été intégralement remboursés à la commune de Fourmi</w:t>
      </w:r>
      <w:r w:rsidR="001C075C" w:rsidRPr="00A70B93">
        <w:t>e</w:t>
      </w:r>
      <w:r w:rsidRPr="00A70B93">
        <w:t xml:space="preserve">s par </w:t>
      </w:r>
      <w:r w:rsidR="002522A4" w:rsidRPr="00A70B93">
        <w:t xml:space="preserve">un tiers, au cas d’espèce </w:t>
      </w:r>
      <w:r w:rsidRPr="00A70B93">
        <w:t>le syndicat inte</w:t>
      </w:r>
      <w:r w:rsidR="007447A7">
        <w:t>rcommunal du canton de Trélon ;</w:t>
      </w:r>
    </w:p>
    <w:p w:rsidR="006304F8" w:rsidRPr="00A70B93" w:rsidRDefault="006304F8" w:rsidP="009176C4">
      <w:pPr>
        <w:pStyle w:val="Corpsdetexte"/>
        <w:spacing w:before="0" w:after="480"/>
        <w:ind w:left="1134" w:firstLine="567"/>
      </w:pPr>
      <w:r w:rsidRPr="00A70B93">
        <w:t>Attendu que le ministère public fait valoir</w:t>
      </w:r>
      <w:r w:rsidR="00074868" w:rsidRPr="00A70B93">
        <w:t>, dans ses conclusions,</w:t>
      </w:r>
      <w:r w:rsidRPr="00A70B93">
        <w:t xml:space="preserve"> que la </w:t>
      </w:r>
      <w:proofErr w:type="gramStart"/>
      <w:r w:rsidRPr="00A70B93">
        <w:t>commune</w:t>
      </w:r>
      <w:proofErr w:type="gramEnd"/>
      <w:r w:rsidRPr="00A70B93">
        <w:t xml:space="preserve"> de Fourmies étant le principal contributeur financier du syndicat</w:t>
      </w:r>
      <w:r w:rsidR="00CE711E" w:rsidRPr="00A70B93">
        <w:t xml:space="preserve"> intercommunal</w:t>
      </w:r>
      <w:r w:rsidRPr="00A70B93">
        <w:t>, la charge définitive de la dépense indue lui incombe, au moins en partie ;</w:t>
      </w:r>
    </w:p>
    <w:p w:rsidR="00732360" w:rsidRPr="00224E9A" w:rsidRDefault="00732360" w:rsidP="009176C4">
      <w:pPr>
        <w:pStyle w:val="Corpsdetexte"/>
        <w:spacing w:before="0" w:after="480"/>
        <w:ind w:left="1134" w:firstLine="567"/>
      </w:pPr>
      <w:r w:rsidRPr="00224E9A">
        <w:t xml:space="preserve">Attendu que le syndicat intercommunal de </w:t>
      </w:r>
      <w:proofErr w:type="spellStart"/>
      <w:r w:rsidRPr="00224E9A">
        <w:t>Trelon</w:t>
      </w:r>
      <w:proofErr w:type="spellEnd"/>
      <w:r w:rsidRPr="00224E9A">
        <w:t xml:space="preserve"> a définitivement payé une NBI qui n’était pas due</w:t>
      </w:r>
      <w:r w:rsidR="007447A7">
        <w:t> </w:t>
      </w:r>
      <w:r w:rsidRPr="00224E9A">
        <w:t>; qu’il pourra en résulter pour la commune de Fourmies, à proportion de sa participation au financement de ce syndicat, une charge définitive indue, comme</w:t>
      </w:r>
      <w:r w:rsidR="00224E9A">
        <w:t xml:space="preserve"> l’a relevé le ministère public </w:t>
      </w:r>
      <w:r w:rsidRPr="00224E9A">
        <w:t xml:space="preserve">; qu’en revanche cette charge ne serait qu’un effet indirect du manquement de la comptable qui, dès lors, ne saurait être </w:t>
      </w:r>
      <w:r w:rsidRPr="00224E9A">
        <w:lastRenderedPageBreak/>
        <w:t>retenu comme la cause d’un préjudice financier pour la commune au sens de l’article 60 de la loi de 1963 susvisée</w:t>
      </w:r>
      <w:r w:rsidR="007447A7">
        <w:t> ;</w:t>
      </w:r>
    </w:p>
    <w:p w:rsidR="00975190" w:rsidRPr="00A70B93" w:rsidRDefault="00975190" w:rsidP="009176C4">
      <w:pPr>
        <w:pStyle w:val="Corpsdetexte"/>
        <w:spacing w:before="0" w:after="480"/>
        <w:ind w:left="1134" w:firstLine="567"/>
      </w:pPr>
      <w:r>
        <w:t>Attendu que, dans ces conditions, il y a lieu de considérer que</w:t>
      </w:r>
      <w:r w:rsidRPr="00975190">
        <w:t xml:space="preserve"> le manquement de </w:t>
      </w:r>
      <w:r w:rsidR="005D0959">
        <w:t>M</w:t>
      </w:r>
      <w:r w:rsidR="005D0959" w:rsidRPr="007447A7">
        <w:rPr>
          <w:vertAlign w:val="superscript"/>
        </w:rPr>
        <w:t>me</w:t>
      </w:r>
      <w:r w:rsidR="005D0959">
        <w:t xml:space="preserve"> X</w:t>
      </w:r>
      <w:r w:rsidRPr="00975190">
        <w:t xml:space="preserve"> n’a pas causé de préjudice financier à </w:t>
      </w:r>
      <w:r>
        <w:t>la commune de Fourmies </w:t>
      </w:r>
      <w:r w:rsidRPr="00975190">
        <w:t>;</w:t>
      </w:r>
    </w:p>
    <w:p w:rsidR="009176C4" w:rsidRPr="00877592" w:rsidRDefault="00CE711E" w:rsidP="009176C4">
      <w:pPr>
        <w:spacing w:after="480"/>
        <w:ind w:left="1134" w:firstLine="567"/>
        <w:rPr>
          <w:b/>
          <w:i/>
        </w:rPr>
      </w:pPr>
      <w:r w:rsidRPr="00A70B93">
        <w:rPr>
          <w:b/>
          <w:i/>
        </w:rPr>
        <w:t>Su</w:t>
      </w:r>
      <w:r w:rsidR="009176C4" w:rsidRPr="00A70B93">
        <w:rPr>
          <w:b/>
          <w:i/>
        </w:rPr>
        <w:t>r la somme irrémissible</w:t>
      </w:r>
    </w:p>
    <w:p w:rsidR="0072471A" w:rsidRPr="007447A7" w:rsidRDefault="0072471A" w:rsidP="0072471A">
      <w:pPr>
        <w:spacing w:after="360"/>
        <w:ind w:left="1134" w:firstLine="567"/>
      </w:pPr>
      <w:r w:rsidRPr="007447A7">
        <w:t>Attendu qu’aux termes des dispositions du décret du 10 décembre 2012 susvisé, le montant maximal de la somme exigible s’élève, par exercice, au millième et demi du montant du cautionnement prévu pour le poste comptable concerné ; que ce cautionnement s’élevait à 149 000 €</w:t>
      </w:r>
      <w:r w:rsidR="00F86C31" w:rsidRPr="007447A7">
        <w:t xml:space="preserve"> pour les exercices 2008 et 2009 puis de 144 000 €</w:t>
      </w:r>
      <w:r w:rsidRPr="007447A7">
        <w:t> </w:t>
      </w:r>
      <w:r w:rsidR="00F86C31" w:rsidRPr="007447A7">
        <w:t xml:space="preserve"> pour les exercices 2010 et 2011</w:t>
      </w:r>
      <w:r w:rsidR="00AD41CE">
        <w:t> </w:t>
      </w:r>
      <w:r w:rsidRPr="007447A7">
        <w:t>; qu’au cas d’espèce, ce montant maximal est donc de 223,50 €</w:t>
      </w:r>
      <w:r w:rsidR="00F86C31" w:rsidRPr="007447A7">
        <w:t xml:space="preserve"> pour 2008 et 2009 et </w:t>
      </w:r>
      <w:r w:rsidR="000B006C" w:rsidRPr="007447A7">
        <w:t>216 €</w:t>
      </w:r>
      <w:r w:rsidR="00F86C31" w:rsidRPr="007447A7">
        <w:t xml:space="preserve"> pour 2010 et 2011</w:t>
      </w:r>
      <w:r w:rsidRPr="007447A7">
        <w:t xml:space="preserve"> ; </w:t>
      </w:r>
    </w:p>
    <w:p w:rsidR="00026A34" w:rsidRPr="007447A7" w:rsidRDefault="0072471A" w:rsidP="0072471A">
      <w:pPr>
        <w:spacing w:after="360"/>
        <w:ind w:left="1134" w:firstLine="567"/>
      </w:pPr>
      <w:r w:rsidRPr="007447A7">
        <w:t xml:space="preserve">Attendu que </w:t>
      </w:r>
      <w:r w:rsidR="00F86C31" w:rsidRPr="007447A7">
        <w:t xml:space="preserve">l’appelante avait fait valoir en première instance, dans un </w:t>
      </w:r>
      <w:r w:rsidR="000B006C" w:rsidRPr="007447A7">
        <w:t>courrier</w:t>
      </w:r>
      <w:r w:rsidR="00F86C31" w:rsidRPr="007447A7">
        <w:t xml:space="preserve"> du 7 janvier 20</w:t>
      </w:r>
      <w:r w:rsidR="00F90FAF" w:rsidRPr="007447A7">
        <w:t>1</w:t>
      </w:r>
      <w:r w:rsidR="00F86C31" w:rsidRPr="007447A7">
        <w:t>4, un</w:t>
      </w:r>
      <w:r w:rsidR="00026A34" w:rsidRPr="007447A7">
        <w:t xml:space="preserve"> sous-</w:t>
      </w:r>
      <w:r w:rsidR="00F86C31" w:rsidRPr="007447A7">
        <w:t xml:space="preserve">effectif récurrent </w:t>
      </w:r>
      <w:r w:rsidR="00026A34" w:rsidRPr="007447A7">
        <w:t xml:space="preserve">et des conditions de « bascule » vers l’application </w:t>
      </w:r>
      <w:r w:rsidR="00026A34" w:rsidRPr="007447A7">
        <w:rPr>
          <w:i/>
        </w:rPr>
        <w:t>HELIOS</w:t>
      </w:r>
      <w:r w:rsidR="00026A34" w:rsidRPr="007447A7">
        <w:t xml:space="preserve"> en 2009 particulièrement difficile</w:t>
      </w:r>
      <w:r w:rsidR="00F86C31" w:rsidRPr="007447A7">
        <w:t>s</w:t>
      </w:r>
      <w:r w:rsidR="00026A34" w:rsidRPr="007447A7">
        <w:t>, arguments appuyés par un rapport d’audit de la recette des finances de Valenciennes à l’été 2010 ;</w:t>
      </w:r>
    </w:p>
    <w:p w:rsidR="00452473" w:rsidRDefault="00026A34" w:rsidP="003B7AB5">
      <w:pPr>
        <w:pStyle w:val="Corpsdetexte"/>
        <w:spacing w:before="0" w:after="480"/>
        <w:ind w:left="1134" w:firstLine="567"/>
      </w:pPr>
      <w:r>
        <w:t xml:space="preserve">Attendu </w:t>
      </w:r>
      <w:r w:rsidR="00EF72DA">
        <w:t>qu’</w:t>
      </w:r>
      <w:r w:rsidR="00E67FD1">
        <w:t xml:space="preserve">il sera </w:t>
      </w:r>
      <w:r w:rsidR="000B006C">
        <w:t xml:space="preserve">dès lors </w:t>
      </w:r>
      <w:r w:rsidR="00E67FD1">
        <w:t xml:space="preserve">fait une </w:t>
      </w:r>
      <w:r>
        <w:t>juste</w:t>
      </w:r>
      <w:r w:rsidR="00E67FD1">
        <w:t xml:space="preserve"> appréciation des circonstances de l’es</w:t>
      </w:r>
      <w:r w:rsidR="00EF72DA">
        <w:t xml:space="preserve">pèce </w:t>
      </w:r>
      <w:r>
        <w:t xml:space="preserve">en </w:t>
      </w:r>
      <w:r w:rsidRPr="00026A34">
        <w:t>oblige</w:t>
      </w:r>
      <w:r>
        <w:t xml:space="preserve">ant </w:t>
      </w:r>
      <w:r w:rsidR="005D0959">
        <w:t>M</w:t>
      </w:r>
      <w:r w:rsidR="005D0959" w:rsidRPr="007447A7">
        <w:rPr>
          <w:vertAlign w:val="superscript"/>
        </w:rPr>
        <w:t>me</w:t>
      </w:r>
      <w:r w:rsidR="005D0959">
        <w:t xml:space="preserve"> X</w:t>
      </w:r>
      <w:r>
        <w:t xml:space="preserve"> à </w:t>
      </w:r>
      <w:r w:rsidRPr="00026A34">
        <w:t xml:space="preserve">s’acquitter d’une </w:t>
      </w:r>
      <w:r w:rsidR="00EF72DA">
        <w:t xml:space="preserve">somme </w:t>
      </w:r>
      <w:r>
        <w:t>de</w:t>
      </w:r>
      <w:r w:rsidR="00EF72DA">
        <w:t xml:space="preserve"> 100</w:t>
      </w:r>
      <w:r w:rsidR="00AD41CE">
        <w:t> </w:t>
      </w:r>
      <w:bookmarkStart w:id="0" w:name="_GoBack"/>
      <w:bookmarkEnd w:id="0"/>
      <w:r w:rsidR="00E67FD1">
        <w:t>€ p</w:t>
      </w:r>
      <w:r w:rsidR="00EF72DA">
        <w:t>our chacun des exercices 2008 à 2011,</w:t>
      </w:r>
      <w:r w:rsidR="00D753E0">
        <w:t xml:space="preserve"> </w:t>
      </w:r>
      <w:r w:rsidR="00EF72DA">
        <w:t>soit un total de 400</w:t>
      </w:r>
      <w:r w:rsidR="00E67FD1">
        <w:t xml:space="preserve"> €</w:t>
      </w:r>
      <w:r w:rsidR="007447A7">
        <w:t> ;</w:t>
      </w:r>
    </w:p>
    <w:p w:rsidR="00E84E46" w:rsidRPr="00484671" w:rsidRDefault="00E84E46" w:rsidP="003B7AB5">
      <w:pPr>
        <w:spacing w:after="480"/>
        <w:ind w:left="1134" w:firstLine="567"/>
      </w:pPr>
      <w:r w:rsidRPr="00484671">
        <w:t>Par ces motifs,</w:t>
      </w:r>
    </w:p>
    <w:p w:rsidR="00E84E46" w:rsidRPr="007F534A" w:rsidRDefault="00E84E46" w:rsidP="007447A7">
      <w:pPr>
        <w:spacing w:after="480"/>
        <w:ind w:left="1134" w:firstLine="0"/>
        <w:jc w:val="center"/>
      </w:pPr>
      <w:r w:rsidRPr="007F534A">
        <w:t>DECIDE :</w:t>
      </w:r>
    </w:p>
    <w:p w:rsidR="00185873" w:rsidRDefault="00E84E46" w:rsidP="007447A7">
      <w:pPr>
        <w:spacing w:after="480"/>
        <w:ind w:left="1134" w:firstLine="0"/>
      </w:pPr>
      <w:r w:rsidRPr="007447A7">
        <w:rPr>
          <w:u w:val="single"/>
        </w:rPr>
        <w:t xml:space="preserve">Article </w:t>
      </w:r>
      <w:r w:rsidR="001013F3" w:rsidRPr="007447A7">
        <w:rPr>
          <w:u w:val="single"/>
        </w:rPr>
        <w:t>1</w:t>
      </w:r>
      <w:r w:rsidR="001013F3" w:rsidRPr="00484671">
        <w:t xml:space="preserve"> </w:t>
      </w:r>
      <w:r w:rsidR="00A438BC">
        <w:t>–</w:t>
      </w:r>
      <w:r w:rsidR="00185873">
        <w:t xml:space="preserve"> </w:t>
      </w:r>
      <w:r w:rsidR="00452473">
        <w:t xml:space="preserve">Le jugement de la chambre régionale des comptes de Nord-Pas-de-Calais, Picardie du </w:t>
      </w:r>
      <w:r w:rsidR="00F94EF8">
        <w:t>28 janvier</w:t>
      </w:r>
      <w:r w:rsidR="00452473">
        <w:t xml:space="preserve"> 2014 est infirmé en ce qu’il a constitué </w:t>
      </w:r>
      <w:r w:rsidR="005D0959">
        <w:t>M</w:t>
      </w:r>
      <w:r w:rsidR="005D0959" w:rsidRPr="007447A7">
        <w:rPr>
          <w:vertAlign w:val="superscript"/>
        </w:rPr>
        <w:t>me</w:t>
      </w:r>
      <w:r w:rsidR="005D0959">
        <w:t xml:space="preserve"> X</w:t>
      </w:r>
      <w:r w:rsidR="00026A34">
        <w:t xml:space="preserve">, comptable de la commune de Fourmies, </w:t>
      </w:r>
      <w:r w:rsidR="00452473">
        <w:t>débitrice de la somme de 2 206,72 €</w:t>
      </w:r>
      <w:r w:rsidR="00026A34">
        <w:t xml:space="preserve"> à l’égard de cette commune</w:t>
      </w:r>
      <w:r w:rsidR="00BF32ED">
        <w:t>.</w:t>
      </w:r>
    </w:p>
    <w:p w:rsidR="00452473" w:rsidRDefault="00452473" w:rsidP="007447A7">
      <w:pPr>
        <w:spacing w:after="480"/>
        <w:ind w:left="1134" w:firstLine="0"/>
      </w:pPr>
      <w:r w:rsidRPr="007447A7">
        <w:rPr>
          <w:u w:val="single"/>
        </w:rPr>
        <w:t>Article 2</w:t>
      </w:r>
      <w:r>
        <w:t xml:space="preserve"> </w:t>
      </w:r>
      <w:r w:rsidR="00E67FD1">
        <w:t>–</w:t>
      </w:r>
      <w:r>
        <w:t xml:space="preserve"> </w:t>
      </w:r>
      <w:r w:rsidR="00EF72DA">
        <w:t>Une somme de 400</w:t>
      </w:r>
      <w:r w:rsidR="000B4720">
        <w:t> </w:t>
      </w:r>
      <w:r w:rsidR="00E67FD1">
        <w:t xml:space="preserve">€ est </w:t>
      </w:r>
      <w:r w:rsidR="00026A34">
        <w:t>mise</w:t>
      </w:r>
      <w:r w:rsidR="00E67FD1">
        <w:t xml:space="preserve"> à la charge de </w:t>
      </w:r>
      <w:r w:rsidR="005D0959">
        <w:t>M</w:t>
      </w:r>
      <w:r w:rsidR="005D0959" w:rsidRPr="007447A7">
        <w:rPr>
          <w:vertAlign w:val="superscript"/>
        </w:rPr>
        <w:t>me</w:t>
      </w:r>
      <w:r w:rsidR="005D0959">
        <w:t xml:space="preserve"> X</w:t>
      </w:r>
      <w:r w:rsidR="00E67FD1">
        <w:t>.</w:t>
      </w:r>
    </w:p>
    <w:p w:rsidR="00E84E46" w:rsidRPr="00484671" w:rsidRDefault="00E84E46" w:rsidP="007447A7">
      <w:pPr>
        <w:tabs>
          <w:tab w:val="center" w:pos="5245"/>
        </w:tabs>
        <w:spacing w:after="480"/>
        <w:ind w:left="1134" w:firstLine="0"/>
        <w:jc w:val="center"/>
      </w:pPr>
      <w:r w:rsidRPr="007F534A">
        <w:t>---</w:t>
      </w:r>
      <w:r w:rsidRPr="00484671">
        <w:t>---------</w:t>
      </w:r>
    </w:p>
    <w:p w:rsidR="00995CDA" w:rsidRDefault="00995CDA" w:rsidP="003B7AB5">
      <w:pPr>
        <w:spacing w:after="480"/>
        <w:ind w:left="1134" w:firstLine="567"/>
      </w:pPr>
    </w:p>
    <w:p w:rsidR="00995CDA" w:rsidRDefault="00995CDA" w:rsidP="003B7AB5">
      <w:pPr>
        <w:spacing w:after="480"/>
        <w:ind w:left="1134" w:firstLine="567"/>
      </w:pPr>
    </w:p>
    <w:p w:rsidR="00E84E46" w:rsidRDefault="00E84E46" w:rsidP="003B7AB5">
      <w:pPr>
        <w:spacing w:after="480"/>
        <w:ind w:left="1134" w:firstLine="567"/>
      </w:pPr>
      <w:r w:rsidRPr="007F534A">
        <w:t>Fait et jugé en la Cour des comptes, quatrième chambre, première section. Présents, M</w:t>
      </w:r>
      <w:r w:rsidR="00995CDA">
        <w:t>. </w:t>
      </w:r>
      <w:proofErr w:type="spellStart"/>
      <w:r w:rsidR="00D85975">
        <w:t>Vachia</w:t>
      </w:r>
      <w:proofErr w:type="spellEnd"/>
      <w:r w:rsidRPr="007F534A">
        <w:t xml:space="preserve">, </w:t>
      </w:r>
      <w:r w:rsidR="00D85975">
        <w:t>président</w:t>
      </w:r>
      <w:r w:rsidR="00995CDA">
        <w:t>, M</w:t>
      </w:r>
      <w:r w:rsidR="00995CDA" w:rsidRPr="007447A7">
        <w:rPr>
          <w:vertAlign w:val="superscript"/>
        </w:rPr>
        <w:t>me</w:t>
      </w:r>
      <w:r w:rsidR="00995CDA">
        <w:t> Froment-</w:t>
      </w:r>
      <w:proofErr w:type="spellStart"/>
      <w:r w:rsidR="00995CDA">
        <w:t>Meurice</w:t>
      </w:r>
      <w:proofErr w:type="spellEnd"/>
      <w:r w:rsidR="00995CDA">
        <w:t>, présidente de chambre maintenue en activité, MM. </w:t>
      </w:r>
      <w:r w:rsidR="00D85975">
        <w:t xml:space="preserve">Ganser, président de section, </w:t>
      </w:r>
      <w:proofErr w:type="spellStart"/>
      <w:r w:rsidR="00D85975">
        <w:t>Lafaure</w:t>
      </w:r>
      <w:proofErr w:type="spellEnd"/>
      <w:r w:rsidR="00D85975">
        <w:t xml:space="preserve">, </w:t>
      </w:r>
      <w:proofErr w:type="spellStart"/>
      <w:r w:rsidR="00D85975">
        <w:t>Bertucci</w:t>
      </w:r>
      <w:proofErr w:type="spellEnd"/>
      <w:r w:rsidR="00995CDA">
        <w:t xml:space="preserve"> et </w:t>
      </w:r>
      <w:r w:rsidR="00D85975">
        <w:t>M</w:t>
      </w:r>
      <w:r w:rsidR="00D85975" w:rsidRPr="007447A7">
        <w:rPr>
          <w:vertAlign w:val="superscript"/>
        </w:rPr>
        <w:t>me</w:t>
      </w:r>
      <w:r w:rsidR="007447A7">
        <w:t> </w:t>
      </w:r>
      <w:proofErr w:type="spellStart"/>
      <w:r w:rsidR="00D85975">
        <w:t>Gadriot</w:t>
      </w:r>
      <w:proofErr w:type="spellEnd"/>
      <w:r w:rsidR="00D85975">
        <w:t>-Renard,</w:t>
      </w:r>
      <w:r w:rsidRPr="00484671">
        <w:t xml:space="preserve"> conseillers maîtres.</w:t>
      </w:r>
    </w:p>
    <w:p w:rsidR="00125684" w:rsidRPr="00200B02" w:rsidRDefault="00125684" w:rsidP="007447A7">
      <w:pPr>
        <w:spacing w:after="480"/>
        <w:ind w:left="1134" w:firstLine="567"/>
      </w:pPr>
      <w:r w:rsidRPr="00200B02">
        <w:t xml:space="preserve">Signé : </w:t>
      </w:r>
      <w:r>
        <w:t>Jean-Philippe VACHIA</w:t>
      </w:r>
      <w:r w:rsidRPr="00200B02">
        <w:t xml:space="preserve"> président, et </w:t>
      </w:r>
      <w:r>
        <w:t>Annie LE BARON</w:t>
      </w:r>
      <w:r w:rsidRPr="00200B02">
        <w:t>, greffier de séance.</w:t>
      </w:r>
    </w:p>
    <w:p w:rsidR="00125684" w:rsidRDefault="00125684" w:rsidP="007447A7">
      <w:pPr>
        <w:spacing w:after="480"/>
        <w:ind w:left="1134" w:firstLine="567"/>
      </w:pPr>
      <w:r w:rsidRPr="00200B02">
        <w:t>Collationné, certifié conforme à la minute étant au greffe de la Cour des comptes.</w:t>
      </w:r>
    </w:p>
    <w:p w:rsidR="00125684" w:rsidRPr="00E337B8" w:rsidRDefault="00125684" w:rsidP="007447A7">
      <w:pPr>
        <w:spacing w:after="480"/>
        <w:ind w:left="1134" w:firstLine="567"/>
      </w:pPr>
      <w:r w:rsidRPr="00E337B8">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25684" w:rsidRPr="00200B02" w:rsidRDefault="00125684" w:rsidP="007447A7">
      <w:pPr>
        <w:spacing w:after="480"/>
        <w:ind w:left="1134" w:firstLine="567"/>
      </w:pPr>
      <w:r w:rsidRPr="00200B02">
        <w:t>Délivré par moi, secrétaire général.</w:t>
      </w:r>
    </w:p>
    <w:p w:rsidR="00125684" w:rsidRDefault="00125684" w:rsidP="00125684">
      <w:pPr>
        <w:spacing w:after="80"/>
        <w:ind w:left="567"/>
      </w:pPr>
    </w:p>
    <w:p w:rsidR="00125684" w:rsidRDefault="00125684" w:rsidP="00125684">
      <w:pPr>
        <w:spacing w:after="80"/>
        <w:ind w:left="567"/>
      </w:pPr>
    </w:p>
    <w:p w:rsidR="00125684" w:rsidRPr="007447A7" w:rsidRDefault="00125684" w:rsidP="00125684">
      <w:pPr>
        <w:pStyle w:val="PS"/>
        <w:spacing w:after="0"/>
        <w:ind w:firstLine="2410"/>
        <w:jc w:val="center"/>
        <w:rPr>
          <w:rFonts w:ascii="Times New Roman" w:hAnsi="Times New Roman"/>
          <w:b/>
          <w:bCs/>
        </w:rPr>
      </w:pPr>
      <w:r w:rsidRPr="007447A7">
        <w:rPr>
          <w:rFonts w:ascii="Times New Roman" w:hAnsi="Times New Roman"/>
          <w:b/>
          <w:bCs/>
        </w:rPr>
        <w:t>Pour le secrétaire général</w:t>
      </w:r>
    </w:p>
    <w:p w:rsidR="00125684" w:rsidRPr="007447A7" w:rsidRDefault="00125684" w:rsidP="00125684">
      <w:pPr>
        <w:pStyle w:val="PS"/>
        <w:spacing w:after="0"/>
        <w:ind w:firstLine="2410"/>
        <w:jc w:val="center"/>
        <w:rPr>
          <w:rFonts w:ascii="Times New Roman" w:hAnsi="Times New Roman"/>
          <w:b/>
          <w:bCs/>
        </w:rPr>
      </w:pPr>
      <w:proofErr w:type="gramStart"/>
      <w:r w:rsidRPr="007447A7">
        <w:rPr>
          <w:rFonts w:ascii="Times New Roman" w:hAnsi="Times New Roman"/>
          <w:b/>
          <w:bCs/>
        </w:rPr>
        <w:t>et</w:t>
      </w:r>
      <w:proofErr w:type="gramEnd"/>
      <w:r w:rsidRPr="007447A7">
        <w:rPr>
          <w:rFonts w:ascii="Times New Roman" w:hAnsi="Times New Roman"/>
          <w:b/>
          <w:bCs/>
        </w:rPr>
        <w:t xml:space="preserve"> par délégation, le chef du greffe contentieux</w:t>
      </w:r>
    </w:p>
    <w:p w:rsidR="00125684" w:rsidRPr="007447A7" w:rsidRDefault="00125684" w:rsidP="00125684">
      <w:pPr>
        <w:pStyle w:val="PS"/>
        <w:spacing w:after="720"/>
        <w:ind w:firstLine="2410"/>
        <w:jc w:val="center"/>
        <w:rPr>
          <w:rFonts w:ascii="Times New Roman" w:hAnsi="Times New Roman"/>
          <w:b/>
          <w:bCs/>
        </w:rPr>
      </w:pPr>
    </w:p>
    <w:p w:rsidR="00125684" w:rsidRPr="007447A7" w:rsidRDefault="00125684" w:rsidP="00125684">
      <w:pPr>
        <w:pStyle w:val="PS"/>
        <w:spacing w:after="1920"/>
        <w:ind w:firstLine="2410"/>
        <w:jc w:val="center"/>
        <w:rPr>
          <w:rFonts w:ascii="Times New Roman" w:hAnsi="Times New Roman"/>
          <w:b/>
          <w:bCs/>
        </w:rPr>
      </w:pPr>
      <w:r w:rsidRPr="007447A7">
        <w:rPr>
          <w:rFonts w:ascii="Times New Roman" w:hAnsi="Times New Roman"/>
          <w:b/>
          <w:bCs/>
        </w:rPr>
        <w:t xml:space="preserve">Daniel </w:t>
      </w:r>
      <w:proofErr w:type="spellStart"/>
      <w:r w:rsidRPr="007447A7">
        <w:rPr>
          <w:rFonts w:ascii="Times New Roman" w:hAnsi="Times New Roman"/>
          <w:b/>
          <w:bCs/>
        </w:rPr>
        <w:t>Férez</w:t>
      </w:r>
      <w:proofErr w:type="spellEnd"/>
      <w:r w:rsidR="00FA381B" w:rsidRPr="007447A7">
        <w:rPr>
          <w:rFonts w:ascii="Times New Roman" w:hAnsi="Times New Roman"/>
          <w:b/>
          <w:bCs/>
        </w:rPr>
        <w:t>.</w:t>
      </w:r>
    </w:p>
    <w:sectPr w:rsidR="00125684" w:rsidRPr="007447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285" w:rsidRDefault="005D6285">
      <w:r>
        <w:separator/>
      </w:r>
    </w:p>
  </w:endnote>
  <w:endnote w:type="continuationSeparator" w:id="0">
    <w:p w:rsidR="005D6285" w:rsidRDefault="005D6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8C" w:rsidRDefault="00EB3CC4" w:rsidP="00CF738C">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CF738C" w:rsidRDefault="00CF738C" w:rsidP="00CF738C">
    <w:pPr>
      <w:pStyle w:val="Pieddepage"/>
    </w:pPr>
  </w:p>
  <w:p w:rsidR="00CF738C" w:rsidRDefault="00CF738C" w:rsidP="00CF73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8C" w:rsidRDefault="00EB3CC4" w:rsidP="00CF738C">
    <w:pPr>
      <w:pStyle w:val="Pieddepage"/>
      <w:ind w:firstLine="0"/>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sidR="00AD41CE">
      <w:rPr>
        <w:rStyle w:val="Numrodepage"/>
        <w:noProof/>
      </w:rPr>
      <w:t>4</w:t>
    </w:r>
    <w:r>
      <w:rPr>
        <w:rStyle w:val="Numrodepage"/>
      </w:rPr>
      <w:fldChar w:fldCharType="end"/>
    </w:r>
  </w:p>
  <w:p w:rsidR="00CF738C" w:rsidRDefault="00CF738C" w:rsidP="00CF738C">
    <w:pPr>
      <w:pStyle w:val="Pieddepage"/>
    </w:pPr>
  </w:p>
  <w:p w:rsidR="00CF738C" w:rsidRDefault="00CF738C" w:rsidP="00CF73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285" w:rsidRDefault="005D6285">
      <w:r>
        <w:separator/>
      </w:r>
    </w:p>
  </w:footnote>
  <w:footnote w:type="continuationSeparator" w:id="0">
    <w:p w:rsidR="005D6285" w:rsidRDefault="005D6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8C" w:rsidRDefault="00EB3CC4" w:rsidP="00CF738C">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CF738C" w:rsidRDefault="00CF738C" w:rsidP="00CF738C">
    <w:pPr>
      <w:pStyle w:val="En-tte"/>
    </w:pPr>
  </w:p>
  <w:p w:rsidR="00CF738C" w:rsidRDefault="00CF738C" w:rsidP="00CF73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8C" w:rsidRDefault="00CF738C" w:rsidP="00CF738C">
    <w:pPr>
      <w:pStyle w:val="En-tte"/>
    </w:pPr>
  </w:p>
  <w:p w:rsidR="00CF738C" w:rsidRDefault="00CF738C" w:rsidP="00CF738C">
    <w:pPr>
      <w:pStyle w:val="En-tte"/>
    </w:pPr>
  </w:p>
  <w:p w:rsidR="00CF738C" w:rsidRDefault="00CF738C" w:rsidP="00CF73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153D1"/>
    <w:rsid w:val="00023E27"/>
    <w:rsid w:val="00026A34"/>
    <w:rsid w:val="000332BD"/>
    <w:rsid w:val="00037E85"/>
    <w:rsid w:val="00042619"/>
    <w:rsid w:val="00044CBF"/>
    <w:rsid w:val="00074868"/>
    <w:rsid w:val="000B006C"/>
    <w:rsid w:val="000B28B2"/>
    <w:rsid w:val="000B4720"/>
    <w:rsid w:val="000F4E03"/>
    <w:rsid w:val="0010092F"/>
    <w:rsid w:val="001013F3"/>
    <w:rsid w:val="0010584B"/>
    <w:rsid w:val="00125684"/>
    <w:rsid w:val="0015777F"/>
    <w:rsid w:val="001775D0"/>
    <w:rsid w:val="00185873"/>
    <w:rsid w:val="001A501A"/>
    <w:rsid w:val="001B44E6"/>
    <w:rsid w:val="001C075C"/>
    <w:rsid w:val="00224E9A"/>
    <w:rsid w:val="00225911"/>
    <w:rsid w:val="00244C57"/>
    <w:rsid w:val="002522A4"/>
    <w:rsid w:val="0025367A"/>
    <w:rsid w:val="00277375"/>
    <w:rsid w:val="0028185B"/>
    <w:rsid w:val="002B7CAB"/>
    <w:rsid w:val="002C289F"/>
    <w:rsid w:val="0030091A"/>
    <w:rsid w:val="00313288"/>
    <w:rsid w:val="00337C41"/>
    <w:rsid w:val="003468F5"/>
    <w:rsid w:val="00354001"/>
    <w:rsid w:val="00376AB2"/>
    <w:rsid w:val="0039313A"/>
    <w:rsid w:val="003B3CD8"/>
    <w:rsid w:val="003B7AB5"/>
    <w:rsid w:val="003C6F7D"/>
    <w:rsid w:val="00417106"/>
    <w:rsid w:val="00444851"/>
    <w:rsid w:val="004500A3"/>
    <w:rsid w:val="00452473"/>
    <w:rsid w:val="0046422B"/>
    <w:rsid w:val="00475386"/>
    <w:rsid w:val="004A78E2"/>
    <w:rsid w:val="004B5F2E"/>
    <w:rsid w:val="004B784F"/>
    <w:rsid w:val="00501435"/>
    <w:rsid w:val="00512E7A"/>
    <w:rsid w:val="005214BE"/>
    <w:rsid w:val="00525BE8"/>
    <w:rsid w:val="005434BA"/>
    <w:rsid w:val="00561430"/>
    <w:rsid w:val="0056582C"/>
    <w:rsid w:val="005939BE"/>
    <w:rsid w:val="005963E5"/>
    <w:rsid w:val="005D0959"/>
    <w:rsid w:val="005D6285"/>
    <w:rsid w:val="005F2A91"/>
    <w:rsid w:val="00602841"/>
    <w:rsid w:val="006121DC"/>
    <w:rsid w:val="0062385F"/>
    <w:rsid w:val="006304F8"/>
    <w:rsid w:val="00635CF9"/>
    <w:rsid w:val="00651409"/>
    <w:rsid w:val="006563F5"/>
    <w:rsid w:val="00661966"/>
    <w:rsid w:val="00685634"/>
    <w:rsid w:val="006C7B80"/>
    <w:rsid w:val="006E5F26"/>
    <w:rsid w:val="00714681"/>
    <w:rsid w:val="00717B9F"/>
    <w:rsid w:val="007211BE"/>
    <w:rsid w:val="0072471A"/>
    <w:rsid w:val="00727154"/>
    <w:rsid w:val="00732360"/>
    <w:rsid w:val="00741460"/>
    <w:rsid w:val="007447A7"/>
    <w:rsid w:val="00767AAE"/>
    <w:rsid w:val="00774F44"/>
    <w:rsid w:val="00780468"/>
    <w:rsid w:val="0079706C"/>
    <w:rsid w:val="007C09CE"/>
    <w:rsid w:val="007C4AF2"/>
    <w:rsid w:val="007D3C8E"/>
    <w:rsid w:val="007E6A0B"/>
    <w:rsid w:val="00807A2D"/>
    <w:rsid w:val="00825C0B"/>
    <w:rsid w:val="00837EC2"/>
    <w:rsid w:val="00840BD8"/>
    <w:rsid w:val="008641BA"/>
    <w:rsid w:val="00866791"/>
    <w:rsid w:val="00866E03"/>
    <w:rsid w:val="00874E52"/>
    <w:rsid w:val="00876E05"/>
    <w:rsid w:val="00877592"/>
    <w:rsid w:val="008A712C"/>
    <w:rsid w:val="008B23AC"/>
    <w:rsid w:val="008C3BA5"/>
    <w:rsid w:val="008E386C"/>
    <w:rsid w:val="00902DE6"/>
    <w:rsid w:val="009176C4"/>
    <w:rsid w:val="00966957"/>
    <w:rsid w:val="00975190"/>
    <w:rsid w:val="009811BE"/>
    <w:rsid w:val="00995CDA"/>
    <w:rsid w:val="009A1055"/>
    <w:rsid w:val="009B6033"/>
    <w:rsid w:val="009F4888"/>
    <w:rsid w:val="00A23364"/>
    <w:rsid w:val="00A438BC"/>
    <w:rsid w:val="00A7043A"/>
    <w:rsid w:val="00A70B93"/>
    <w:rsid w:val="00AD41CE"/>
    <w:rsid w:val="00B16EEE"/>
    <w:rsid w:val="00B3084B"/>
    <w:rsid w:val="00B57505"/>
    <w:rsid w:val="00BD7D6E"/>
    <w:rsid w:val="00BE0266"/>
    <w:rsid w:val="00BF2833"/>
    <w:rsid w:val="00BF32ED"/>
    <w:rsid w:val="00BF69D5"/>
    <w:rsid w:val="00C6799A"/>
    <w:rsid w:val="00C94DCC"/>
    <w:rsid w:val="00C95D53"/>
    <w:rsid w:val="00CA5AC1"/>
    <w:rsid w:val="00CB1749"/>
    <w:rsid w:val="00CE05E2"/>
    <w:rsid w:val="00CE711E"/>
    <w:rsid w:val="00CE7BBE"/>
    <w:rsid w:val="00CF40FA"/>
    <w:rsid w:val="00CF5851"/>
    <w:rsid w:val="00CF738C"/>
    <w:rsid w:val="00D02D66"/>
    <w:rsid w:val="00D1326C"/>
    <w:rsid w:val="00D6355B"/>
    <w:rsid w:val="00D753E0"/>
    <w:rsid w:val="00D85975"/>
    <w:rsid w:val="00DE4831"/>
    <w:rsid w:val="00E1110E"/>
    <w:rsid w:val="00E16E53"/>
    <w:rsid w:val="00E6141F"/>
    <w:rsid w:val="00E67FD1"/>
    <w:rsid w:val="00E745F6"/>
    <w:rsid w:val="00E76AAA"/>
    <w:rsid w:val="00E813FD"/>
    <w:rsid w:val="00E84E46"/>
    <w:rsid w:val="00EB3CC4"/>
    <w:rsid w:val="00EE0B73"/>
    <w:rsid w:val="00EE46C3"/>
    <w:rsid w:val="00EF72DA"/>
    <w:rsid w:val="00F23FDD"/>
    <w:rsid w:val="00F26929"/>
    <w:rsid w:val="00F33E34"/>
    <w:rsid w:val="00F51E8D"/>
    <w:rsid w:val="00F86C31"/>
    <w:rsid w:val="00F90FAF"/>
    <w:rsid w:val="00F92E95"/>
    <w:rsid w:val="00F94EF8"/>
    <w:rsid w:val="00FA381B"/>
    <w:rsid w:val="00FF5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Accentuation">
    <w:name w:val="Emphasis"/>
    <w:uiPriority w:val="20"/>
    <w:qFormat/>
    <w:rsid w:val="0010584B"/>
    <w:rPr>
      <w:i/>
      <w:iCs/>
    </w:rPr>
  </w:style>
  <w:style w:type="character" w:styleId="Emphaseple">
    <w:name w:val="Subtle Emphasis"/>
    <w:uiPriority w:val="19"/>
    <w:qFormat/>
    <w:rsid w:val="0010584B"/>
    <w:rPr>
      <w:i/>
      <w:iCs/>
      <w:color w:val="808080"/>
    </w:rPr>
  </w:style>
  <w:style w:type="paragraph" w:styleId="Textedebulles">
    <w:name w:val="Balloon Text"/>
    <w:basedOn w:val="Normal"/>
    <w:link w:val="TextedebullesCar"/>
    <w:uiPriority w:val="99"/>
    <w:semiHidden/>
    <w:unhideWhenUsed/>
    <w:rsid w:val="003B7AB5"/>
    <w:rPr>
      <w:rFonts w:ascii="Tahoma" w:hAnsi="Tahoma" w:cs="Tahoma"/>
      <w:sz w:val="16"/>
      <w:szCs w:val="16"/>
    </w:rPr>
  </w:style>
  <w:style w:type="character" w:customStyle="1" w:styleId="TextedebullesCar">
    <w:name w:val="Texte de bulles Car"/>
    <w:link w:val="Textedebulles"/>
    <w:uiPriority w:val="99"/>
    <w:semiHidden/>
    <w:rsid w:val="003B7AB5"/>
    <w:rPr>
      <w:rFonts w:ascii="Tahoma" w:eastAsia="Times New Roman" w:hAnsi="Tahoma" w:cs="Tahoma"/>
      <w:sz w:val="16"/>
      <w:szCs w:val="16"/>
      <w:lang w:eastAsia="fr-FR"/>
    </w:rPr>
  </w:style>
  <w:style w:type="paragraph" w:customStyle="1" w:styleId="PS">
    <w:name w:val="PS"/>
    <w:basedOn w:val="Normal"/>
    <w:link w:val="PSCar"/>
    <w:rsid w:val="0072471A"/>
    <w:pPr>
      <w:spacing w:after="480"/>
      <w:ind w:left="1701" w:firstLine="1134"/>
    </w:pPr>
    <w:rPr>
      <w:rFonts w:ascii="CG Times (WN)" w:hAnsi="CG Times (WN)"/>
      <w:szCs w:val="20"/>
    </w:rPr>
  </w:style>
  <w:style w:type="character" w:customStyle="1" w:styleId="PSCar">
    <w:name w:val="PS Car"/>
    <w:link w:val="PS"/>
    <w:rsid w:val="0072471A"/>
    <w:rPr>
      <w:rFonts w:ascii="CG Times (WN)" w:eastAsia="Times New Roman" w:hAnsi="CG Times (WN)" w:cs="Times New Roman"/>
      <w:sz w:val="24"/>
      <w:szCs w:val="20"/>
      <w:lang w:eastAsia="fr-FR"/>
    </w:rPr>
  </w:style>
  <w:style w:type="paragraph" w:customStyle="1" w:styleId="P0">
    <w:name w:val="P0"/>
    <w:basedOn w:val="Normal"/>
    <w:link w:val="P0Car"/>
    <w:rsid w:val="007D3C8E"/>
    <w:pPr>
      <w:ind w:left="1701" w:firstLine="0"/>
    </w:pPr>
  </w:style>
  <w:style w:type="paragraph" w:customStyle="1" w:styleId="CarCar1CarCarCar">
    <w:name w:val="Car Car1 Car Car Car"/>
    <w:basedOn w:val="Normal"/>
    <w:rsid w:val="007D3C8E"/>
    <w:pPr>
      <w:spacing w:after="160" w:line="240" w:lineRule="exact"/>
      <w:ind w:firstLine="0"/>
      <w:jc w:val="left"/>
    </w:pPr>
    <w:rPr>
      <w:rFonts w:ascii="Tahoma" w:hAnsi="Tahoma"/>
      <w:sz w:val="20"/>
      <w:szCs w:val="20"/>
      <w:lang w:val="en-US" w:eastAsia="en-US"/>
    </w:rPr>
  </w:style>
  <w:style w:type="character" w:customStyle="1" w:styleId="P0Car">
    <w:name w:val="P0 Car"/>
    <w:link w:val="P0"/>
    <w:rsid w:val="007D3C8E"/>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2C289F"/>
    <w:rPr>
      <w:sz w:val="16"/>
      <w:szCs w:val="16"/>
    </w:rPr>
  </w:style>
  <w:style w:type="paragraph" w:styleId="Commentaire">
    <w:name w:val="annotation text"/>
    <w:basedOn w:val="Normal"/>
    <w:link w:val="CommentaireCar"/>
    <w:uiPriority w:val="99"/>
    <w:semiHidden/>
    <w:unhideWhenUsed/>
    <w:rsid w:val="002C289F"/>
    <w:rPr>
      <w:sz w:val="20"/>
      <w:szCs w:val="20"/>
    </w:rPr>
  </w:style>
  <w:style w:type="character" w:customStyle="1" w:styleId="CommentaireCar">
    <w:name w:val="Commentaire Car"/>
    <w:link w:val="Commentaire"/>
    <w:uiPriority w:val="99"/>
    <w:semiHidden/>
    <w:rsid w:val="002C289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C289F"/>
    <w:rPr>
      <w:b/>
      <w:bCs/>
    </w:rPr>
  </w:style>
  <w:style w:type="character" w:customStyle="1" w:styleId="ObjetducommentaireCar">
    <w:name w:val="Objet du commentaire Car"/>
    <w:link w:val="Objetducommentaire"/>
    <w:uiPriority w:val="99"/>
    <w:semiHidden/>
    <w:rsid w:val="002C289F"/>
    <w:rPr>
      <w:rFonts w:ascii="Times New Roman" w:eastAsia="Times New Roman" w:hAnsi="Times New Roman" w:cs="Times New Roman"/>
      <w:b/>
      <w:bCs/>
      <w:sz w:val="20"/>
      <w:szCs w:val="20"/>
      <w:lang w:eastAsia="fr-FR"/>
    </w:rPr>
  </w:style>
  <w:style w:type="paragraph" w:styleId="Rvision">
    <w:name w:val="Revision"/>
    <w:hidden/>
    <w:uiPriority w:val="99"/>
    <w:semiHidden/>
    <w:rsid w:val="002C289F"/>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Accentuation">
    <w:name w:val="Emphasis"/>
    <w:uiPriority w:val="20"/>
    <w:qFormat/>
    <w:rsid w:val="0010584B"/>
    <w:rPr>
      <w:i/>
      <w:iCs/>
    </w:rPr>
  </w:style>
  <w:style w:type="character" w:styleId="Emphaseple">
    <w:name w:val="Subtle Emphasis"/>
    <w:uiPriority w:val="19"/>
    <w:qFormat/>
    <w:rsid w:val="0010584B"/>
    <w:rPr>
      <w:i/>
      <w:iCs/>
      <w:color w:val="808080"/>
    </w:rPr>
  </w:style>
  <w:style w:type="paragraph" w:styleId="Textedebulles">
    <w:name w:val="Balloon Text"/>
    <w:basedOn w:val="Normal"/>
    <w:link w:val="TextedebullesCar"/>
    <w:uiPriority w:val="99"/>
    <w:semiHidden/>
    <w:unhideWhenUsed/>
    <w:rsid w:val="003B7AB5"/>
    <w:rPr>
      <w:rFonts w:ascii="Tahoma" w:hAnsi="Tahoma" w:cs="Tahoma"/>
      <w:sz w:val="16"/>
      <w:szCs w:val="16"/>
    </w:rPr>
  </w:style>
  <w:style w:type="character" w:customStyle="1" w:styleId="TextedebullesCar">
    <w:name w:val="Texte de bulles Car"/>
    <w:link w:val="Textedebulles"/>
    <w:uiPriority w:val="99"/>
    <w:semiHidden/>
    <w:rsid w:val="003B7AB5"/>
    <w:rPr>
      <w:rFonts w:ascii="Tahoma" w:eastAsia="Times New Roman" w:hAnsi="Tahoma" w:cs="Tahoma"/>
      <w:sz w:val="16"/>
      <w:szCs w:val="16"/>
      <w:lang w:eastAsia="fr-FR"/>
    </w:rPr>
  </w:style>
  <w:style w:type="paragraph" w:customStyle="1" w:styleId="PS">
    <w:name w:val="PS"/>
    <w:basedOn w:val="Normal"/>
    <w:link w:val="PSCar"/>
    <w:rsid w:val="0072471A"/>
    <w:pPr>
      <w:spacing w:after="480"/>
      <w:ind w:left="1701" w:firstLine="1134"/>
    </w:pPr>
    <w:rPr>
      <w:rFonts w:ascii="CG Times (WN)" w:hAnsi="CG Times (WN)"/>
      <w:szCs w:val="20"/>
    </w:rPr>
  </w:style>
  <w:style w:type="character" w:customStyle="1" w:styleId="PSCar">
    <w:name w:val="PS Car"/>
    <w:link w:val="PS"/>
    <w:rsid w:val="0072471A"/>
    <w:rPr>
      <w:rFonts w:ascii="CG Times (WN)" w:eastAsia="Times New Roman" w:hAnsi="CG Times (WN)" w:cs="Times New Roman"/>
      <w:sz w:val="24"/>
      <w:szCs w:val="20"/>
      <w:lang w:eastAsia="fr-FR"/>
    </w:rPr>
  </w:style>
  <w:style w:type="paragraph" w:customStyle="1" w:styleId="P0">
    <w:name w:val="P0"/>
    <w:basedOn w:val="Normal"/>
    <w:link w:val="P0Car"/>
    <w:rsid w:val="007D3C8E"/>
    <w:pPr>
      <w:ind w:left="1701" w:firstLine="0"/>
    </w:pPr>
  </w:style>
  <w:style w:type="paragraph" w:customStyle="1" w:styleId="CarCar1CarCarCar">
    <w:name w:val="Car Car1 Car Car Car"/>
    <w:basedOn w:val="Normal"/>
    <w:rsid w:val="007D3C8E"/>
    <w:pPr>
      <w:spacing w:after="160" w:line="240" w:lineRule="exact"/>
      <w:ind w:firstLine="0"/>
      <w:jc w:val="left"/>
    </w:pPr>
    <w:rPr>
      <w:rFonts w:ascii="Tahoma" w:hAnsi="Tahoma"/>
      <w:sz w:val="20"/>
      <w:szCs w:val="20"/>
      <w:lang w:val="en-US" w:eastAsia="en-US"/>
    </w:rPr>
  </w:style>
  <w:style w:type="character" w:customStyle="1" w:styleId="P0Car">
    <w:name w:val="P0 Car"/>
    <w:link w:val="P0"/>
    <w:rsid w:val="007D3C8E"/>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2C289F"/>
    <w:rPr>
      <w:sz w:val="16"/>
      <w:szCs w:val="16"/>
    </w:rPr>
  </w:style>
  <w:style w:type="paragraph" w:styleId="Commentaire">
    <w:name w:val="annotation text"/>
    <w:basedOn w:val="Normal"/>
    <w:link w:val="CommentaireCar"/>
    <w:uiPriority w:val="99"/>
    <w:semiHidden/>
    <w:unhideWhenUsed/>
    <w:rsid w:val="002C289F"/>
    <w:rPr>
      <w:sz w:val="20"/>
      <w:szCs w:val="20"/>
    </w:rPr>
  </w:style>
  <w:style w:type="character" w:customStyle="1" w:styleId="CommentaireCar">
    <w:name w:val="Commentaire Car"/>
    <w:link w:val="Commentaire"/>
    <w:uiPriority w:val="99"/>
    <w:semiHidden/>
    <w:rsid w:val="002C289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C289F"/>
    <w:rPr>
      <w:b/>
      <w:bCs/>
    </w:rPr>
  </w:style>
  <w:style w:type="character" w:customStyle="1" w:styleId="ObjetducommentaireCar">
    <w:name w:val="Objet du commentaire Car"/>
    <w:link w:val="Objetducommentaire"/>
    <w:uiPriority w:val="99"/>
    <w:semiHidden/>
    <w:rsid w:val="002C289F"/>
    <w:rPr>
      <w:rFonts w:ascii="Times New Roman" w:eastAsia="Times New Roman" w:hAnsi="Times New Roman" w:cs="Times New Roman"/>
      <w:b/>
      <w:bCs/>
      <w:sz w:val="20"/>
      <w:szCs w:val="20"/>
      <w:lang w:eastAsia="fr-FR"/>
    </w:rPr>
  </w:style>
  <w:style w:type="paragraph" w:styleId="Rvision">
    <w:name w:val="Revision"/>
    <w:hidden/>
    <w:uiPriority w:val="99"/>
    <w:semiHidden/>
    <w:rsid w:val="002C289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C9F38-6228-493E-A4B6-0B47E32E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1364</Words>
  <Characters>7507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5</cp:revision>
  <cp:lastPrinted>2014-12-12T12:46:00Z</cp:lastPrinted>
  <dcterms:created xsi:type="dcterms:W3CDTF">2015-02-19T11:04:00Z</dcterms:created>
  <dcterms:modified xsi:type="dcterms:W3CDTF">2015-02-20T11:07:00Z</dcterms:modified>
</cp:coreProperties>
</file>