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BD5313">
      <w:pPr>
        <w:pStyle w:val="ET"/>
        <w:ind w:right="6238"/>
        <w:jc w:val="center"/>
      </w:pPr>
      <w:r>
        <w:t>COUR DES COMPTES</w:t>
      </w:r>
    </w:p>
    <w:p w:rsidR="00CF1084" w:rsidRDefault="001D79AB" w:rsidP="00BD5313">
      <w:pPr>
        <w:pStyle w:val="ET"/>
        <w:ind w:right="6238"/>
        <w:jc w:val="center"/>
      </w:pPr>
      <w:r>
        <w:t>-------</w:t>
      </w:r>
    </w:p>
    <w:p w:rsidR="00CF1084" w:rsidRDefault="00B1487D" w:rsidP="00BD5313">
      <w:pPr>
        <w:pStyle w:val="ET"/>
        <w:ind w:right="6238"/>
        <w:jc w:val="center"/>
      </w:pPr>
      <w:r>
        <w:t>QUATRIEME</w:t>
      </w:r>
      <w:r w:rsidR="00CF1084">
        <w:t xml:space="preserve"> CHAMBRE</w:t>
      </w:r>
    </w:p>
    <w:p w:rsidR="00CF1084" w:rsidRDefault="00CF1084" w:rsidP="00BD5313">
      <w:pPr>
        <w:pStyle w:val="ET"/>
        <w:ind w:right="6238"/>
        <w:jc w:val="center"/>
      </w:pPr>
      <w:r>
        <w:t>-------</w:t>
      </w:r>
    </w:p>
    <w:p w:rsidR="00CF1084" w:rsidRDefault="00B1487D" w:rsidP="00BD5313">
      <w:pPr>
        <w:pStyle w:val="ET"/>
        <w:ind w:right="6238"/>
        <w:jc w:val="center"/>
      </w:pPr>
      <w:r>
        <w:t>PREMIERE</w:t>
      </w:r>
      <w:r w:rsidR="00CF1084">
        <w:t xml:space="preserve"> SECTION</w:t>
      </w:r>
    </w:p>
    <w:p w:rsidR="00CF1084" w:rsidRDefault="00CF1084" w:rsidP="00BD5313">
      <w:pPr>
        <w:pStyle w:val="ET"/>
        <w:spacing w:after="120"/>
        <w:ind w:right="6238"/>
        <w:jc w:val="center"/>
      </w:pPr>
      <w:r>
        <w:t>-------</w:t>
      </w:r>
    </w:p>
    <w:p w:rsidR="00CF1084" w:rsidRPr="00B3058C" w:rsidRDefault="00CF1084" w:rsidP="00BD5313">
      <w:pPr>
        <w:pStyle w:val="En-tte"/>
        <w:ind w:right="6238"/>
        <w:jc w:val="center"/>
        <w:rPr>
          <w:b/>
          <w:i/>
          <w:sz w:val="22"/>
          <w:szCs w:val="22"/>
        </w:rPr>
      </w:pPr>
      <w:r w:rsidRPr="00B3058C">
        <w:rPr>
          <w:b/>
          <w:i/>
          <w:sz w:val="22"/>
          <w:szCs w:val="22"/>
        </w:rPr>
        <w:t xml:space="preserve">Arrêt n° </w:t>
      </w:r>
      <w:r w:rsidR="00DF6C41" w:rsidRPr="00B3058C">
        <w:rPr>
          <w:b/>
          <w:i/>
          <w:sz w:val="22"/>
          <w:szCs w:val="22"/>
        </w:rPr>
        <w:t>71421</w:t>
      </w:r>
    </w:p>
    <w:tbl>
      <w:tblPr>
        <w:tblW w:w="9782" w:type="dxa"/>
        <w:tblInd w:w="-34" w:type="dxa"/>
        <w:tblLayout w:type="fixed"/>
        <w:tblLook w:val="04A0" w:firstRow="1" w:lastRow="0" w:firstColumn="1" w:lastColumn="0" w:noHBand="0" w:noVBand="1"/>
      </w:tblPr>
      <w:tblGrid>
        <w:gridCol w:w="5104"/>
        <w:gridCol w:w="4678"/>
      </w:tblGrid>
      <w:tr w:rsidR="0014129E" w:rsidTr="009214DE">
        <w:tc>
          <w:tcPr>
            <w:tcW w:w="5104" w:type="dxa"/>
            <w:shd w:val="clear" w:color="auto" w:fill="auto"/>
          </w:tcPr>
          <w:p w:rsidR="00A07695" w:rsidRDefault="00A07695" w:rsidP="009214DE">
            <w:pPr>
              <w:pStyle w:val="OR"/>
              <w:ind w:left="0"/>
              <w:jc w:val="both"/>
            </w:pPr>
          </w:p>
        </w:tc>
        <w:tc>
          <w:tcPr>
            <w:tcW w:w="4678" w:type="dxa"/>
            <w:shd w:val="clear" w:color="auto" w:fill="auto"/>
          </w:tcPr>
          <w:p w:rsidR="0014129E" w:rsidRPr="009214DE" w:rsidRDefault="0014129E" w:rsidP="009214DE">
            <w:pPr>
              <w:pStyle w:val="OR"/>
              <w:ind w:left="0"/>
              <w:rPr>
                <w:caps/>
              </w:rPr>
            </w:pPr>
            <w:r w:rsidRPr="009214DE">
              <w:rPr>
                <w:caps/>
              </w:rPr>
              <w:t>COMMUN</w:t>
            </w:r>
            <w:r w:rsidR="00217B98" w:rsidRPr="009214DE">
              <w:rPr>
                <w:caps/>
              </w:rPr>
              <w:t>AUTE URBAINE DE STRASBOURG</w:t>
            </w:r>
            <w:r w:rsidR="00E364E4" w:rsidRPr="009214DE">
              <w:rPr>
                <w:caps/>
              </w:rPr>
              <w:t xml:space="preserve"> </w:t>
            </w:r>
            <w:r w:rsidR="002554C9" w:rsidRPr="009214DE">
              <w:rPr>
                <w:caps/>
              </w:rPr>
              <w:t>(CUS)</w:t>
            </w:r>
            <w:r w:rsidR="00EC2ED6" w:rsidRPr="009214DE">
              <w:rPr>
                <w:caps/>
              </w:rPr>
              <w:t xml:space="preserve"> </w:t>
            </w:r>
            <w:r w:rsidR="00217B98" w:rsidRPr="009214DE">
              <w:rPr>
                <w:caps/>
              </w:rPr>
              <w:t>(</w:t>
            </w:r>
            <w:r w:rsidR="00400545" w:rsidRPr="009214DE">
              <w:rPr>
                <w:caps/>
              </w:rPr>
              <w:t>BAS-RHIN</w:t>
            </w:r>
            <w:r w:rsidRPr="009214DE">
              <w:rPr>
                <w:caps/>
              </w:rPr>
              <w:t>)</w:t>
            </w:r>
          </w:p>
          <w:p w:rsidR="00B3058C" w:rsidRPr="009214DE" w:rsidRDefault="00B3058C" w:rsidP="009214DE">
            <w:pPr>
              <w:pStyle w:val="OR"/>
              <w:ind w:left="0"/>
              <w:rPr>
                <w:caps/>
              </w:rPr>
            </w:pPr>
          </w:p>
          <w:p w:rsidR="0014129E" w:rsidRDefault="00B3058C" w:rsidP="009214DE">
            <w:pPr>
              <w:pStyle w:val="OR"/>
              <w:ind w:left="0"/>
            </w:pPr>
            <w:r>
              <w:t>Appel d’un jugement de la chambre régionale des comptes d’Alsace</w:t>
            </w:r>
          </w:p>
          <w:p w:rsidR="00B3058C" w:rsidRDefault="00B3058C" w:rsidP="009214DE">
            <w:pPr>
              <w:pStyle w:val="OR"/>
              <w:ind w:left="0"/>
            </w:pPr>
          </w:p>
          <w:p w:rsidR="0014129E" w:rsidRDefault="00400545" w:rsidP="009214DE">
            <w:pPr>
              <w:pStyle w:val="OR"/>
              <w:ind w:left="0"/>
            </w:pPr>
            <w:r>
              <w:t>Exercice</w:t>
            </w:r>
            <w:r w:rsidR="00CE4BA5">
              <w:t xml:space="preserve"> 2007</w:t>
            </w:r>
          </w:p>
          <w:p w:rsidR="0014129E" w:rsidRDefault="0014129E" w:rsidP="009214DE">
            <w:pPr>
              <w:pStyle w:val="OR"/>
              <w:ind w:left="0"/>
            </w:pPr>
          </w:p>
          <w:p w:rsidR="0014129E" w:rsidRDefault="001A65E0" w:rsidP="009214DE">
            <w:pPr>
              <w:pStyle w:val="OR"/>
              <w:ind w:left="0"/>
            </w:pPr>
            <w:r>
              <w:t>Rapport n° </w:t>
            </w:r>
            <w:r w:rsidR="00CE4BA5">
              <w:t>2014-667</w:t>
            </w:r>
            <w:r w:rsidR="0014129E">
              <w:t>-0</w:t>
            </w:r>
          </w:p>
          <w:p w:rsidR="0014129E" w:rsidRDefault="0014129E" w:rsidP="009214DE">
            <w:pPr>
              <w:pStyle w:val="OR"/>
              <w:ind w:left="0"/>
            </w:pPr>
          </w:p>
          <w:p w:rsidR="0014129E" w:rsidRDefault="0014129E" w:rsidP="009214DE">
            <w:pPr>
              <w:pStyle w:val="OR"/>
              <w:ind w:left="0"/>
            </w:pPr>
            <w:r>
              <w:t>Audi</w:t>
            </w:r>
            <w:r w:rsidR="00400545">
              <w:t>ence publique du 19 novembre 2014</w:t>
            </w:r>
          </w:p>
          <w:p w:rsidR="0014129E" w:rsidRDefault="0014129E" w:rsidP="009214DE">
            <w:pPr>
              <w:pStyle w:val="OR"/>
              <w:ind w:left="0"/>
            </w:pPr>
          </w:p>
          <w:p w:rsidR="0014129E" w:rsidRDefault="0014129E" w:rsidP="009214DE">
            <w:pPr>
              <w:pStyle w:val="OR"/>
              <w:ind w:left="0"/>
            </w:pPr>
            <w:r>
              <w:t xml:space="preserve">Lecture publique </w:t>
            </w:r>
            <w:r w:rsidRPr="002F26BB">
              <w:t xml:space="preserve">du </w:t>
            </w:r>
            <w:r w:rsidR="00EC2ED6">
              <w:t>18 décembre</w:t>
            </w:r>
            <w:r w:rsidR="009C76B4">
              <w:t xml:space="preserve"> </w:t>
            </w:r>
            <w:r>
              <w:t>2014</w:t>
            </w:r>
          </w:p>
          <w:p w:rsidR="0014129E" w:rsidRDefault="0014129E" w:rsidP="009214DE">
            <w:pPr>
              <w:pStyle w:val="OR"/>
              <w:ind w:left="0"/>
            </w:pPr>
          </w:p>
        </w:tc>
      </w:tr>
    </w:tbl>
    <w:p w:rsidR="00615536" w:rsidRDefault="00615536" w:rsidP="00615536">
      <w:pPr>
        <w:pStyle w:val="P0"/>
        <w:ind w:left="539" w:right="-284" w:firstLine="595"/>
      </w:pPr>
    </w:p>
    <w:p w:rsidR="001768C8" w:rsidRPr="00690D05" w:rsidRDefault="001768C8" w:rsidP="00BD5313">
      <w:pPr>
        <w:pStyle w:val="P0"/>
        <w:spacing w:after="240"/>
        <w:ind w:left="539" w:right="-284" w:firstLine="28"/>
        <w:jc w:val="center"/>
      </w:pPr>
      <w:r w:rsidRPr="00690D05">
        <w:t>REPUBLIQUE FRANÇAISE</w:t>
      </w:r>
    </w:p>
    <w:p w:rsidR="001768C8" w:rsidRPr="00690D05" w:rsidRDefault="001768C8" w:rsidP="00BD5313">
      <w:pPr>
        <w:pStyle w:val="P0"/>
        <w:spacing w:after="240"/>
        <w:ind w:left="539" w:right="-284" w:firstLine="28"/>
        <w:jc w:val="center"/>
      </w:pPr>
      <w:r w:rsidRPr="00690D05">
        <w:t>AU NOM DU PEUPLE FRANÇAIS</w:t>
      </w:r>
    </w:p>
    <w:p w:rsidR="001768C8" w:rsidRPr="00690D05" w:rsidRDefault="001768C8" w:rsidP="00BD5313">
      <w:pPr>
        <w:pStyle w:val="P0"/>
        <w:spacing w:after="480"/>
        <w:ind w:left="539" w:right="-284" w:firstLine="28"/>
        <w:jc w:val="center"/>
      </w:pPr>
      <w:r w:rsidRPr="00690D05">
        <w:t>LA COUR DES COMPTES a rendu l’arrêt suivant :</w:t>
      </w:r>
    </w:p>
    <w:p w:rsidR="00B1487D" w:rsidRPr="001471A0" w:rsidRDefault="00B1487D" w:rsidP="00E364E4">
      <w:pPr>
        <w:pStyle w:val="PS"/>
        <w:ind w:left="851" w:firstLine="567"/>
      </w:pPr>
      <w:r w:rsidRPr="001471A0">
        <w:t>LA COUR,</w:t>
      </w:r>
    </w:p>
    <w:p w:rsidR="00B1487D" w:rsidRPr="001471A0" w:rsidRDefault="00B04E4C" w:rsidP="00BD5313">
      <w:pPr>
        <w:pStyle w:val="PS"/>
        <w:spacing w:after="360"/>
        <w:ind w:left="851" w:firstLine="567"/>
      </w:pPr>
      <w:r w:rsidRPr="001471A0">
        <w:t>Vu la req</w:t>
      </w:r>
      <w:r w:rsidR="00692379">
        <w:t xml:space="preserve">uête, enregistrée le </w:t>
      </w:r>
      <w:r w:rsidR="00CE4BA5">
        <w:t>10 mars 2014</w:t>
      </w:r>
      <w:r w:rsidRPr="001471A0">
        <w:t xml:space="preserve"> au greffe de la chambre régionale des comptes d</w:t>
      </w:r>
      <w:r w:rsidR="00692379">
        <w:t>’Alsace</w:t>
      </w:r>
      <w:r w:rsidRPr="001471A0">
        <w:t>, par laquelle M</w:t>
      </w:r>
      <w:r w:rsidR="00EF5453">
        <w:t>. </w:t>
      </w:r>
      <w:r w:rsidR="00B979E2">
        <w:t>X</w:t>
      </w:r>
      <w:r w:rsidR="00692379">
        <w:t>, ancien comptable de la communauté urbaine de Strasbourg</w:t>
      </w:r>
      <w:r w:rsidRPr="001471A0">
        <w:t>, a élev</w:t>
      </w:r>
      <w:r w:rsidR="00692379">
        <w:t>é appel du jugement n° 2013-010 du 7</w:t>
      </w:r>
      <w:r w:rsidR="00BD5313">
        <w:t xml:space="preserve"> </w:t>
      </w:r>
      <w:r w:rsidR="00692379">
        <w:t>nov</w:t>
      </w:r>
      <w:r w:rsidRPr="001471A0">
        <w:t xml:space="preserve">embre 2013 par lequel ladite chambre </w:t>
      </w:r>
      <w:r w:rsidR="00692379">
        <w:t>l’a constitué</w:t>
      </w:r>
      <w:r w:rsidRPr="001471A0">
        <w:t xml:space="preserve"> débiteur de </w:t>
      </w:r>
      <w:r w:rsidR="00615536">
        <w:t>cette communauté</w:t>
      </w:r>
      <w:r w:rsidR="00692379">
        <w:t xml:space="preserve"> d</w:t>
      </w:r>
      <w:r w:rsidRPr="001471A0">
        <w:t xml:space="preserve">e la somme de </w:t>
      </w:r>
      <w:r w:rsidR="00CE4BA5">
        <w:t xml:space="preserve">10 885 431,83 </w:t>
      </w:r>
      <w:r w:rsidRPr="001471A0">
        <w:t xml:space="preserve">€, augmentée des intérêts de droit à compter du </w:t>
      </w:r>
      <w:r w:rsidR="00CE4BA5">
        <w:t>28</w:t>
      </w:r>
      <w:r w:rsidR="00BD5313">
        <w:t xml:space="preserve"> </w:t>
      </w:r>
      <w:r w:rsidR="00692379">
        <w:t>novembre 2012</w:t>
      </w:r>
      <w:r w:rsidR="00BD5313">
        <w:t> ;</w:t>
      </w:r>
    </w:p>
    <w:p w:rsidR="00045432" w:rsidRPr="001471A0" w:rsidRDefault="00B1487D" w:rsidP="00BD5313">
      <w:pPr>
        <w:pStyle w:val="PS"/>
        <w:spacing w:after="360"/>
        <w:ind w:left="851" w:firstLine="567"/>
      </w:pPr>
      <w:r w:rsidRPr="001471A0">
        <w:t>Vu le réquisitoire n°</w:t>
      </w:r>
      <w:r w:rsidR="0026720A" w:rsidRPr="001471A0">
        <w:t> </w:t>
      </w:r>
      <w:r w:rsidRPr="001471A0">
        <w:t>201</w:t>
      </w:r>
      <w:r w:rsidR="00CC4761" w:rsidRPr="001471A0">
        <w:t>4</w:t>
      </w:r>
      <w:r w:rsidRPr="001471A0">
        <w:t>-</w:t>
      </w:r>
      <w:r w:rsidR="00CE4BA5">
        <w:t>59</w:t>
      </w:r>
      <w:r w:rsidRPr="001471A0">
        <w:t xml:space="preserve"> du Procureur général</w:t>
      </w:r>
      <w:r w:rsidR="00CC4761" w:rsidRPr="001471A0">
        <w:t xml:space="preserve"> près la Cour des comptes</w:t>
      </w:r>
      <w:r w:rsidRPr="001471A0">
        <w:t xml:space="preserve"> du </w:t>
      </w:r>
      <w:r w:rsidR="00CE4BA5">
        <w:t>19 mai</w:t>
      </w:r>
      <w:r w:rsidR="00CC4761" w:rsidRPr="001471A0">
        <w:t xml:space="preserve"> 2014</w:t>
      </w:r>
      <w:r w:rsidRPr="001471A0">
        <w:t xml:space="preserve"> transmettant la requête précitée</w:t>
      </w:r>
      <w:r w:rsidR="00BD5313">
        <w:t> ;</w:t>
      </w:r>
    </w:p>
    <w:p w:rsidR="00B1487D" w:rsidRPr="001471A0" w:rsidRDefault="00B1487D" w:rsidP="00BD5313">
      <w:pPr>
        <w:pStyle w:val="PS"/>
        <w:spacing w:after="360"/>
        <w:ind w:left="851" w:firstLine="567"/>
      </w:pPr>
      <w:r w:rsidRPr="001471A0">
        <w:t>Vu les pièces de la procédure suivie en première instance ;</w:t>
      </w:r>
    </w:p>
    <w:p w:rsidR="00AA4A32" w:rsidRDefault="00B1487D" w:rsidP="00BD5313">
      <w:pPr>
        <w:pStyle w:val="PS"/>
        <w:spacing w:after="360"/>
        <w:ind w:left="851" w:firstLine="567"/>
      </w:pPr>
      <w:r w:rsidRPr="001471A0">
        <w:t>Vu le code général des collectivités territoriales</w:t>
      </w:r>
      <w:r w:rsidR="00F07C92">
        <w:t> </w:t>
      </w:r>
      <w:r w:rsidRPr="001471A0">
        <w:t>;</w:t>
      </w:r>
    </w:p>
    <w:p w:rsidR="00075E51" w:rsidRPr="001471A0" w:rsidRDefault="00075E51" w:rsidP="00BD5313">
      <w:pPr>
        <w:pStyle w:val="PS"/>
        <w:spacing w:after="360"/>
        <w:ind w:left="851" w:firstLine="567"/>
      </w:pPr>
      <w:r w:rsidRPr="001471A0">
        <w:t>Vu le code des juridictions financières ;</w:t>
      </w:r>
    </w:p>
    <w:p w:rsidR="00075E51" w:rsidRDefault="00075E51" w:rsidP="00BD5313">
      <w:pPr>
        <w:pStyle w:val="PS"/>
        <w:spacing w:after="360"/>
        <w:ind w:left="851" w:firstLine="567"/>
      </w:pPr>
      <w:r>
        <w:t xml:space="preserve">Vu l’article 60 de la loi </w:t>
      </w:r>
      <w:r w:rsidRPr="00075E51">
        <w:t>du 23 février 1963</w:t>
      </w:r>
      <w:r>
        <w:t> ;</w:t>
      </w:r>
    </w:p>
    <w:p w:rsidR="00CD14B5" w:rsidRPr="001471A0" w:rsidRDefault="00EB699F" w:rsidP="00BD5313">
      <w:pPr>
        <w:pStyle w:val="PS"/>
        <w:spacing w:after="360"/>
        <w:ind w:left="851" w:firstLine="567"/>
      </w:pPr>
      <w:r w:rsidRPr="001471A0">
        <w:lastRenderedPageBreak/>
        <w:t>Vu le décret n° 62-1587 du 29 décembre 1962 portant règlement général sur la comptabilité publique</w:t>
      </w:r>
      <w:r w:rsidR="00F07C92">
        <w:t>, en vigueur au moment des faits</w:t>
      </w:r>
      <w:r w:rsidRPr="001471A0">
        <w:t> ;</w:t>
      </w:r>
    </w:p>
    <w:p w:rsidR="00CD14B5" w:rsidRPr="001471A0" w:rsidRDefault="0026720A" w:rsidP="00BD5313">
      <w:pPr>
        <w:pStyle w:val="PS"/>
        <w:spacing w:after="360"/>
        <w:ind w:left="851" w:firstLine="567"/>
      </w:pPr>
      <w:r w:rsidRPr="001471A0">
        <w:t>Vu le décret n° </w:t>
      </w:r>
      <w:r w:rsidR="00CD14B5" w:rsidRPr="001471A0">
        <w:t>2012-1386 du 10 décembre 2012</w:t>
      </w:r>
      <w:r w:rsidR="00075E51">
        <w:t xml:space="preserve"> </w:t>
      </w:r>
      <w:r w:rsidR="00F4094E" w:rsidRPr="00F4094E">
        <w:t>portant application du deuxième alinéa du VI de l'article 60 de la loi de finances de 1963 modifié, dans sa rédaction issue de l'article 90 de la loi n° 2011-1978 du 28 décembre 2011 de finances rectificative pour 2011</w:t>
      </w:r>
      <w:r w:rsidR="00CD14B5" w:rsidRPr="001471A0">
        <w:t> ;</w:t>
      </w:r>
    </w:p>
    <w:p w:rsidR="00CE4BA5" w:rsidRDefault="00CE4BA5" w:rsidP="00BD5313">
      <w:pPr>
        <w:pStyle w:val="PS"/>
        <w:spacing w:after="360"/>
        <w:ind w:left="851" w:firstLine="567"/>
      </w:pPr>
      <w:r>
        <w:t>Vu la lettre</w:t>
      </w:r>
      <w:r w:rsidR="00DF02A0">
        <w:t xml:space="preserve"> du président de la communauté urbaine de Strasbourg, datée du </w:t>
      </w:r>
      <w:r w:rsidR="00CE472E">
        <w:t>22</w:t>
      </w:r>
      <w:r w:rsidR="00BD5313">
        <w:t xml:space="preserve"> </w:t>
      </w:r>
      <w:r w:rsidR="00DF02A0">
        <w:t>septembre 2014 ;</w:t>
      </w:r>
    </w:p>
    <w:p w:rsidR="00DF02A0" w:rsidRDefault="00DF02A0" w:rsidP="00BD5313">
      <w:pPr>
        <w:pStyle w:val="PS"/>
        <w:spacing w:after="360"/>
        <w:ind w:left="851" w:firstLine="567"/>
      </w:pPr>
      <w:r w:rsidRPr="00C1155F">
        <w:t>Vu le mémoire complémentaire présenté par M</w:t>
      </w:r>
      <w:r w:rsidR="00EF5453">
        <w:t>. </w:t>
      </w:r>
      <w:r w:rsidR="00B979E2">
        <w:t>X</w:t>
      </w:r>
      <w:r w:rsidRPr="00C1155F">
        <w:t xml:space="preserve">, daté du </w:t>
      </w:r>
      <w:r w:rsidR="00EC2ED6">
        <w:t>4</w:t>
      </w:r>
      <w:r w:rsidR="00BD5313">
        <w:t xml:space="preserve"> </w:t>
      </w:r>
      <w:r w:rsidR="00EC2ED6">
        <w:t>novembre</w:t>
      </w:r>
      <w:r w:rsidR="00BD5313">
        <w:t xml:space="preserve"> </w:t>
      </w:r>
      <w:r w:rsidR="00CE472E" w:rsidRPr="00C1155F">
        <w:t>2014, ensemble les pièces jointes</w:t>
      </w:r>
      <w:r w:rsidR="00C1155F" w:rsidRPr="00C1155F">
        <w:t>, ainsi que les pièces complémentaires produites à l’audience</w:t>
      </w:r>
      <w:r w:rsidR="00CE472E" w:rsidRPr="00C1155F">
        <w:t> ;</w:t>
      </w:r>
    </w:p>
    <w:p w:rsidR="00B1487D" w:rsidRPr="001471A0" w:rsidRDefault="00B1487D" w:rsidP="00BD5313">
      <w:pPr>
        <w:pStyle w:val="PS"/>
        <w:spacing w:after="360"/>
        <w:ind w:left="851" w:firstLine="567"/>
      </w:pPr>
      <w:r w:rsidRPr="001471A0">
        <w:t xml:space="preserve">Vu le rapport de </w:t>
      </w:r>
      <w:r w:rsidR="00EF5453">
        <w:t>M.</w:t>
      </w:r>
      <w:r w:rsidR="00BD5313">
        <w:t xml:space="preserve"> </w:t>
      </w:r>
      <w:r w:rsidR="00CC67E6" w:rsidRPr="001471A0">
        <w:t xml:space="preserve">Patrick </w:t>
      </w:r>
      <w:proofErr w:type="spellStart"/>
      <w:r w:rsidR="00045432" w:rsidRPr="001471A0">
        <w:t>Bonnaud</w:t>
      </w:r>
      <w:proofErr w:type="spellEnd"/>
      <w:r w:rsidRPr="001471A0">
        <w:t xml:space="preserve">, </w:t>
      </w:r>
      <w:r w:rsidR="00045432" w:rsidRPr="001471A0">
        <w:t>conseiller référendaire</w:t>
      </w:r>
      <w:r w:rsidR="00BD5313">
        <w:t> ;</w:t>
      </w:r>
    </w:p>
    <w:p w:rsidR="00B1487D" w:rsidRPr="001471A0" w:rsidRDefault="00B1487D" w:rsidP="00BD5313">
      <w:pPr>
        <w:pStyle w:val="PS"/>
        <w:spacing w:after="360"/>
        <w:ind w:left="851" w:firstLine="567"/>
      </w:pPr>
      <w:r w:rsidRPr="001471A0">
        <w:t>Vu les conclusions n°</w:t>
      </w:r>
      <w:r w:rsidR="0026720A" w:rsidRPr="001471A0">
        <w:t> </w:t>
      </w:r>
      <w:r w:rsidRPr="001471A0">
        <w:t>6</w:t>
      </w:r>
      <w:r w:rsidR="00692379">
        <w:t>7</w:t>
      </w:r>
      <w:r w:rsidR="00EC2ED6">
        <w:t>4</w:t>
      </w:r>
      <w:r w:rsidRPr="001471A0">
        <w:t xml:space="preserve"> du Procureur général du </w:t>
      </w:r>
      <w:r w:rsidR="00692379">
        <w:t>24</w:t>
      </w:r>
      <w:r w:rsidR="00045432" w:rsidRPr="001471A0">
        <w:t xml:space="preserve"> octobre</w:t>
      </w:r>
      <w:r w:rsidRPr="001471A0">
        <w:t xml:space="preserve"> 2014</w:t>
      </w:r>
      <w:r w:rsidR="00BD5313">
        <w:t> ;</w:t>
      </w:r>
    </w:p>
    <w:p w:rsidR="00B1487D" w:rsidRPr="001471A0" w:rsidRDefault="00B1487D" w:rsidP="00BD5313">
      <w:pPr>
        <w:pStyle w:val="PS"/>
        <w:spacing w:after="360"/>
        <w:ind w:left="851" w:firstLine="567"/>
      </w:pPr>
      <w:r w:rsidRPr="001471A0">
        <w:t xml:space="preserve">Entendu, lors de l’audience publique de ce jour, </w:t>
      </w:r>
      <w:r w:rsidR="0026720A" w:rsidRPr="001471A0">
        <w:t>M.</w:t>
      </w:r>
      <w:r w:rsidR="00BD5313">
        <w:t xml:space="preserve"> </w:t>
      </w:r>
      <w:proofErr w:type="spellStart"/>
      <w:r w:rsidR="00045432" w:rsidRPr="001471A0">
        <w:t>Bonnaud</w:t>
      </w:r>
      <w:proofErr w:type="spellEnd"/>
      <w:r w:rsidR="0026720A" w:rsidRPr="001471A0">
        <w:t xml:space="preserve"> en son rapport, M</w:t>
      </w:r>
      <w:r w:rsidR="00F07C92">
        <w:t>.</w:t>
      </w:r>
      <w:r w:rsidR="00BD5313">
        <w:t xml:space="preserve"> </w:t>
      </w:r>
      <w:r w:rsidR="00692379">
        <w:t xml:space="preserve">Christian </w:t>
      </w:r>
      <w:proofErr w:type="spellStart"/>
      <w:r w:rsidR="00692379">
        <w:t>Michau</w:t>
      </w:r>
      <w:r w:rsidR="00E56475">
        <w:t>t</w:t>
      </w:r>
      <w:proofErr w:type="spellEnd"/>
      <w:r w:rsidRPr="001471A0">
        <w:t xml:space="preserve">, avocat général, en les conclusions du parquet, </w:t>
      </w:r>
      <w:r w:rsidR="0026720A" w:rsidRPr="001471A0">
        <w:t>M</w:t>
      </w:r>
      <w:r w:rsidR="00F07C92">
        <w:t>.</w:t>
      </w:r>
      <w:r w:rsidR="00BD5313">
        <w:t xml:space="preserve"> </w:t>
      </w:r>
      <w:r w:rsidR="00B979E2">
        <w:t>X</w:t>
      </w:r>
      <w:r w:rsidR="00692379">
        <w:t xml:space="preserve">, </w:t>
      </w:r>
      <w:r w:rsidR="00692379" w:rsidRPr="00F07C92">
        <w:t>appelant, présent</w:t>
      </w:r>
      <w:r w:rsidR="00F07C92" w:rsidRPr="00F07C92">
        <w:t>, ayant eu la parole en dernier</w:t>
      </w:r>
      <w:r w:rsidR="0026720A" w:rsidRPr="00F07C92">
        <w:t> </w:t>
      </w:r>
      <w:r w:rsidRPr="00F07C92">
        <w:t>;</w:t>
      </w:r>
    </w:p>
    <w:p w:rsidR="00B1487D" w:rsidRPr="001471A0" w:rsidRDefault="00B1487D" w:rsidP="00BD5313">
      <w:pPr>
        <w:pStyle w:val="PS"/>
        <w:spacing w:after="360"/>
        <w:ind w:left="851" w:firstLine="567"/>
      </w:pPr>
      <w:r w:rsidRPr="001471A0">
        <w:t>Après</w:t>
      </w:r>
      <w:r w:rsidR="00615536">
        <w:t xml:space="preserve"> avoir entendu, en délibéré, M.</w:t>
      </w:r>
      <w:r w:rsidR="00BD5313">
        <w:t xml:space="preserve"> </w:t>
      </w:r>
      <w:r w:rsidR="00692379">
        <w:t xml:space="preserve">Yves </w:t>
      </w:r>
      <w:r w:rsidR="00B47FCE">
        <w:t>Roll</w:t>
      </w:r>
      <w:r w:rsidR="00692379">
        <w:t>and</w:t>
      </w:r>
      <w:r w:rsidRPr="001471A0">
        <w:t xml:space="preserve">, </w:t>
      </w:r>
      <w:r w:rsidR="00692379">
        <w:t>conseiller maître</w:t>
      </w:r>
      <w:r w:rsidRPr="001471A0">
        <w:t>, en ses observations</w:t>
      </w:r>
      <w:r w:rsidR="006D1F24" w:rsidRPr="001471A0">
        <w:t> </w:t>
      </w:r>
      <w:r w:rsidRPr="001471A0">
        <w:t>;</w:t>
      </w:r>
    </w:p>
    <w:p w:rsidR="00AA4A32" w:rsidRDefault="00CC7EAD" w:rsidP="00BD5313">
      <w:pPr>
        <w:pStyle w:val="PS"/>
        <w:spacing w:after="360"/>
        <w:ind w:left="851" w:firstLine="567"/>
        <w:rPr>
          <w:b/>
          <w:i/>
        </w:rPr>
      </w:pPr>
      <w:r>
        <w:rPr>
          <w:b/>
          <w:i/>
        </w:rPr>
        <w:t>Sur l</w:t>
      </w:r>
      <w:r w:rsidR="00E364E4">
        <w:rPr>
          <w:b/>
          <w:i/>
        </w:rPr>
        <w:t>’existence d’</w:t>
      </w:r>
      <w:r>
        <w:rPr>
          <w:b/>
          <w:i/>
        </w:rPr>
        <w:t>un préjudice financier</w:t>
      </w:r>
    </w:p>
    <w:p w:rsidR="00CE472E" w:rsidRDefault="00B54D7A" w:rsidP="00BD5313">
      <w:pPr>
        <w:pStyle w:val="PS"/>
        <w:spacing w:after="360"/>
        <w:ind w:left="851" w:firstLine="567"/>
      </w:pPr>
      <w:r w:rsidRPr="008515ED">
        <w:t xml:space="preserve">Attendu que </w:t>
      </w:r>
      <w:r>
        <w:t>la chambre régionale des comptes d’Alsace a, par jugement n°</w:t>
      </w:r>
      <w:r w:rsidR="00615536">
        <w:t> </w:t>
      </w:r>
      <w:r>
        <w:t>2013-010 du 7 novembre 201</w:t>
      </w:r>
      <w:r w:rsidR="007816FF">
        <w:t>3</w:t>
      </w:r>
      <w:r>
        <w:t>, constitué M. </w:t>
      </w:r>
      <w:r w:rsidR="00B979E2">
        <w:t>X</w:t>
      </w:r>
      <w:r>
        <w:t xml:space="preserve"> débiteur de la </w:t>
      </w:r>
      <w:r w:rsidR="00615536">
        <w:t xml:space="preserve">communauté urbaine de Strasbourg </w:t>
      </w:r>
      <w:r>
        <w:t xml:space="preserve">de la somme de 10 885 431,83 €, pour avoir, </w:t>
      </w:r>
      <w:r w:rsidR="00E74D9E">
        <w:t>en exécution de</w:t>
      </w:r>
      <w:r>
        <w:t xml:space="preserve"> 286</w:t>
      </w:r>
      <w:r w:rsidR="00BD5313">
        <w:t xml:space="preserve"> </w:t>
      </w:r>
      <w:r>
        <w:t>mandats dont la liste est annexée au jugement, payé</w:t>
      </w:r>
      <w:r w:rsidR="00F31658">
        <w:t>, au cours de l’exercice 2007,</w:t>
      </w:r>
      <w:r>
        <w:t xml:space="preserve"> leur rémunération à des membres du personnel de la </w:t>
      </w:r>
      <w:r w:rsidR="00615536">
        <w:t xml:space="preserve">communauté </w:t>
      </w:r>
      <w:r>
        <w:t>s</w:t>
      </w:r>
      <w:r w:rsidR="00964052">
        <w:t xml:space="preserve">ans </w:t>
      </w:r>
      <w:r w:rsidR="00422310">
        <w:t xml:space="preserve">avoir </w:t>
      </w:r>
      <w:r w:rsidR="00F07C92">
        <w:t>produi</w:t>
      </w:r>
      <w:r w:rsidR="00422310">
        <w:t>t,</w:t>
      </w:r>
      <w:r w:rsidR="00F07C92">
        <w:t xml:space="preserve"> à l’appui de ces mandats</w:t>
      </w:r>
      <w:r w:rsidR="00422310">
        <w:t>,</w:t>
      </w:r>
      <w:r w:rsidR="00F07C92">
        <w:t xml:space="preserve"> les</w:t>
      </w:r>
      <w:r w:rsidR="00964052" w:rsidRPr="00964052">
        <w:t xml:space="preserve"> justifications prévues par l</w:t>
      </w:r>
      <w:r w:rsidR="004E53C6">
        <w:t>’annexe I au code général des collectivités territoriales</w:t>
      </w:r>
      <w:r w:rsidR="00E364E4">
        <w:t> </w:t>
      </w:r>
      <w:r w:rsidR="00964052" w:rsidRPr="00964052">
        <w:t>;</w:t>
      </w:r>
    </w:p>
    <w:p w:rsidR="00837225" w:rsidRDefault="00EF5453" w:rsidP="00BD5313">
      <w:pPr>
        <w:pStyle w:val="PS"/>
        <w:spacing w:after="360"/>
        <w:ind w:left="851" w:firstLine="567"/>
      </w:pPr>
      <w:r>
        <w:t>Attendu que M. </w:t>
      </w:r>
      <w:r w:rsidR="00B979E2">
        <w:t>X</w:t>
      </w:r>
      <w:r w:rsidR="00837225">
        <w:t xml:space="preserve"> ne conteste pas </w:t>
      </w:r>
      <w:r>
        <w:t>son</w:t>
      </w:r>
      <w:r w:rsidR="00837225">
        <w:t xml:space="preserve"> manquement ; qu’il demande à la Cour d’infirmer les </w:t>
      </w:r>
      <w:r w:rsidR="00227C9D">
        <w:t xml:space="preserve">seules </w:t>
      </w:r>
      <w:r w:rsidR="00837225">
        <w:t>dispositions du jugement</w:t>
      </w:r>
      <w:r w:rsidR="00227C9D">
        <w:t xml:space="preserve"> précité </w:t>
      </w:r>
      <w:r>
        <w:t xml:space="preserve">selon lesquelles </w:t>
      </w:r>
      <w:r w:rsidR="00227C9D">
        <w:t>ce manquement</w:t>
      </w:r>
      <w:r w:rsidR="00837225">
        <w:t xml:space="preserve"> </w:t>
      </w:r>
      <w:r>
        <w:t>aurait</w:t>
      </w:r>
      <w:r w:rsidR="00227C9D">
        <w:t xml:space="preserve"> causé un préjudice </w:t>
      </w:r>
      <w:r>
        <w:t xml:space="preserve">financier </w:t>
      </w:r>
      <w:r w:rsidR="00227C9D">
        <w:t xml:space="preserve">à l’établissement public et </w:t>
      </w:r>
      <w:r w:rsidR="00961287">
        <w:t xml:space="preserve">qui </w:t>
      </w:r>
      <w:r w:rsidR="00227C9D">
        <w:t>l</w:t>
      </w:r>
      <w:r w:rsidR="00961287">
        <w:t>’ont</w:t>
      </w:r>
      <w:r w:rsidR="00227C9D">
        <w:t xml:space="preserve"> déclar</w:t>
      </w:r>
      <w:r w:rsidR="00961287">
        <w:t>é par conséquent</w:t>
      </w:r>
      <w:r w:rsidR="00227C9D">
        <w:t xml:space="preserve"> débiteur de la caisse dudit établissement ;</w:t>
      </w:r>
    </w:p>
    <w:p w:rsidR="00B47FCE" w:rsidRDefault="00B47FCE" w:rsidP="00BD5313">
      <w:pPr>
        <w:pStyle w:val="PS"/>
        <w:spacing w:after="360"/>
        <w:ind w:left="851" w:firstLine="567"/>
      </w:pPr>
      <w:r w:rsidRPr="00C1155F">
        <w:t xml:space="preserve">Attendu que </w:t>
      </w:r>
      <w:r w:rsidR="00B979E2">
        <w:t>M. X</w:t>
      </w:r>
      <w:r w:rsidRPr="00C1155F">
        <w:t xml:space="preserve"> produit, à l’appui de son appel, </w:t>
      </w:r>
      <w:r w:rsidR="00F31658" w:rsidRPr="00C1155F">
        <w:t>un</w:t>
      </w:r>
      <w:r w:rsidRPr="00C1155F">
        <w:t xml:space="preserve"> </w:t>
      </w:r>
      <w:r w:rsidR="00F31658" w:rsidRPr="00C1155F">
        <w:t>cédérom</w:t>
      </w:r>
      <w:r w:rsidRPr="00C1155F">
        <w:t xml:space="preserve"> </w:t>
      </w:r>
      <w:r w:rsidR="00F31658" w:rsidRPr="00C1155F">
        <w:t>contenant le journal de paie pour l’exercice 2007</w:t>
      </w:r>
      <w:r w:rsidRPr="00C1155F">
        <w:t xml:space="preserve"> et demande à la Cour de l’admettre en justification, comme la chambre régionale des comptes d’Alsace l’a fait pour la gestion de son successeur, avec les autres éléments joints, et de dire qu</w:t>
      </w:r>
      <w:r w:rsidR="00422310">
        <w:t>e, dès lors,</w:t>
      </w:r>
      <w:r w:rsidRPr="00C1155F">
        <w:t xml:space="preserve"> les contrôles </w:t>
      </w:r>
      <w:r w:rsidR="00EF5453">
        <w:t xml:space="preserve">dont il était chargé </w:t>
      </w:r>
      <w:r w:rsidR="004E53C6">
        <w:t>s</w:t>
      </w:r>
      <w:r w:rsidRPr="00C1155F">
        <w:t xml:space="preserve">ur </w:t>
      </w:r>
      <w:r w:rsidRPr="00045161">
        <w:t>l</w:t>
      </w:r>
      <w:r w:rsidR="00045161" w:rsidRPr="00045161">
        <w:t>a justification du service fait, l’exactitude des calculs de liquidation et l</w:t>
      </w:r>
      <w:r w:rsidRPr="00045161">
        <w:t xml:space="preserve">a </w:t>
      </w:r>
      <w:r w:rsidR="00045161" w:rsidRPr="00045161">
        <w:t xml:space="preserve">production </w:t>
      </w:r>
      <w:r w:rsidRPr="00045161">
        <w:t>des</w:t>
      </w:r>
      <w:r w:rsidRPr="00C1155F">
        <w:t xml:space="preserve"> </w:t>
      </w:r>
      <w:r w:rsidR="00045161">
        <w:t xml:space="preserve">justifications relatifs aux mandats litigieux, </w:t>
      </w:r>
      <w:r w:rsidRPr="00C1155F">
        <w:lastRenderedPageBreak/>
        <w:t xml:space="preserve">ont bien été </w:t>
      </w:r>
      <w:r w:rsidR="004E53C6">
        <w:t xml:space="preserve">faits </w:t>
      </w:r>
      <w:r w:rsidRPr="00C1155F">
        <w:t xml:space="preserve">et qu’il n’y a pas </w:t>
      </w:r>
      <w:r w:rsidR="00EF5453">
        <w:t xml:space="preserve">eu </w:t>
      </w:r>
      <w:r w:rsidRPr="00C1155F">
        <w:t>de préjudice</w:t>
      </w:r>
      <w:r w:rsidR="00EF5453">
        <w:t xml:space="preserve"> financier</w:t>
      </w:r>
      <w:r w:rsidRPr="00C1155F">
        <w:t> ; qu’il souligne que le traiter différemment de son successeur, en des circonstances semblables, constituerait une in</w:t>
      </w:r>
      <w:r w:rsidR="00B7488F" w:rsidRPr="00C1155F">
        <w:t>i</w:t>
      </w:r>
      <w:r w:rsidRPr="00C1155F">
        <w:t>quité ;</w:t>
      </w:r>
    </w:p>
    <w:p w:rsidR="007F6FA4" w:rsidRDefault="007F6FA4" w:rsidP="00BD5313">
      <w:pPr>
        <w:pStyle w:val="PS"/>
        <w:spacing w:after="360"/>
        <w:ind w:left="851" w:firstLine="567"/>
      </w:pPr>
      <w:r>
        <w:t xml:space="preserve">Attendu que le ministère public </w:t>
      </w:r>
      <w:r w:rsidR="00491C38">
        <w:t>soutient</w:t>
      </w:r>
      <w:r w:rsidR="00EF5453">
        <w:t>, dans ses conclusions,</w:t>
      </w:r>
      <w:r>
        <w:t xml:space="preserve"> que la fourniture de cédéroms comprenant des bulletins de paye, qui ne </w:t>
      </w:r>
      <w:r w:rsidR="004E53C6" w:rsidRPr="00961287">
        <w:t>se</w:t>
      </w:r>
      <w:r w:rsidR="004E53C6">
        <w:t xml:space="preserve"> </w:t>
      </w:r>
      <w:r>
        <w:t>substituent aucunement aux pièces justificatives réglementaires, ne constitue</w:t>
      </w:r>
      <w:r w:rsidR="00EF5453">
        <w:t xml:space="preserve"> </w:t>
      </w:r>
      <w:r>
        <w:t>pas un élément permettant de s’assurer de l’effectivité et de la pertinence des contrôles et du visa de la paye, comme le comptable affirme y avoir procédé par voie de consultation sur les supports électroniques de l’ordonnateur ;</w:t>
      </w:r>
    </w:p>
    <w:p w:rsidR="00131BD9" w:rsidRDefault="00F31658" w:rsidP="00BD5313">
      <w:pPr>
        <w:pStyle w:val="PS"/>
        <w:spacing w:after="360"/>
        <w:ind w:left="851" w:firstLine="567"/>
      </w:pPr>
      <w:r>
        <w:t xml:space="preserve">Attendu qu’il </w:t>
      </w:r>
      <w:r w:rsidR="004915BC">
        <w:t xml:space="preserve">n’est pas contesté que </w:t>
      </w:r>
      <w:r w:rsidR="00131BD9">
        <w:t xml:space="preserve">n’étaient </w:t>
      </w:r>
      <w:r w:rsidR="00F27F04">
        <w:t>pas produit</w:t>
      </w:r>
      <w:r w:rsidR="00E62A60">
        <w:t>es</w:t>
      </w:r>
      <w:r w:rsidR="00F27F04">
        <w:t xml:space="preserve"> à l’appui des mandats </w:t>
      </w:r>
      <w:r w:rsidR="004915BC">
        <w:t>les</w:t>
      </w:r>
      <w:r w:rsidR="004915BC" w:rsidRPr="004915BC">
        <w:t xml:space="preserve"> pièces justificatives prévues </w:t>
      </w:r>
      <w:r w:rsidR="00EF5453">
        <w:t xml:space="preserve">à </w:t>
      </w:r>
      <w:r w:rsidR="00EF5453" w:rsidRPr="00EF5453">
        <w:t>l’annexe I du code général des collectivités territoriales</w:t>
      </w:r>
      <w:r w:rsidR="00EF5453">
        <w:t xml:space="preserve"> et notamment à s</w:t>
      </w:r>
      <w:r w:rsidR="00F27F04">
        <w:t>a sous-rubrique</w:t>
      </w:r>
      <w:r w:rsidR="00EF5453">
        <w:t xml:space="preserve"> 21021 « pièces générales » de s</w:t>
      </w:r>
      <w:r w:rsidR="00F27F04">
        <w:t>a rubrique 2102 « paiements ultérieurs » (des rémunérations)</w:t>
      </w:r>
      <w:r w:rsidR="00131BD9">
        <w:t xml:space="preserve"> ; que ce défaut de production </w:t>
      </w:r>
      <w:r w:rsidR="00422310">
        <w:t xml:space="preserve">a </w:t>
      </w:r>
      <w:r w:rsidR="00131BD9">
        <w:t>motiv</w:t>
      </w:r>
      <w:r w:rsidR="00422310">
        <w:t>é</w:t>
      </w:r>
      <w:r w:rsidR="00131BD9">
        <w:t xml:space="preserve"> l</w:t>
      </w:r>
      <w:r w:rsidR="00422310">
        <w:t>’engagement de la responsabilité pécuniaire et personnelle de</w:t>
      </w:r>
      <w:r w:rsidR="00131BD9">
        <w:t xml:space="preserve"> </w:t>
      </w:r>
      <w:r w:rsidR="00B979E2">
        <w:t>M. X</w:t>
      </w:r>
      <w:r w:rsidR="00BD5313">
        <w:t> </w:t>
      </w:r>
      <w:r w:rsidR="00131BD9">
        <w:t>;</w:t>
      </w:r>
    </w:p>
    <w:p w:rsidR="00F07C92" w:rsidRDefault="00F07C92" w:rsidP="00BD5313">
      <w:pPr>
        <w:pStyle w:val="PS"/>
        <w:spacing w:after="360"/>
        <w:ind w:left="851" w:firstLine="567"/>
      </w:pPr>
      <w:r>
        <w:t>Attendu que si la chambre régionale a pu juger qu</w:t>
      </w:r>
      <w:r w:rsidR="00BF0C51">
        <w:t xml:space="preserve">’en </w:t>
      </w:r>
      <w:r>
        <w:t>« </w:t>
      </w:r>
      <w:r w:rsidRPr="00C1155F">
        <w:rPr>
          <w:i/>
        </w:rPr>
        <w:t xml:space="preserve">l’absence de toute justification à l’appui des paiements </w:t>
      </w:r>
      <w:r w:rsidR="00BF0C51" w:rsidRPr="00C1155F">
        <w:rPr>
          <w:i/>
        </w:rPr>
        <w:t xml:space="preserve">de la rémunération </w:t>
      </w:r>
      <w:r w:rsidRPr="00C1155F">
        <w:rPr>
          <w:i/>
        </w:rPr>
        <w:t>des personne</w:t>
      </w:r>
      <w:r w:rsidR="00BF0C51" w:rsidRPr="00C1155F">
        <w:rPr>
          <w:i/>
        </w:rPr>
        <w:t xml:space="preserve">ls interdisant tout contrôle notamment du service fait, de la liquidation des sommes versées, du caractère libératoire de la dépense et, </w:t>
      </w:r>
      <w:r w:rsidR="00BF0C51" w:rsidRPr="00BD5313">
        <w:t>in fine</w:t>
      </w:r>
      <w:r w:rsidR="00BF0C51" w:rsidRPr="00C1155F">
        <w:rPr>
          <w:i/>
        </w:rPr>
        <w:t>, de sa nature même</w:t>
      </w:r>
      <w:r w:rsidR="00BF0C51">
        <w:t xml:space="preserve"> », ces paiements constituaient un préjudice financier, l’appelant a apporté </w:t>
      </w:r>
      <w:r w:rsidR="00EF5453">
        <w:t xml:space="preserve">depuis </w:t>
      </w:r>
      <w:r w:rsidR="00BF0C51">
        <w:t>la preuve qu’il disposait</w:t>
      </w:r>
      <w:r w:rsidR="00075E51">
        <w:t>,</w:t>
      </w:r>
      <w:r w:rsidR="00BF0C51">
        <w:t xml:space="preserve"> au moment des paiements</w:t>
      </w:r>
      <w:r w:rsidR="00075E51">
        <w:t>, d’un ensemble</w:t>
      </w:r>
      <w:r w:rsidR="00BF0C51">
        <w:t xml:space="preserve"> de pièces lui permettant de </w:t>
      </w:r>
      <w:r w:rsidR="00B7488F">
        <w:t>r</w:t>
      </w:r>
      <w:r w:rsidR="00045161">
        <w:t>éaliser c</w:t>
      </w:r>
      <w:r w:rsidR="00BF0C51">
        <w:t xml:space="preserve">es contrôles ; </w:t>
      </w:r>
      <w:r w:rsidR="009243C9" w:rsidRPr="009243C9">
        <w:t xml:space="preserve">qu’il ressort </w:t>
      </w:r>
      <w:r w:rsidR="009243C9">
        <w:t xml:space="preserve">en effet </w:t>
      </w:r>
      <w:r w:rsidR="009243C9" w:rsidRPr="009243C9">
        <w:t>des documents par l</w:t>
      </w:r>
      <w:r w:rsidR="00422310">
        <w:t>ui</w:t>
      </w:r>
      <w:r w:rsidR="009243C9" w:rsidRPr="009243C9">
        <w:t xml:space="preserve"> </w:t>
      </w:r>
      <w:r w:rsidR="00422310" w:rsidRPr="00422310">
        <w:t>communiqués</w:t>
      </w:r>
      <w:r w:rsidR="009243C9" w:rsidRPr="009243C9">
        <w:t xml:space="preserve">, notamment à l’appui de sa requête en appel ainsi que de son mémoire complémentaire du 4 novembre 2014, qu’au moment du paiement, en sus des informations obtenues par consultation sur les supports électroniques de l’ordonnateur comme il l’avait exposé en première instance, il disposait bien d’un ensemble de pièces justificatives lui permettant </w:t>
      </w:r>
      <w:r w:rsidR="00961287">
        <w:t>ces</w:t>
      </w:r>
      <w:r w:rsidR="009243C9">
        <w:t xml:space="preserve"> contrôle</w:t>
      </w:r>
      <w:r w:rsidR="00961287">
        <w:t>s</w:t>
      </w:r>
      <w:r w:rsidR="009243C9">
        <w:t> ;</w:t>
      </w:r>
      <w:r w:rsidR="009243C9" w:rsidRPr="009243C9">
        <w:t xml:space="preserve"> qu</w:t>
      </w:r>
      <w:r w:rsidR="00422310">
        <w:t>’il</w:t>
      </w:r>
      <w:r w:rsidR="009243C9">
        <w:t xml:space="preserve"> </w:t>
      </w:r>
      <w:r w:rsidR="009243C9" w:rsidRPr="009243C9">
        <w:t>a en outre apporté la preuve des nombreux contrôles effectués et de ses demandes complémentaires à l’ordonnateur</w:t>
      </w:r>
      <w:r w:rsidR="009243C9">
        <w:t> </w:t>
      </w:r>
      <w:r w:rsidR="009243C9" w:rsidRPr="009243C9">
        <w:t xml:space="preserve">; </w:t>
      </w:r>
      <w:r w:rsidR="00BF0C51">
        <w:t>que</w:t>
      </w:r>
      <w:r w:rsidR="00961287">
        <w:t>,</w:t>
      </w:r>
      <w:r w:rsidR="00BF0C51">
        <w:t xml:space="preserve"> par conséquent, l’affirmation du ministère public</w:t>
      </w:r>
      <w:r w:rsidR="00075E51">
        <w:t>,</w:t>
      </w:r>
      <w:r w:rsidR="00BF0C51">
        <w:t xml:space="preserve"> </w:t>
      </w:r>
      <w:r w:rsidR="00075E51">
        <w:t xml:space="preserve">selon laquelle les éléments produits par l’appelant ne </w:t>
      </w:r>
      <w:r w:rsidR="00075E51" w:rsidRPr="00075E51">
        <w:t>permett</w:t>
      </w:r>
      <w:r w:rsidR="00075E51">
        <w:t>e</w:t>
      </w:r>
      <w:r w:rsidR="00075E51" w:rsidRPr="00075E51">
        <w:t xml:space="preserve">nt </w:t>
      </w:r>
      <w:r w:rsidR="00075E51">
        <w:t xml:space="preserve">pas </w:t>
      </w:r>
      <w:r w:rsidR="00075E51" w:rsidRPr="00075E51">
        <w:t xml:space="preserve">de </w:t>
      </w:r>
      <w:r w:rsidR="00075E51">
        <w:t>« </w:t>
      </w:r>
      <w:r w:rsidR="00075E51" w:rsidRPr="00075E51">
        <w:rPr>
          <w:i/>
        </w:rPr>
        <w:t>s’assurer de l’effectivité et de la pertinence de ses contrôles </w:t>
      </w:r>
      <w:r w:rsidR="00075E51">
        <w:t>»</w:t>
      </w:r>
      <w:r w:rsidR="00075E51" w:rsidRPr="00075E51">
        <w:t xml:space="preserve"> </w:t>
      </w:r>
      <w:r w:rsidR="00075E51">
        <w:t>sur la paye, manque en</w:t>
      </w:r>
      <w:r w:rsidR="00BF0C51">
        <w:t xml:space="preserve"> fait </w:t>
      </w:r>
      <w:r w:rsidR="00BF0C51" w:rsidRPr="00C1155F">
        <w:t>; qu</w:t>
      </w:r>
      <w:r w:rsidR="00E12C5A" w:rsidRPr="00C1155F">
        <w:t xml:space="preserve">’il convient de donner acte </w:t>
      </w:r>
      <w:r w:rsidR="00422310">
        <w:t>à l’appelant</w:t>
      </w:r>
      <w:r w:rsidR="00E12C5A" w:rsidRPr="00C1155F">
        <w:t xml:space="preserve"> </w:t>
      </w:r>
      <w:r w:rsidR="00B7488F" w:rsidRPr="00C1155F">
        <w:t>de</w:t>
      </w:r>
      <w:r w:rsidR="00E12C5A" w:rsidRPr="00C1155F">
        <w:t xml:space="preserve"> la preuve </w:t>
      </w:r>
      <w:r w:rsidR="00B7488F" w:rsidRPr="00C1155F">
        <w:t xml:space="preserve">apportée </w:t>
      </w:r>
      <w:r w:rsidR="00E12C5A" w:rsidRPr="00C1155F">
        <w:t>qu’il disposait</w:t>
      </w:r>
      <w:r w:rsidR="004E53C6">
        <w:t>,</w:t>
      </w:r>
      <w:r w:rsidR="00E12C5A" w:rsidRPr="00C1155F">
        <w:t xml:space="preserve"> au moment d</w:t>
      </w:r>
      <w:r w:rsidR="004E53C6">
        <w:t>es</w:t>
      </w:r>
      <w:r w:rsidR="00E12C5A" w:rsidRPr="00C1155F">
        <w:t xml:space="preserve"> paiement</w:t>
      </w:r>
      <w:r w:rsidR="004E53C6">
        <w:t>s,</w:t>
      </w:r>
      <w:r w:rsidR="00075E51">
        <w:t xml:space="preserve"> d’un </w:t>
      </w:r>
      <w:r w:rsidR="00E12C5A" w:rsidRPr="00C1155F">
        <w:t>ensemble de pièces lui permettant d’assurer les contrôles lui incombant</w:t>
      </w:r>
      <w:r w:rsidR="00961287">
        <w:t xml:space="preserve"> sur les </w:t>
      </w:r>
      <w:proofErr w:type="spellStart"/>
      <w:r w:rsidR="00961287">
        <w:t>paiments</w:t>
      </w:r>
      <w:proofErr w:type="spellEnd"/>
      <w:r w:rsidR="00961287">
        <w:t xml:space="preserve"> litigieux des 286 mandats</w:t>
      </w:r>
      <w:r w:rsidR="00E12C5A" w:rsidRPr="00C1155F">
        <w:t> ;</w:t>
      </w:r>
      <w:r w:rsidR="00BF0C51">
        <w:t xml:space="preserve"> </w:t>
      </w:r>
    </w:p>
    <w:p w:rsidR="00E12C5A" w:rsidRDefault="00491C38" w:rsidP="00E364E4">
      <w:pPr>
        <w:pStyle w:val="PS"/>
        <w:ind w:left="851" w:firstLine="567"/>
      </w:pPr>
      <w:r w:rsidRPr="00491C38">
        <w:t xml:space="preserve">Attendu qu’aux termes </w:t>
      </w:r>
      <w:r w:rsidR="00B7488F">
        <w:t xml:space="preserve">du VI </w:t>
      </w:r>
      <w:r w:rsidRPr="00491C38">
        <w:t>de l’article 60 de la loi du 23 février 1963 susvisée, «</w:t>
      </w:r>
      <w:r w:rsidR="00E12C5A">
        <w:t> </w:t>
      </w:r>
      <w:r w:rsidRPr="00B7488F">
        <w:rPr>
          <w:i/>
        </w:rPr>
        <w:t xml:space="preserve">la responsabilité personnelle et pécuniaire prévue au I est mise en jeu </w:t>
      </w:r>
      <w:r w:rsidR="00B7488F" w:rsidRPr="00B7488F">
        <w:t>[…]</w:t>
      </w:r>
      <w:r w:rsidR="004E53C6">
        <w:t xml:space="preserve"> </w:t>
      </w:r>
      <w:r w:rsidRPr="00B7488F">
        <w:rPr>
          <w:i/>
        </w:rPr>
        <w:t>dans les conditions qui suivent</w:t>
      </w:r>
      <w:r w:rsidRPr="00491C38">
        <w:t xml:space="preserve"> » ; que « </w:t>
      </w:r>
      <w:r w:rsidRPr="00B7488F">
        <w:rPr>
          <w:i/>
        </w:rPr>
        <w:t xml:space="preserve">lorsque le manquement du comptable </w:t>
      </w:r>
      <w:r w:rsidRPr="00B7488F">
        <w:t xml:space="preserve">[…] </w:t>
      </w:r>
      <w:r w:rsidRPr="00B7488F">
        <w:rPr>
          <w:i/>
        </w:rPr>
        <w:t>n’a pas causé de préjudice financ</w:t>
      </w:r>
      <w:r w:rsidR="00B7488F">
        <w:rPr>
          <w:i/>
        </w:rPr>
        <w:t>i</w:t>
      </w:r>
      <w:r w:rsidRPr="00B7488F">
        <w:rPr>
          <w:i/>
        </w:rPr>
        <w:t>er à l’organisme public concerné, le juge des comptes peut l’obliger à s’acquitter d’une somme, arrêtée pour chaque exercice, en tenant compte des circonstances de l’espèce</w:t>
      </w:r>
      <w:r w:rsidR="00B7488F">
        <w:t xml:space="preserve"> » ; que « </w:t>
      </w:r>
      <w:r w:rsidRPr="00B7488F">
        <w:rPr>
          <w:i/>
        </w:rPr>
        <w:t>lorsque le manq</w:t>
      </w:r>
      <w:r w:rsidR="00B7488F">
        <w:rPr>
          <w:i/>
        </w:rPr>
        <w:t>u</w:t>
      </w:r>
      <w:r w:rsidRPr="00B7488F">
        <w:rPr>
          <w:i/>
        </w:rPr>
        <w:t xml:space="preserve">ement du comptable </w:t>
      </w:r>
      <w:r w:rsidRPr="00B7488F">
        <w:t>[</w:t>
      </w:r>
      <w:proofErr w:type="gramStart"/>
      <w:r w:rsidRPr="00B7488F">
        <w:t>..]</w:t>
      </w:r>
      <w:proofErr w:type="gramEnd"/>
      <w:r w:rsidRPr="00B7488F">
        <w:rPr>
          <w:i/>
        </w:rPr>
        <w:t xml:space="preserve"> </w:t>
      </w:r>
      <w:proofErr w:type="gramStart"/>
      <w:r w:rsidRPr="00B7488F">
        <w:rPr>
          <w:i/>
        </w:rPr>
        <w:t>a</w:t>
      </w:r>
      <w:proofErr w:type="gramEnd"/>
      <w:r w:rsidRPr="00B7488F">
        <w:rPr>
          <w:i/>
        </w:rPr>
        <w:t xml:space="preserve"> causé un préjudice financier à l’organisme public concerné, </w:t>
      </w:r>
      <w:r w:rsidRPr="00B7488F">
        <w:t xml:space="preserve">[…] </w:t>
      </w:r>
      <w:r w:rsidRPr="00B7488F">
        <w:rPr>
          <w:i/>
        </w:rPr>
        <w:t>le c</w:t>
      </w:r>
      <w:r w:rsidR="00E12C5A" w:rsidRPr="00B7488F">
        <w:rPr>
          <w:i/>
        </w:rPr>
        <w:t>omptable a l’obligation de vers</w:t>
      </w:r>
      <w:r w:rsidRPr="00B7488F">
        <w:rPr>
          <w:i/>
        </w:rPr>
        <w:t>er immédiatement de ses deniers personnels la somme correspondante</w:t>
      </w:r>
      <w:r w:rsidR="00B7488F">
        <w:rPr>
          <w:i/>
        </w:rPr>
        <w:t> </w:t>
      </w:r>
      <w:r w:rsidRPr="00491C38">
        <w:t>»</w:t>
      </w:r>
      <w:r w:rsidR="00BD5313">
        <w:t> </w:t>
      </w:r>
      <w:r w:rsidRPr="00491C38">
        <w:t xml:space="preserve">; qu’il </w:t>
      </w:r>
      <w:r w:rsidR="004E53C6">
        <w:t xml:space="preserve">en </w:t>
      </w:r>
      <w:r w:rsidRPr="00491C38">
        <w:t>résulte que lorsque l’instance est ouverte devant le juge des comptes, le constat de l’existence ou non d’un préjudice financier relève de l’appréciation de ce juge</w:t>
      </w:r>
      <w:r w:rsidR="00BD5313">
        <w:t> ;</w:t>
      </w:r>
    </w:p>
    <w:p w:rsidR="009243C9" w:rsidRDefault="00E12C5A" w:rsidP="00BD5313">
      <w:pPr>
        <w:pStyle w:val="PS"/>
        <w:spacing w:after="360"/>
        <w:ind w:left="851" w:firstLine="567"/>
      </w:pPr>
      <w:r>
        <w:lastRenderedPageBreak/>
        <w:t>Attendu que le ministère public fait valoir que « </w:t>
      </w:r>
      <w:r w:rsidRPr="00B7488F">
        <w:rPr>
          <w:i/>
        </w:rPr>
        <w:t>la preuve d’un préjudice n’est pas subordonnée à la mise en évidence, par le juge, d’un trop-payé ou d’une erreur de liquidation, qui ne peut par construction être démontrée lorsque, comme en l’espèce, les pièces justificatives font défaut </w:t>
      </w:r>
      <w:r w:rsidR="00BD5313">
        <w:t>» ;</w:t>
      </w:r>
    </w:p>
    <w:p w:rsidR="00B47FCE" w:rsidRDefault="009243C9" w:rsidP="00E364E4">
      <w:pPr>
        <w:pStyle w:val="PS"/>
        <w:ind w:left="851" w:firstLine="567"/>
      </w:pPr>
      <w:r w:rsidRPr="009742DB">
        <w:t xml:space="preserve">Attendu </w:t>
      </w:r>
      <w:r w:rsidR="00C13D18" w:rsidRPr="009742DB">
        <w:t>qu’</w:t>
      </w:r>
      <w:r w:rsidR="00E12C5A" w:rsidRPr="009742DB">
        <w:t xml:space="preserve">en dépense, un préjudice </w:t>
      </w:r>
      <w:r w:rsidR="00C016F2" w:rsidRPr="009742DB">
        <w:t xml:space="preserve">financier </w:t>
      </w:r>
      <w:r w:rsidR="00E12C5A" w:rsidRPr="009742DB">
        <w:t>pour la collectivité ne peut résulter que du paiement d’une somme dont elle n</w:t>
      </w:r>
      <w:r w:rsidRPr="009742DB">
        <w:t>’était</w:t>
      </w:r>
      <w:r w:rsidR="00E12C5A" w:rsidRPr="009742DB">
        <w:t xml:space="preserve"> pas </w:t>
      </w:r>
      <w:r w:rsidR="00B7488F" w:rsidRPr="009742DB">
        <w:t>redevable</w:t>
      </w:r>
      <w:r w:rsidR="00E12C5A" w:rsidRPr="009742DB">
        <w:t xml:space="preserve"> ; </w:t>
      </w:r>
      <w:r w:rsidR="00D96D80" w:rsidRPr="009742DB">
        <w:t>qu’au cas d’espèce,</w:t>
      </w:r>
      <w:r w:rsidR="0038215B">
        <w:t xml:space="preserve"> s’agissant de traitement de fonctionnaires et d’agents de la collectivité,</w:t>
      </w:r>
      <w:r w:rsidR="00D96D80" w:rsidRPr="009742DB">
        <w:t xml:space="preserve"> </w:t>
      </w:r>
      <w:r w:rsidRPr="009742DB">
        <w:t>il n’est pas ét</w:t>
      </w:r>
      <w:r w:rsidR="008D1B2A" w:rsidRPr="009742DB">
        <w:t>a</w:t>
      </w:r>
      <w:r w:rsidRPr="009742DB">
        <w:t xml:space="preserve">bli que </w:t>
      </w:r>
      <w:r w:rsidR="00D96D80" w:rsidRPr="009742DB">
        <w:t xml:space="preserve">les manquements </w:t>
      </w:r>
      <w:r w:rsidR="00C13D18" w:rsidRPr="009742DB">
        <w:t xml:space="preserve">résultant de la non-production des pièces justificatives </w:t>
      </w:r>
      <w:r w:rsidRPr="009742DB">
        <w:t xml:space="preserve">prévues par la </w:t>
      </w:r>
      <w:r w:rsidR="009742DB" w:rsidRPr="009742DB">
        <w:t>réglementation</w:t>
      </w:r>
      <w:r w:rsidRPr="009742DB">
        <w:t xml:space="preserve"> à l’appui des mandats,</w:t>
      </w:r>
      <w:r w:rsidR="00C13D18" w:rsidRPr="009742DB">
        <w:t xml:space="preserve"> alors</w:t>
      </w:r>
      <w:r w:rsidR="00C13D18">
        <w:t xml:space="preserve"> qu’il est </w:t>
      </w:r>
      <w:r w:rsidR="006E233C">
        <w:t>prouvé</w:t>
      </w:r>
      <w:r w:rsidR="00C13D18">
        <w:t xml:space="preserve">, comme </w:t>
      </w:r>
      <w:r>
        <w:t xml:space="preserve">susdit, </w:t>
      </w:r>
      <w:r w:rsidR="00C13D18">
        <w:t>que le comptable disposait</w:t>
      </w:r>
      <w:r>
        <w:t xml:space="preserve">, au moment du paiement, </w:t>
      </w:r>
      <w:r w:rsidRPr="009243C9">
        <w:t xml:space="preserve">d’un ensemble de pièces lui permettant d’assurer les contrôles </w:t>
      </w:r>
      <w:r w:rsidR="00190328">
        <w:t xml:space="preserve">sur la paye </w:t>
      </w:r>
      <w:r w:rsidRPr="009243C9">
        <w:t>lui incombant</w:t>
      </w:r>
      <w:r w:rsidR="00C13D18">
        <w:t xml:space="preserve">, </w:t>
      </w:r>
      <w:r>
        <w:t xml:space="preserve">auraient conduit </w:t>
      </w:r>
      <w:r w:rsidR="00E12C5A">
        <w:t xml:space="preserve">l’établissement public </w:t>
      </w:r>
      <w:r w:rsidR="008D1B2A">
        <w:t>à</w:t>
      </w:r>
      <w:r w:rsidR="00C13D18">
        <w:t xml:space="preserve"> pay</w:t>
      </w:r>
      <w:r>
        <w:t>er</w:t>
      </w:r>
      <w:r w:rsidR="00E12C5A">
        <w:t xml:space="preserve"> des sommes qu’il ne devait pas</w:t>
      </w:r>
      <w:r w:rsidR="00D96D80">
        <w:t> ; que le moyen du requérant doit donc être accueilli</w:t>
      </w:r>
      <w:r w:rsidR="00B7488F">
        <w:t> ;</w:t>
      </w:r>
      <w:r w:rsidR="00E12C5A">
        <w:t xml:space="preserve"> qu’ainsi</w:t>
      </w:r>
      <w:r w:rsidR="00D96D80">
        <w:t>, sans qu’il soit besoin d’examiner les autres moyens de</w:t>
      </w:r>
      <w:r w:rsidR="00422310">
        <w:t xml:space="preserve"> la requête</w:t>
      </w:r>
      <w:r w:rsidR="00D96D80">
        <w:t xml:space="preserve">, le jugement </w:t>
      </w:r>
      <w:r w:rsidR="00E12C5A">
        <w:t xml:space="preserve">entrepris </w:t>
      </w:r>
      <w:r w:rsidR="00D96D80">
        <w:t xml:space="preserve">doit </w:t>
      </w:r>
      <w:r w:rsidR="00E12C5A">
        <w:t xml:space="preserve">être </w:t>
      </w:r>
      <w:r w:rsidR="00D96D80">
        <w:t>infirmé en ce qu’il a constitué</w:t>
      </w:r>
      <w:r w:rsidR="00422310" w:rsidRPr="00422310">
        <w:t xml:space="preserve"> </w:t>
      </w:r>
      <w:r w:rsidR="00B979E2">
        <w:t>M. X</w:t>
      </w:r>
      <w:r w:rsidR="00D96D80">
        <w:t xml:space="preserve">, débiteur de la </w:t>
      </w:r>
      <w:r w:rsidR="00E12C5A">
        <w:t xml:space="preserve">communauté urbaine de Strasbourg </w:t>
      </w:r>
      <w:r w:rsidR="00D96D80">
        <w:t>de la somme de 10 885 431, 83 € ;</w:t>
      </w:r>
    </w:p>
    <w:p w:rsidR="00E335E7" w:rsidRPr="0025636F" w:rsidRDefault="00E335E7" w:rsidP="00E364E4">
      <w:pPr>
        <w:pStyle w:val="PS"/>
        <w:ind w:left="851" w:firstLine="567"/>
        <w:rPr>
          <w:b/>
          <w:i/>
        </w:rPr>
      </w:pPr>
      <w:r w:rsidRPr="0025636F">
        <w:rPr>
          <w:b/>
          <w:i/>
        </w:rPr>
        <w:t>Sur la somme mise à la charge du comptable</w:t>
      </w:r>
    </w:p>
    <w:p w:rsidR="00E335E7" w:rsidRDefault="0025636F" w:rsidP="00E364E4">
      <w:pPr>
        <w:pStyle w:val="PS"/>
        <w:ind w:left="851" w:firstLine="567"/>
      </w:pPr>
      <w:r>
        <w:t>Attendu qu’en application du VI de l’article 60 de la loi du 23 février 1963</w:t>
      </w:r>
      <w:r w:rsidR="004E2082">
        <w:t xml:space="preserve"> précité</w:t>
      </w:r>
      <w:r>
        <w:t>, dès lors que le manquement du comptable à ses obligations n’a pas causé de préjudice financier à l’organisme concerné, le juge des comptes peut l’obliger à s’acquitter d’une somme arrêtée, pour chaque exercice, en tenant compte des circonstances de l’espèce ; qu’aux termes du décret n°</w:t>
      </w:r>
      <w:r w:rsidR="00075E51">
        <w:t> </w:t>
      </w:r>
      <w:r w:rsidR="007816FF">
        <w:t>2012-1386 du 10</w:t>
      </w:r>
      <w:r w:rsidR="00BD5313">
        <w:t xml:space="preserve"> </w:t>
      </w:r>
      <w:r w:rsidR="007816FF">
        <w:t>décembre</w:t>
      </w:r>
      <w:r w:rsidR="00BD5313">
        <w:t xml:space="preserve"> </w:t>
      </w:r>
      <w:r>
        <w:t>2012, pris pour l’application de ces disposition</w:t>
      </w:r>
      <w:r w:rsidR="00CF5FC2">
        <w:t>s, la somme maximale pouv</w:t>
      </w:r>
      <w:r>
        <w:t>ant être mise à la charge du comptable est fixée à un millième et demi du montant du cautionnement prévu pour le poste comptable considéré ;</w:t>
      </w:r>
    </w:p>
    <w:p w:rsidR="0025636F" w:rsidRDefault="00CF5FC2" w:rsidP="00BD5313">
      <w:pPr>
        <w:pStyle w:val="PS"/>
        <w:spacing w:after="360"/>
        <w:ind w:left="851" w:firstLine="567"/>
      </w:pPr>
      <w:r>
        <w:t>Attendu que, pour la période considérée, le montant du cautionnement de M.</w:t>
      </w:r>
      <w:r w:rsidR="00B54D7A">
        <w:t> </w:t>
      </w:r>
      <w:r w:rsidR="00B979E2">
        <w:t>X</w:t>
      </w:r>
      <w:r>
        <w:t xml:space="preserve"> s’élevait à la somme de 227 000 €, qu’ainsi la somme maximale pouvant être mise à sa charge s’élève à 340,50 € ;</w:t>
      </w:r>
    </w:p>
    <w:p w:rsidR="00785604" w:rsidRDefault="00CF5FC2" w:rsidP="00BD5313">
      <w:pPr>
        <w:pStyle w:val="PS"/>
        <w:spacing w:after="360"/>
        <w:ind w:left="851" w:firstLine="567"/>
      </w:pPr>
      <w:r>
        <w:t>Attendu qu</w:t>
      </w:r>
      <w:r w:rsidR="004E2082">
        <w:t>e l</w:t>
      </w:r>
      <w:r w:rsidR="00045161">
        <w:t>’appelant</w:t>
      </w:r>
      <w:r w:rsidR="004E2082">
        <w:t xml:space="preserve"> avance divers moyens tendant à ce que cette somme soit fixée </w:t>
      </w:r>
      <w:r w:rsidR="004E2082" w:rsidRPr="00045161">
        <w:rPr>
          <w:i/>
        </w:rPr>
        <w:t>a minima</w:t>
      </w:r>
      <w:r w:rsidR="004E2082">
        <w:t xml:space="preserve">, notamment l’absence de dispositif permettant l’échange de données dématérialisées </w:t>
      </w:r>
      <w:r w:rsidR="00DF7699">
        <w:t xml:space="preserve">avec les </w:t>
      </w:r>
      <w:r w:rsidR="009742DB">
        <w:t>services</w:t>
      </w:r>
      <w:r w:rsidR="00DF7699">
        <w:t xml:space="preserve"> de l’ordonnateur </w:t>
      </w:r>
      <w:r w:rsidR="004E2082">
        <w:t xml:space="preserve">après que la communauté a changé de prestataire chargé d’établir la paye ; qu’il fait valoir </w:t>
      </w:r>
      <w:r w:rsidR="00785604">
        <w:t>sa bonne gestion</w:t>
      </w:r>
      <w:r w:rsidR="00045161">
        <w:t xml:space="preserve"> en </w:t>
      </w:r>
      <w:proofErr w:type="gramStart"/>
      <w:r w:rsidR="00045161">
        <w:t>général</w:t>
      </w:r>
      <w:proofErr w:type="gramEnd"/>
      <w:r w:rsidR="00785604">
        <w:t xml:space="preserve">, en dépit de la réduction des effectifs du poste comptable et de systèmes d’information peu adaptés ou peu performants ; </w:t>
      </w:r>
    </w:p>
    <w:p w:rsidR="00CF5FC2" w:rsidRDefault="00785604" w:rsidP="00E364E4">
      <w:pPr>
        <w:pStyle w:val="PS"/>
        <w:ind w:left="851" w:firstLine="567"/>
      </w:pPr>
      <w:r>
        <w:t>Attendu cependant qu</w:t>
      </w:r>
      <w:r w:rsidR="00CF5FC2">
        <w:t>’eu égard à la gravité et à la durée d</w:t>
      </w:r>
      <w:r>
        <w:t>es</w:t>
      </w:r>
      <w:r w:rsidR="00CF5FC2">
        <w:t xml:space="preserve"> manquement</w:t>
      </w:r>
      <w:r>
        <w:t>s</w:t>
      </w:r>
      <w:r w:rsidR="00CF5FC2">
        <w:t xml:space="preserve"> du comptable</w:t>
      </w:r>
      <w:r>
        <w:t xml:space="preserve">, et en </w:t>
      </w:r>
      <w:r w:rsidR="009742DB">
        <w:t>considérant</w:t>
      </w:r>
      <w:r>
        <w:t xml:space="preserve"> que le défaut de pièces justificatives à l’appui des 286 m</w:t>
      </w:r>
      <w:r w:rsidR="00045161">
        <w:t>a</w:t>
      </w:r>
      <w:r>
        <w:t>ndats litigieux, forment un seul et même manquement</w:t>
      </w:r>
      <w:r w:rsidR="00CF5FC2">
        <w:t xml:space="preserve">, il y a lieu </w:t>
      </w:r>
      <w:r>
        <w:t xml:space="preserve">d’arrêter le montant </w:t>
      </w:r>
      <w:r w:rsidR="00CF5FC2">
        <w:t xml:space="preserve">de la somme </w:t>
      </w:r>
      <w:r w:rsidR="00DF7699">
        <w:t>irrémissible à mettre à s</w:t>
      </w:r>
      <w:r>
        <w:t xml:space="preserve">a charge au </w:t>
      </w:r>
      <w:r w:rsidR="00CF5FC2">
        <w:t>maxim</w:t>
      </w:r>
      <w:r>
        <w:t>um</w:t>
      </w:r>
      <w:r w:rsidR="00CF5FC2">
        <w:t xml:space="preserve"> prévu par les </w:t>
      </w:r>
      <w:r w:rsidR="00DF7699">
        <w:t>règles en vigueur</w:t>
      </w:r>
      <w:r w:rsidR="00CF5FC2">
        <w:t>, soit 340,50 € ;</w:t>
      </w:r>
    </w:p>
    <w:p w:rsidR="00D60D8C" w:rsidRPr="00D60D8C" w:rsidRDefault="00D60D8C" w:rsidP="00E364E4">
      <w:pPr>
        <w:spacing w:after="480"/>
        <w:ind w:left="851" w:firstLine="567"/>
        <w:jc w:val="both"/>
        <w:rPr>
          <w:sz w:val="24"/>
        </w:rPr>
      </w:pPr>
      <w:r w:rsidRPr="00D60D8C">
        <w:rPr>
          <w:sz w:val="24"/>
        </w:rPr>
        <w:lastRenderedPageBreak/>
        <w:t>Par ces motifs,</w:t>
      </w:r>
    </w:p>
    <w:p w:rsidR="00D60D8C" w:rsidRPr="00D60D8C" w:rsidRDefault="00D60D8C" w:rsidP="00BD5313">
      <w:pPr>
        <w:spacing w:after="480"/>
        <w:ind w:left="851"/>
        <w:jc w:val="center"/>
        <w:rPr>
          <w:sz w:val="24"/>
        </w:rPr>
      </w:pPr>
      <w:r w:rsidRPr="00D60D8C">
        <w:rPr>
          <w:sz w:val="24"/>
        </w:rPr>
        <w:t>DECIDE :</w:t>
      </w:r>
    </w:p>
    <w:p w:rsidR="00430D84" w:rsidRDefault="004F55DA" w:rsidP="00BD5313">
      <w:pPr>
        <w:spacing w:after="480"/>
        <w:ind w:left="851"/>
        <w:jc w:val="both"/>
        <w:rPr>
          <w:sz w:val="24"/>
        </w:rPr>
      </w:pPr>
      <w:r w:rsidRPr="00BD5313">
        <w:rPr>
          <w:sz w:val="24"/>
          <w:u w:val="single"/>
        </w:rPr>
        <w:t xml:space="preserve">Article </w:t>
      </w:r>
      <w:r w:rsidR="00541D68" w:rsidRPr="00BD5313">
        <w:rPr>
          <w:sz w:val="24"/>
          <w:u w:val="single"/>
        </w:rPr>
        <w:t>1</w:t>
      </w:r>
      <w:r w:rsidR="00BD6B9D">
        <w:rPr>
          <w:sz w:val="24"/>
        </w:rPr>
        <w:t> </w:t>
      </w:r>
      <w:r w:rsidR="00785604">
        <w:rPr>
          <w:sz w:val="24"/>
        </w:rPr>
        <w:t>-</w:t>
      </w:r>
      <w:r w:rsidR="00D60D8C" w:rsidRPr="00D60D8C">
        <w:rPr>
          <w:sz w:val="24"/>
        </w:rPr>
        <w:t> </w:t>
      </w:r>
      <w:r w:rsidR="00541D68">
        <w:rPr>
          <w:sz w:val="24"/>
        </w:rPr>
        <w:t>Le jugement n°</w:t>
      </w:r>
      <w:r w:rsidR="00785604">
        <w:rPr>
          <w:sz w:val="24"/>
        </w:rPr>
        <w:t> </w:t>
      </w:r>
      <w:r w:rsidR="00541D68">
        <w:rPr>
          <w:sz w:val="24"/>
        </w:rPr>
        <w:t>2013-010</w:t>
      </w:r>
      <w:r w:rsidR="00495722">
        <w:rPr>
          <w:sz w:val="24"/>
        </w:rPr>
        <w:t xml:space="preserve"> </w:t>
      </w:r>
      <w:r w:rsidR="00785604">
        <w:rPr>
          <w:sz w:val="24"/>
        </w:rPr>
        <w:t>de</w:t>
      </w:r>
      <w:r w:rsidR="00495722">
        <w:rPr>
          <w:sz w:val="24"/>
        </w:rPr>
        <w:t xml:space="preserve"> la chambre régionale des comptes d’Alsace est infirmé en ce </w:t>
      </w:r>
      <w:r w:rsidR="00CC7EAD">
        <w:rPr>
          <w:sz w:val="24"/>
        </w:rPr>
        <w:t xml:space="preserve">qu’il a </w:t>
      </w:r>
      <w:r w:rsidR="004C013A">
        <w:rPr>
          <w:sz w:val="24"/>
        </w:rPr>
        <w:t>considéré qu’en procédant au paiement</w:t>
      </w:r>
      <w:r w:rsidR="00785604">
        <w:rPr>
          <w:sz w:val="24"/>
        </w:rPr>
        <w:t>, en 2007,</w:t>
      </w:r>
      <w:r w:rsidR="004C013A">
        <w:rPr>
          <w:sz w:val="24"/>
        </w:rPr>
        <w:t xml:space="preserve"> de </w:t>
      </w:r>
      <w:r w:rsidR="00785604">
        <w:rPr>
          <w:sz w:val="24"/>
        </w:rPr>
        <w:t xml:space="preserve">286 mandats de </w:t>
      </w:r>
      <w:r w:rsidR="004C013A">
        <w:rPr>
          <w:sz w:val="24"/>
        </w:rPr>
        <w:t xml:space="preserve">rémunérations sans pièces justificatives </w:t>
      </w:r>
      <w:r w:rsidR="00785604">
        <w:rPr>
          <w:sz w:val="24"/>
        </w:rPr>
        <w:t>produites à l’appui de ces mandats</w:t>
      </w:r>
      <w:r w:rsidR="004C013A">
        <w:rPr>
          <w:sz w:val="24"/>
        </w:rPr>
        <w:t xml:space="preserve"> (charge n° 3 du réquisitoire), M.</w:t>
      </w:r>
      <w:r w:rsidR="00785604">
        <w:rPr>
          <w:sz w:val="24"/>
        </w:rPr>
        <w:t> </w:t>
      </w:r>
      <w:r w:rsidR="00B979E2">
        <w:rPr>
          <w:sz w:val="24"/>
        </w:rPr>
        <w:t>X</w:t>
      </w:r>
      <w:r w:rsidR="004C013A">
        <w:rPr>
          <w:sz w:val="24"/>
        </w:rPr>
        <w:t xml:space="preserve"> a causé un préjudice </w:t>
      </w:r>
      <w:r w:rsidR="00785604">
        <w:rPr>
          <w:sz w:val="24"/>
        </w:rPr>
        <w:t xml:space="preserve">financier </w:t>
      </w:r>
      <w:r w:rsidR="004C013A">
        <w:rPr>
          <w:sz w:val="24"/>
        </w:rPr>
        <w:t>à la communauté urbaine de Strasbourg et en ce qu’il l’a</w:t>
      </w:r>
      <w:r w:rsidR="00422310">
        <w:rPr>
          <w:sz w:val="24"/>
        </w:rPr>
        <w:t xml:space="preserve"> par conséquent</w:t>
      </w:r>
      <w:r w:rsidR="004C013A">
        <w:rPr>
          <w:sz w:val="24"/>
        </w:rPr>
        <w:t xml:space="preserve"> </w:t>
      </w:r>
      <w:r w:rsidR="00430D84">
        <w:rPr>
          <w:sz w:val="24"/>
        </w:rPr>
        <w:t>constitué débiteur de la somme de 10 885 431,83 €</w:t>
      </w:r>
      <w:r w:rsidR="00A03E92">
        <w:rPr>
          <w:sz w:val="24"/>
        </w:rPr>
        <w:t>.</w:t>
      </w:r>
    </w:p>
    <w:p w:rsidR="00430D84" w:rsidRDefault="00430D84" w:rsidP="00334C55">
      <w:pPr>
        <w:spacing w:after="480"/>
        <w:ind w:left="851"/>
        <w:jc w:val="both"/>
        <w:rPr>
          <w:sz w:val="24"/>
        </w:rPr>
      </w:pPr>
      <w:r w:rsidRPr="00334C55">
        <w:rPr>
          <w:sz w:val="24"/>
          <w:u w:val="single"/>
        </w:rPr>
        <w:t>Article 2</w:t>
      </w:r>
      <w:r>
        <w:rPr>
          <w:sz w:val="24"/>
        </w:rPr>
        <w:t> </w:t>
      </w:r>
      <w:r w:rsidR="00785604">
        <w:rPr>
          <w:sz w:val="24"/>
        </w:rPr>
        <w:t>- </w:t>
      </w:r>
      <w:r>
        <w:rPr>
          <w:sz w:val="24"/>
        </w:rPr>
        <w:t xml:space="preserve"> La somme </w:t>
      </w:r>
      <w:r w:rsidR="00CC7EAD">
        <w:rPr>
          <w:sz w:val="24"/>
        </w:rPr>
        <w:t xml:space="preserve">non rémissible </w:t>
      </w:r>
      <w:r w:rsidR="00422310">
        <w:rPr>
          <w:sz w:val="24"/>
        </w:rPr>
        <w:t>de 340,50 </w:t>
      </w:r>
      <w:r>
        <w:rPr>
          <w:sz w:val="24"/>
        </w:rPr>
        <w:t>€ est mise à la charge de M.</w:t>
      </w:r>
      <w:r w:rsidR="00785604">
        <w:rPr>
          <w:sz w:val="24"/>
        </w:rPr>
        <w:t> </w:t>
      </w:r>
      <w:r w:rsidR="00B979E2">
        <w:rPr>
          <w:sz w:val="24"/>
        </w:rPr>
        <w:t>X</w:t>
      </w:r>
      <w:r>
        <w:rPr>
          <w:sz w:val="24"/>
        </w:rPr>
        <w:t>, pour avoir, en procédant auxdits paiements, manqué à s</w:t>
      </w:r>
      <w:r w:rsidR="00045161">
        <w:rPr>
          <w:sz w:val="24"/>
        </w:rPr>
        <w:t>on</w:t>
      </w:r>
      <w:r>
        <w:rPr>
          <w:sz w:val="24"/>
        </w:rPr>
        <w:t xml:space="preserve"> obligation</w:t>
      </w:r>
      <w:r w:rsidR="00785604">
        <w:rPr>
          <w:sz w:val="24"/>
        </w:rPr>
        <w:t xml:space="preserve"> de contrôle</w:t>
      </w:r>
      <w:r w:rsidR="00045161">
        <w:rPr>
          <w:sz w:val="24"/>
        </w:rPr>
        <w:t>r la production, à l’appui des mandats, des pièces justificatives prévues par la réglementation</w:t>
      </w:r>
      <w:r w:rsidR="00785604">
        <w:rPr>
          <w:sz w:val="24"/>
        </w:rPr>
        <w:t>.</w:t>
      </w:r>
      <w:r>
        <w:rPr>
          <w:sz w:val="24"/>
        </w:rPr>
        <w:t xml:space="preserve"> </w:t>
      </w:r>
    </w:p>
    <w:p w:rsidR="00F1372B" w:rsidRDefault="00F1372B" w:rsidP="00334C55">
      <w:pPr>
        <w:pStyle w:val="PS"/>
        <w:ind w:left="851" w:firstLine="0"/>
        <w:jc w:val="center"/>
      </w:pPr>
      <w:r>
        <w:t>------</w:t>
      </w:r>
    </w:p>
    <w:p w:rsidR="00CC7EAD" w:rsidRDefault="00CC7EAD" w:rsidP="00E364E4">
      <w:pPr>
        <w:spacing w:after="480"/>
        <w:ind w:left="851" w:firstLine="567"/>
        <w:jc w:val="both"/>
        <w:rPr>
          <w:sz w:val="24"/>
          <w:szCs w:val="24"/>
        </w:rPr>
      </w:pPr>
      <w:r w:rsidRPr="00122AEB">
        <w:rPr>
          <w:sz w:val="24"/>
          <w:szCs w:val="24"/>
        </w:rPr>
        <w:t xml:space="preserve">Fait et jugé en la Cour des comptes, quatrième chambre, première section. Présents : M. </w:t>
      </w:r>
      <w:r>
        <w:rPr>
          <w:sz w:val="24"/>
          <w:szCs w:val="24"/>
        </w:rPr>
        <w:t>Ganser</w:t>
      </w:r>
      <w:r w:rsidRPr="00122AEB">
        <w:rPr>
          <w:sz w:val="24"/>
          <w:szCs w:val="24"/>
        </w:rPr>
        <w:t>, président</w:t>
      </w:r>
      <w:r>
        <w:rPr>
          <w:sz w:val="24"/>
          <w:szCs w:val="24"/>
        </w:rPr>
        <w:t xml:space="preserve"> de section, président de séance</w:t>
      </w:r>
      <w:r w:rsidRPr="00122AEB">
        <w:rPr>
          <w:sz w:val="24"/>
          <w:szCs w:val="24"/>
        </w:rPr>
        <w:t>, M</w:t>
      </w:r>
      <w:r w:rsidRPr="00334C55">
        <w:rPr>
          <w:sz w:val="24"/>
          <w:szCs w:val="24"/>
          <w:vertAlign w:val="superscript"/>
        </w:rPr>
        <w:t>me</w:t>
      </w:r>
      <w:r w:rsidRPr="00122AEB">
        <w:rPr>
          <w:sz w:val="24"/>
          <w:szCs w:val="24"/>
        </w:rPr>
        <w:t xml:space="preserve"> Froment-Meurice, présidente de chambre maintenue en activité, </w:t>
      </w:r>
      <w:r w:rsidR="007816FF">
        <w:rPr>
          <w:sz w:val="24"/>
          <w:szCs w:val="24"/>
        </w:rPr>
        <w:t xml:space="preserve">M. Bertucci, </w:t>
      </w:r>
      <w:r>
        <w:rPr>
          <w:sz w:val="24"/>
          <w:szCs w:val="24"/>
        </w:rPr>
        <w:t>M</w:t>
      </w:r>
      <w:bookmarkStart w:id="0" w:name="_GoBack"/>
      <w:r w:rsidRPr="00334C55">
        <w:rPr>
          <w:sz w:val="24"/>
          <w:szCs w:val="24"/>
          <w:vertAlign w:val="superscript"/>
        </w:rPr>
        <w:t>me</w:t>
      </w:r>
      <w:bookmarkEnd w:id="0"/>
      <w:r>
        <w:rPr>
          <w:sz w:val="24"/>
          <w:szCs w:val="24"/>
        </w:rPr>
        <w:t xml:space="preserve"> Gadriot-Renard et</w:t>
      </w:r>
      <w:r w:rsidR="007816FF">
        <w:rPr>
          <w:sz w:val="24"/>
          <w:szCs w:val="24"/>
        </w:rPr>
        <w:t xml:space="preserve"> M. Rolland</w:t>
      </w:r>
      <w:r w:rsidRPr="00122AEB">
        <w:rPr>
          <w:sz w:val="24"/>
          <w:szCs w:val="24"/>
        </w:rPr>
        <w:t>, conseillers maîtres.</w:t>
      </w:r>
    </w:p>
    <w:p w:rsidR="00171C8F" w:rsidRPr="00200B02" w:rsidRDefault="00171C8F" w:rsidP="00171C8F">
      <w:pPr>
        <w:spacing w:after="480"/>
        <w:ind w:left="1134" w:firstLine="851"/>
        <w:jc w:val="both"/>
        <w:rPr>
          <w:sz w:val="24"/>
          <w:szCs w:val="24"/>
        </w:rPr>
      </w:pPr>
      <w:r>
        <w:rPr>
          <w:sz w:val="24"/>
          <w:szCs w:val="24"/>
        </w:rPr>
        <w:br w:type="column"/>
      </w:r>
      <w:r w:rsidRPr="00200B02">
        <w:rPr>
          <w:sz w:val="24"/>
          <w:szCs w:val="24"/>
        </w:rPr>
        <w:lastRenderedPageBreak/>
        <w:t>Signé : Gérard Ganser président de section, et Marie-Hélène Paris-Varin, greffier de séance.</w:t>
      </w:r>
    </w:p>
    <w:p w:rsidR="00171C8F" w:rsidRDefault="00171C8F" w:rsidP="00171C8F">
      <w:pPr>
        <w:spacing w:after="480"/>
        <w:ind w:left="1134" w:firstLine="851"/>
        <w:jc w:val="both"/>
        <w:rPr>
          <w:sz w:val="24"/>
          <w:szCs w:val="24"/>
        </w:rPr>
      </w:pPr>
      <w:r w:rsidRPr="00200B02">
        <w:rPr>
          <w:sz w:val="24"/>
          <w:szCs w:val="24"/>
        </w:rPr>
        <w:t>Collationné, certifié conforme à la minute étant au greffe de la Cour des comptes.</w:t>
      </w:r>
    </w:p>
    <w:p w:rsidR="00E337B8" w:rsidRPr="00E337B8" w:rsidRDefault="00E337B8" w:rsidP="00E337B8">
      <w:pPr>
        <w:spacing w:after="480"/>
        <w:ind w:left="1134" w:firstLine="851"/>
        <w:jc w:val="both"/>
        <w:rPr>
          <w:sz w:val="24"/>
          <w:szCs w:val="24"/>
        </w:rPr>
      </w:pPr>
      <w:r w:rsidRPr="00E337B8">
        <w:rPr>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71C8F" w:rsidRPr="00200B02" w:rsidRDefault="00171C8F" w:rsidP="00171C8F">
      <w:pPr>
        <w:spacing w:after="480"/>
        <w:ind w:left="1134" w:firstLine="851"/>
        <w:jc w:val="both"/>
        <w:rPr>
          <w:sz w:val="24"/>
          <w:szCs w:val="24"/>
        </w:rPr>
      </w:pPr>
      <w:r w:rsidRPr="00200B02">
        <w:rPr>
          <w:sz w:val="24"/>
          <w:szCs w:val="24"/>
        </w:rPr>
        <w:t>Délivré par moi, secrétaire général.</w:t>
      </w:r>
    </w:p>
    <w:p w:rsidR="00171C8F" w:rsidRDefault="00171C8F" w:rsidP="00171C8F">
      <w:pPr>
        <w:spacing w:after="80"/>
        <w:ind w:left="567"/>
      </w:pPr>
    </w:p>
    <w:p w:rsidR="00171C8F" w:rsidRDefault="00171C8F" w:rsidP="00171C8F">
      <w:pPr>
        <w:spacing w:after="80"/>
        <w:ind w:left="567"/>
      </w:pPr>
    </w:p>
    <w:p w:rsidR="00171C8F" w:rsidRPr="002C4257" w:rsidRDefault="00171C8F" w:rsidP="00171C8F">
      <w:pPr>
        <w:pStyle w:val="PS"/>
        <w:spacing w:after="0"/>
        <w:ind w:firstLine="2410"/>
        <w:jc w:val="center"/>
        <w:rPr>
          <w:b/>
          <w:bCs/>
        </w:rPr>
      </w:pPr>
      <w:r>
        <w:rPr>
          <w:b/>
          <w:bCs/>
        </w:rPr>
        <w:t>Pour le s</w:t>
      </w:r>
      <w:r w:rsidRPr="002C4257">
        <w:rPr>
          <w:b/>
          <w:bCs/>
        </w:rPr>
        <w:t>ecrétaire général</w:t>
      </w:r>
    </w:p>
    <w:p w:rsidR="00171C8F" w:rsidRDefault="00171C8F" w:rsidP="00171C8F">
      <w:pPr>
        <w:pStyle w:val="PS"/>
        <w:spacing w:after="0"/>
        <w:ind w:firstLine="2410"/>
        <w:jc w:val="center"/>
        <w:rPr>
          <w:b/>
          <w:bCs/>
        </w:rPr>
      </w:pPr>
      <w:proofErr w:type="gramStart"/>
      <w:r w:rsidRPr="002C4257">
        <w:rPr>
          <w:b/>
          <w:bCs/>
        </w:rPr>
        <w:t>et</w:t>
      </w:r>
      <w:proofErr w:type="gramEnd"/>
      <w:r w:rsidRPr="002C4257">
        <w:rPr>
          <w:b/>
          <w:bCs/>
        </w:rPr>
        <w:t xml:space="preserve"> par délégation,</w:t>
      </w:r>
      <w:r>
        <w:rPr>
          <w:b/>
          <w:bCs/>
        </w:rPr>
        <w:t xml:space="preserve"> </w:t>
      </w:r>
      <w:r w:rsidRPr="002C4257">
        <w:rPr>
          <w:b/>
          <w:bCs/>
        </w:rPr>
        <w:t xml:space="preserve">le </w:t>
      </w:r>
      <w:r>
        <w:rPr>
          <w:b/>
          <w:bCs/>
        </w:rPr>
        <w:t>c</w:t>
      </w:r>
      <w:r w:rsidRPr="002C4257">
        <w:rPr>
          <w:b/>
          <w:bCs/>
        </w:rPr>
        <w:t xml:space="preserve">hef du </w:t>
      </w:r>
      <w:r>
        <w:rPr>
          <w:b/>
          <w:bCs/>
        </w:rPr>
        <w:t>g</w:t>
      </w:r>
      <w:r w:rsidRPr="002C4257">
        <w:rPr>
          <w:b/>
          <w:bCs/>
        </w:rPr>
        <w:t>reffe contentieux</w:t>
      </w:r>
    </w:p>
    <w:p w:rsidR="00171C8F" w:rsidRDefault="00171C8F" w:rsidP="00171C8F">
      <w:pPr>
        <w:pStyle w:val="PS"/>
        <w:spacing w:after="720"/>
        <w:ind w:firstLine="2410"/>
        <w:jc w:val="center"/>
        <w:rPr>
          <w:b/>
          <w:bCs/>
        </w:rPr>
      </w:pPr>
    </w:p>
    <w:p w:rsidR="00171C8F" w:rsidRPr="002C4257" w:rsidRDefault="00171C8F" w:rsidP="00171C8F">
      <w:pPr>
        <w:pStyle w:val="PS"/>
        <w:spacing w:after="1920"/>
        <w:ind w:firstLine="2410"/>
        <w:jc w:val="center"/>
        <w:rPr>
          <w:b/>
          <w:bCs/>
        </w:rPr>
      </w:pPr>
      <w:r>
        <w:rPr>
          <w:b/>
          <w:bCs/>
        </w:rPr>
        <w:t xml:space="preserve">Daniel </w:t>
      </w:r>
      <w:proofErr w:type="spellStart"/>
      <w:r>
        <w:rPr>
          <w:b/>
          <w:bCs/>
        </w:rPr>
        <w:t>Férez</w:t>
      </w:r>
      <w:proofErr w:type="spellEnd"/>
    </w:p>
    <w:p w:rsidR="006135F2" w:rsidRPr="00AB5816" w:rsidRDefault="006135F2" w:rsidP="006135F2">
      <w:pPr>
        <w:spacing w:after="80"/>
        <w:ind w:firstLine="851"/>
        <w:rPr>
          <w:sz w:val="24"/>
          <w:szCs w:val="24"/>
        </w:rPr>
      </w:pPr>
    </w:p>
    <w:sectPr w:rsidR="006135F2" w:rsidRPr="00AB5816" w:rsidSect="00F1372B">
      <w:headerReference w:type="default" r:id="rId9"/>
      <w:pgSz w:w="11907" w:h="16840"/>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E83" w:rsidRDefault="00F43E83">
      <w:r>
        <w:separator/>
      </w:r>
    </w:p>
  </w:endnote>
  <w:endnote w:type="continuationSeparator" w:id="0">
    <w:p w:rsidR="00F43E83" w:rsidRDefault="00F4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E83" w:rsidRDefault="00F43E83">
      <w:r>
        <w:separator/>
      </w:r>
    </w:p>
  </w:footnote>
  <w:footnote w:type="continuationSeparator" w:id="0">
    <w:p w:rsidR="00F43E83" w:rsidRDefault="00F43E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C17" w:rsidRPr="00F1372B" w:rsidRDefault="00B22C17">
    <w:pPr>
      <w:pStyle w:val="En-tte"/>
      <w:jc w:val="right"/>
      <w:rPr>
        <w:sz w:val="22"/>
        <w:szCs w:val="22"/>
      </w:rPr>
    </w:pPr>
    <w:r w:rsidRPr="00F1372B">
      <w:rPr>
        <w:sz w:val="22"/>
        <w:szCs w:val="22"/>
      </w:rPr>
      <w:fldChar w:fldCharType="begin"/>
    </w:r>
    <w:r w:rsidRPr="00F1372B">
      <w:rPr>
        <w:sz w:val="22"/>
        <w:szCs w:val="22"/>
      </w:rPr>
      <w:instrText>PAGE</w:instrText>
    </w:r>
    <w:r w:rsidRPr="00F1372B">
      <w:rPr>
        <w:sz w:val="22"/>
        <w:szCs w:val="22"/>
      </w:rPr>
      <w:fldChar w:fldCharType="separate"/>
    </w:r>
    <w:r w:rsidR="00334C55">
      <w:rPr>
        <w:noProof/>
        <w:sz w:val="22"/>
        <w:szCs w:val="22"/>
      </w:rPr>
      <w:t>5</w:t>
    </w:r>
    <w:r w:rsidRPr="00F1372B">
      <w:rPr>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05A9F"/>
    <w:multiLevelType w:val="multilevel"/>
    <w:tmpl w:val="8B8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052EE"/>
    <w:multiLevelType w:val="hybridMultilevel"/>
    <w:tmpl w:val="A1DAA984"/>
    <w:lvl w:ilvl="0" w:tplc="685C00B6">
      <w:start w:val="3"/>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
    <w:nsid w:val="526E0D9D"/>
    <w:multiLevelType w:val="hybridMultilevel"/>
    <w:tmpl w:val="878C9182"/>
    <w:lvl w:ilvl="0" w:tplc="A8B481B6">
      <w:start w:val="75"/>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3">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36B31BA"/>
    <w:multiLevelType w:val="hybridMultilevel"/>
    <w:tmpl w:val="0F52F91E"/>
    <w:lvl w:ilvl="0" w:tplc="93F2143E">
      <w:start w:val="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isplayBackgroundShape/>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2"/>
    <w:rsid w:val="0000455D"/>
    <w:rsid w:val="00004E4C"/>
    <w:rsid w:val="00011296"/>
    <w:rsid w:val="0001238F"/>
    <w:rsid w:val="00015BA3"/>
    <w:rsid w:val="00015CAB"/>
    <w:rsid w:val="000167EA"/>
    <w:rsid w:val="0002010D"/>
    <w:rsid w:val="000210D8"/>
    <w:rsid w:val="00031B18"/>
    <w:rsid w:val="00031DC7"/>
    <w:rsid w:val="00032675"/>
    <w:rsid w:val="000346CC"/>
    <w:rsid w:val="00040676"/>
    <w:rsid w:val="00042F11"/>
    <w:rsid w:val="00044B07"/>
    <w:rsid w:val="00045161"/>
    <w:rsid w:val="00045432"/>
    <w:rsid w:val="00047D5A"/>
    <w:rsid w:val="00050626"/>
    <w:rsid w:val="0005109B"/>
    <w:rsid w:val="00051F01"/>
    <w:rsid w:val="00052B8C"/>
    <w:rsid w:val="00053099"/>
    <w:rsid w:val="0005408C"/>
    <w:rsid w:val="00054162"/>
    <w:rsid w:val="00063226"/>
    <w:rsid w:val="00075E51"/>
    <w:rsid w:val="000841E8"/>
    <w:rsid w:val="00090074"/>
    <w:rsid w:val="00092FC7"/>
    <w:rsid w:val="000A0D7F"/>
    <w:rsid w:val="000A2D71"/>
    <w:rsid w:val="000B0A68"/>
    <w:rsid w:val="000B324E"/>
    <w:rsid w:val="000B3ED9"/>
    <w:rsid w:val="000B647D"/>
    <w:rsid w:val="000B7061"/>
    <w:rsid w:val="000B7BBF"/>
    <w:rsid w:val="000C23BA"/>
    <w:rsid w:val="000C2AF2"/>
    <w:rsid w:val="000D0433"/>
    <w:rsid w:val="000D5159"/>
    <w:rsid w:val="000D58C0"/>
    <w:rsid w:val="000D65F3"/>
    <w:rsid w:val="000D72BA"/>
    <w:rsid w:val="000F0767"/>
    <w:rsid w:val="000F2BA6"/>
    <w:rsid w:val="000F514E"/>
    <w:rsid w:val="000F7D06"/>
    <w:rsid w:val="001051A8"/>
    <w:rsid w:val="00111EFF"/>
    <w:rsid w:val="00112758"/>
    <w:rsid w:val="00115246"/>
    <w:rsid w:val="00115872"/>
    <w:rsid w:val="00120130"/>
    <w:rsid w:val="001219C2"/>
    <w:rsid w:val="00121CD9"/>
    <w:rsid w:val="00121E92"/>
    <w:rsid w:val="00122AEB"/>
    <w:rsid w:val="0012513C"/>
    <w:rsid w:val="00126F8F"/>
    <w:rsid w:val="00127FF5"/>
    <w:rsid w:val="00130302"/>
    <w:rsid w:val="00131BD9"/>
    <w:rsid w:val="00131C69"/>
    <w:rsid w:val="00132BE9"/>
    <w:rsid w:val="001368AF"/>
    <w:rsid w:val="00136F82"/>
    <w:rsid w:val="00137E24"/>
    <w:rsid w:val="0014129E"/>
    <w:rsid w:val="00142BC9"/>
    <w:rsid w:val="0014588C"/>
    <w:rsid w:val="001471A0"/>
    <w:rsid w:val="001476A4"/>
    <w:rsid w:val="00152827"/>
    <w:rsid w:val="001538F1"/>
    <w:rsid w:val="00154D43"/>
    <w:rsid w:val="001554D1"/>
    <w:rsid w:val="0015653F"/>
    <w:rsid w:val="00160BD1"/>
    <w:rsid w:val="00161E41"/>
    <w:rsid w:val="00170574"/>
    <w:rsid w:val="00170F4A"/>
    <w:rsid w:val="00171C8F"/>
    <w:rsid w:val="001768C8"/>
    <w:rsid w:val="00176E56"/>
    <w:rsid w:val="00186F78"/>
    <w:rsid w:val="00190328"/>
    <w:rsid w:val="0019514E"/>
    <w:rsid w:val="00195F7C"/>
    <w:rsid w:val="001A1815"/>
    <w:rsid w:val="001A1BE5"/>
    <w:rsid w:val="001A2270"/>
    <w:rsid w:val="001A30CD"/>
    <w:rsid w:val="001A65E0"/>
    <w:rsid w:val="001A7BC7"/>
    <w:rsid w:val="001B1A9E"/>
    <w:rsid w:val="001B1E1C"/>
    <w:rsid w:val="001B2945"/>
    <w:rsid w:val="001C2209"/>
    <w:rsid w:val="001C30D5"/>
    <w:rsid w:val="001C5E28"/>
    <w:rsid w:val="001C646C"/>
    <w:rsid w:val="001D403A"/>
    <w:rsid w:val="001D45FA"/>
    <w:rsid w:val="001D79AB"/>
    <w:rsid w:val="001E02A2"/>
    <w:rsid w:val="001E05FA"/>
    <w:rsid w:val="001E1E93"/>
    <w:rsid w:val="001E20AA"/>
    <w:rsid w:val="001E3DF1"/>
    <w:rsid w:val="001E4340"/>
    <w:rsid w:val="001E524C"/>
    <w:rsid w:val="001E6BF7"/>
    <w:rsid w:val="00201092"/>
    <w:rsid w:val="0020471A"/>
    <w:rsid w:val="00212504"/>
    <w:rsid w:val="00215F05"/>
    <w:rsid w:val="00217B98"/>
    <w:rsid w:val="00220434"/>
    <w:rsid w:val="002205BD"/>
    <w:rsid w:val="00226942"/>
    <w:rsid w:val="00227C9D"/>
    <w:rsid w:val="00230A4A"/>
    <w:rsid w:val="00232156"/>
    <w:rsid w:val="0023434D"/>
    <w:rsid w:val="00236930"/>
    <w:rsid w:val="00237E7F"/>
    <w:rsid w:val="0024206F"/>
    <w:rsid w:val="00242251"/>
    <w:rsid w:val="002439E6"/>
    <w:rsid w:val="002530E2"/>
    <w:rsid w:val="002538BB"/>
    <w:rsid w:val="00254304"/>
    <w:rsid w:val="002544FD"/>
    <w:rsid w:val="0025465F"/>
    <w:rsid w:val="002554C9"/>
    <w:rsid w:val="002562EA"/>
    <w:rsid w:val="0025636F"/>
    <w:rsid w:val="00257C3B"/>
    <w:rsid w:val="0026309C"/>
    <w:rsid w:val="00264872"/>
    <w:rsid w:val="0026720A"/>
    <w:rsid w:val="002679B2"/>
    <w:rsid w:val="002709AA"/>
    <w:rsid w:val="00271BEF"/>
    <w:rsid w:val="0027348A"/>
    <w:rsid w:val="00274593"/>
    <w:rsid w:val="00281C6F"/>
    <w:rsid w:val="00282585"/>
    <w:rsid w:val="00282DFA"/>
    <w:rsid w:val="002857D2"/>
    <w:rsid w:val="002938A7"/>
    <w:rsid w:val="00293C94"/>
    <w:rsid w:val="002A33A0"/>
    <w:rsid w:val="002A70D8"/>
    <w:rsid w:val="002B16B0"/>
    <w:rsid w:val="002B4265"/>
    <w:rsid w:val="002B4756"/>
    <w:rsid w:val="002C1B96"/>
    <w:rsid w:val="002C37EA"/>
    <w:rsid w:val="002C5FB7"/>
    <w:rsid w:val="002C77FF"/>
    <w:rsid w:val="002D082C"/>
    <w:rsid w:val="002D50E2"/>
    <w:rsid w:val="002D61F1"/>
    <w:rsid w:val="002E0A8A"/>
    <w:rsid w:val="002E39A4"/>
    <w:rsid w:val="002E4319"/>
    <w:rsid w:val="002E5B48"/>
    <w:rsid w:val="002F44C9"/>
    <w:rsid w:val="0030157C"/>
    <w:rsid w:val="0030628E"/>
    <w:rsid w:val="00307371"/>
    <w:rsid w:val="003075F0"/>
    <w:rsid w:val="00310242"/>
    <w:rsid w:val="00310540"/>
    <w:rsid w:val="00310A94"/>
    <w:rsid w:val="003208E9"/>
    <w:rsid w:val="003224AD"/>
    <w:rsid w:val="00324F1C"/>
    <w:rsid w:val="003258DE"/>
    <w:rsid w:val="003268F9"/>
    <w:rsid w:val="003273B9"/>
    <w:rsid w:val="00327432"/>
    <w:rsid w:val="00331271"/>
    <w:rsid w:val="0033234C"/>
    <w:rsid w:val="003323C4"/>
    <w:rsid w:val="00333B66"/>
    <w:rsid w:val="00334C55"/>
    <w:rsid w:val="00334ECB"/>
    <w:rsid w:val="003355A2"/>
    <w:rsid w:val="00335694"/>
    <w:rsid w:val="00337494"/>
    <w:rsid w:val="003409B3"/>
    <w:rsid w:val="0034110D"/>
    <w:rsid w:val="003432DC"/>
    <w:rsid w:val="00344506"/>
    <w:rsid w:val="003445A9"/>
    <w:rsid w:val="003446B6"/>
    <w:rsid w:val="00350E71"/>
    <w:rsid w:val="0035169B"/>
    <w:rsid w:val="003563F0"/>
    <w:rsid w:val="003602F9"/>
    <w:rsid w:val="00362C28"/>
    <w:rsid w:val="003641D8"/>
    <w:rsid w:val="00364774"/>
    <w:rsid w:val="00364AA0"/>
    <w:rsid w:val="00366620"/>
    <w:rsid w:val="003670B6"/>
    <w:rsid w:val="00370340"/>
    <w:rsid w:val="0037349D"/>
    <w:rsid w:val="003739DA"/>
    <w:rsid w:val="00380509"/>
    <w:rsid w:val="00380F5A"/>
    <w:rsid w:val="0038135D"/>
    <w:rsid w:val="0038215B"/>
    <w:rsid w:val="00382197"/>
    <w:rsid w:val="00382405"/>
    <w:rsid w:val="0038403E"/>
    <w:rsid w:val="00391A53"/>
    <w:rsid w:val="003966AB"/>
    <w:rsid w:val="0039697E"/>
    <w:rsid w:val="003A1632"/>
    <w:rsid w:val="003A19B6"/>
    <w:rsid w:val="003A237A"/>
    <w:rsid w:val="003A4E9E"/>
    <w:rsid w:val="003A65E9"/>
    <w:rsid w:val="003B1BE0"/>
    <w:rsid w:val="003B3C9C"/>
    <w:rsid w:val="003B7062"/>
    <w:rsid w:val="003C3B3C"/>
    <w:rsid w:val="003C3D9C"/>
    <w:rsid w:val="003C4148"/>
    <w:rsid w:val="003C4A89"/>
    <w:rsid w:val="003D1500"/>
    <w:rsid w:val="003D169C"/>
    <w:rsid w:val="003D2F74"/>
    <w:rsid w:val="003D408A"/>
    <w:rsid w:val="003E5D84"/>
    <w:rsid w:val="003F1A1C"/>
    <w:rsid w:val="003F3321"/>
    <w:rsid w:val="003F4E3B"/>
    <w:rsid w:val="003F586B"/>
    <w:rsid w:val="003F76F8"/>
    <w:rsid w:val="00400545"/>
    <w:rsid w:val="00405406"/>
    <w:rsid w:val="00410114"/>
    <w:rsid w:val="004161F0"/>
    <w:rsid w:val="00422310"/>
    <w:rsid w:val="0042357A"/>
    <w:rsid w:val="00423697"/>
    <w:rsid w:val="00424968"/>
    <w:rsid w:val="00424B92"/>
    <w:rsid w:val="00430D84"/>
    <w:rsid w:val="00432D6D"/>
    <w:rsid w:val="00433C6C"/>
    <w:rsid w:val="00433DA1"/>
    <w:rsid w:val="004359F5"/>
    <w:rsid w:val="00435B1B"/>
    <w:rsid w:val="00441591"/>
    <w:rsid w:val="00442FEE"/>
    <w:rsid w:val="004430F0"/>
    <w:rsid w:val="00446918"/>
    <w:rsid w:val="0045035E"/>
    <w:rsid w:val="00451000"/>
    <w:rsid w:val="00452BE0"/>
    <w:rsid w:val="0045653B"/>
    <w:rsid w:val="00457043"/>
    <w:rsid w:val="00460733"/>
    <w:rsid w:val="00462EFA"/>
    <w:rsid w:val="00470181"/>
    <w:rsid w:val="00477868"/>
    <w:rsid w:val="00480AB3"/>
    <w:rsid w:val="00481145"/>
    <w:rsid w:val="00481839"/>
    <w:rsid w:val="00484E4A"/>
    <w:rsid w:val="00490F7A"/>
    <w:rsid w:val="004915BC"/>
    <w:rsid w:val="00491678"/>
    <w:rsid w:val="00491C38"/>
    <w:rsid w:val="00493347"/>
    <w:rsid w:val="00493CAB"/>
    <w:rsid w:val="00495722"/>
    <w:rsid w:val="00497AFE"/>
    <w:rsid w:val="004A107D"/>
    <w:rsid w:val="004A20FE"/>
    <w:rsid w:val="004A6476"/>
    <w:rsid w:val="004B01C3"/>
    <w:rsid w:val="004B3031"/>
    <w:rsid w:val="004B3517"/>
    <w:rsid w:val="004B3A74"/>
    <w:rsid w:val="004B613C"/>
    <w:rsid w:val="004B68A4"/>
    <w:rsid w:val="004B7591"/>
    <w:rsid w:val="004C013A"/>
    <w:rsid w:val="004C54DF"/>
    <w:rsid w:val="004C7369"/>
    <w:rsid w:val="004C7FEE"/>
    <w:rsid w:val="004D3275"/>
    <w:rsid w:val="004D3642"/>
    <w:rsid w:val="004D449F"/>
    <w:rsid w:val="004D5CD3"/>
    <w:rsid w:val="004D65E6"/>
    <w:rsid w:val="004D662A"/>
    <w:rsid w:val="004D7563"/>
    <w:rsid w:val="004E0283"/>
    <w:rsid w:val="004E1AE2"/>
    <w:rsid w:val="004E1F8C"/>
    <w:rsid w:val="004E2062"/>
    <w:rsid w:val="004E2082"/>
    <w:rsid w:val="004E53C6"/>
    <w:rsid w:val="004E5942"/>
    <w:rsid w:val="004E631E"/>
    <w:rsid w:val="004E75C9"/>
    <w:rsid w:val="004E7FFB"/>
    <w:rsid w:val="004F2BC1"/>
    <w:rsid w:val="004F3B10"/>
    <w:rsid w:val="004F55DA"/>
    <w:rsid w:val="004F7766"/>
    <w:rsid w:val="004F7D29"/>
    <w:rsid w:val="005066D0"/>
    <w:rsid w:val="00511713"/>
    <w:rsid w:val="00513415"/>
    <w:rsid w:val="005139F9"/>
    <w:rsid w:val="00517352"/>
    <w:rsid w:val="00517366"/>
    <w:rsid w:val="005210B5"/>
    <w:rsid w:val="005217D5"/>
    <w:rsid w:val="00522938"/>
    <w:rsid w:val="0052790D"/>
    <w:rsid w:val="005352A9"/>
    <w:rsid w:val="00535E77"/>
    <w:rsid w:val="00541D68"/>
    <w:rsid w:val="005436A2"/>
    <w:rsid w:val="0054439A"/>
    <w:rsid w:val="005453B5"/>
    <w:rsid w:val="005500D0"/>
    <w:rsid w:val="00550387"/>
    <w:rsid w:val="00550A75"/>
    <w:rsid w:val="00551273"/>
    <w:rsid w:val="00554058"/>
    <w:rsid w:val="00556BA6"/>
    <w:rsid w:val="005631EF"/>
    <w:rsid w:val="0057156C"/>
    <w:rsid w:val="00573A7A"/>
    <w:rsid w:val="005757A1"/>
    <w:rsid w:val="00582173"/>
    <w:rsid w:val="00584072"/>
    <w:rsid w:val="00585792"/>
    <w:rsid w:val="0059083D"/>
    <w:rsid w:val="005915E5"/>
    <w:rsid w:val="00592D9E"/>
    <w:rsid w:val="00593096"/>
    <w:rsid w:val="00596260"/>
    <w:rsid w:val="00596B84"/>
    <w:rsid w:val="0059742F"/>
    <w:rsid w:val="0059792B"/>
    <w:rsid w:val="005A4F5A"/>
    <w:rsid w:val="005B01F2"/>
    <w:rsid w:val="005B27B6"/>
    <w:rsid w:val="005B3AC3"/>
    <w:rsid w:val="005C1A52"/>
    <w:rsid w:val="005C3AB6"/>
    <w:rsid w:val="005C5FF3"/>
    <w:rsid w:val="005C6717"/>
    <w:rsid w:val="005D031D"/>
    <w:rsid w:val="005D1CA8"/>
    <w:rsid w:val="005D1FA0"/>
    <w:rsid w:val="005D5884"/>
    <w:rsid w:val="005D6544"/>
    <w:rsid w:val="005E0BD5"/>
    <w:rsid w:val="005E2520"/>
    <w:rsid w:val="005E5884"/>
    <w:rsid w:val="005F450A"/>
    <w:rsid w:val="005F56D0"/>
    <w:rsid w:val="005F67F1"/>
    <w:rsid w:val="005F6924"/>
    <w:rsid w:val="0060280E"/>
    <w:rsid w:val="006041F6"/>
    <w:rsid w:val="00610E69"/>
    <w:rsid w:val="00610E8F"/>
    <w:rsid w:val="00610EEA"/>
    <w:rsid w:val="00612811"/>
    <w:rsid w:val="00612ABF"/>
    <w:rsid w:val="006135F2"/>
    <w:rsid w:val="0061540B"/>
    <w:rsid w:val="00615536"/>
    <w:rsid w:val="00615B1E"/>
    <w:rsid w:val="0061726A"/>
    <w:rsid w:val="00617F45"/>
    <w:rsid w:val="006225FE"/>
    <w:rsid w:val="0062353D"/>
    <w:rsid w:val="00625D60"/>
    <w:rsid w:val="00626365"/>
    <w:rsid w:val="00630E13"/>
    <w:rsid w:val="0063773A"/>
    <w:rsid w:val="006378E2"/>
    <w:rsid w:val="00642FB5"/>
    <w:rsid w:val="006434D6"/>
    <w:rsid w:val="006512C8"/>
    <w:rsid w:val="00654399"/>
    <w:rsid w:val="00655266"/>
    <w:rsid w:val="00656670"/>
    <w:rsid w:val="006624E0"/>
    <w:rsid w:val="0066457D"/>
    <w:rsid w:val="00665DFA"/>
    <w:rsid w:val="00666D05"/>
    <w:rsid w:val="006672AE"/>
    <w:rsid w:val="006705C5"/>
    <w:rsid w:val="00671960"/>
    <w:rsid w:val="00673B6D"/>
    <w:rsid w:val="00676C79"/>
    <w:rsid w:val="00680736"/>
    <w:rsid w:val="006807E3"/>
    <w:rsid w:val="0068172D"/>
    <w:rsid w:val="00681F69"/>
    <w:rsid w:val="00682DEB"/>
    <w:rsid w:val="006846FA"/>
    <w:rsid w:val="00692379"/>
    <w:rsid w:val="00694686"/>
    <w:rsid w:val="006A01D6"/>
    <w:rsid w:val="006B0725"/>
    <w:rsid w:val="006B183B"/>
    <w:rsid w:val="006B22D1"/>
    <w:rsid w:val="006B2673"/>
    <w:rsid w:val="006B41C0"/>
    <w:rsid w:val="006C116A"/>
    <w:rsid w:val="006C1FCE"/>
    <w:rsid w:val="006C4B2B"/>
    <w:rsid w:val="006D05F7"/>
    <w:rsid w:val="006D1F24"/>
    <w:rsid w:val="006D21EC"/>
    <w:rsid w:val="006D2271"/>
    <w:rsid w:val="006D30F9"/>
    <w:rsid w:val="006D6A6A"/>
    <w:rsid w:val="006E06E5"/>
    <w:rsid w:val="006E233C"/>
    <w:rsid w:val="006E2E7D"/>
    <w:rsid w:val="006E7B09"/>
    <w:rsid w:val="006F03A1"/>
    <w:rsid w:val="006F2C76"/>
    <w:rsid w:val="006F2CDE"/>
    <w:rsid w:val="006F7016"/>
    <w:rsid w:val="00700C72"/>
    <w:rsid w:val="007038ED"/>
    <w:rsid w:val="00703E3C"/>
    <w:rsid w:val="00705CC9"/>
    <w:rsid w:val="00711A79"/>
    <w:rsid w:val="00711AF3"/>
    <w:rsid w:val="00713635"/>
    <w:rsid w:val="00716B53"/>
    <w:rsid w:val="00721360"/>
    <w:rsid w:val="00726D11"/>
    <w:rsid w:val="00731B57"/>
    <w:rsid w:val="00732FBE"/>
    <w:rsid w:val="00744572"/>
    <w:rsid w:val="007541F9"/>
    <w:rsid w:val="0075641F"/>
    <w:rsid w:val="00757989"/>
    <w:rsid w:val="007605C3"/>
    <w:rsid w:val="00761BC6"/>
    <w:rsid w:val="007628A3"/>
    <w:rsid w:val="00762989"/>
    <w:rsid w:val="00765684"/>
    <w:rsid w:val="00765BA3"/>
    <w:rsid w:val="007677AB"/>
    <w:rsid w:val="00773927"/>
    <w:rsid w:val="0077395D"/>
    <w:rsid w:val="00773B91"/>
    <w:rsid w:val="007743EA"/>
    <w:rsid w:val="0077652E"/>
    <w:rsid w:val="007816FF"/>
    <w:rsid w:val="00785604"/>
    <w:rsid w:val="00792887"/>
    <w:rsid w:val="00792E8B"/>
    <w:rsid w:val="007938D6"/>
    <w:rsid w:val="00793B38"/>
    <w:rsid w:val="007945B7"/>
    <w:rsid w:val="007952F3"/>
    <w:rsid w:val="007A43BC"/>
    <w:rsid w:val="007A539D"/>
    <w:rsid w:val="007B01DF"/>
    <w:rsid w:val="007B24EA"/>
    <w:rsid w:val="007B3B60"/>
    <w:rsid w:val="007B4114"/>
    <w:rsid w:val="007B613D"/>
    <w:rsid w:val="007B7029"/>
    <w:rsid w:val="007C036D"/>
    <w:rsid w:val="007C25F5"/>
    <w:rsid w:val="007C2B36"/>
    <w:rsid w:val="007C3F44"/>
    <w:rsid w:val="007C3FEE"/>
    <w:rsid w:val="007C412B"/>
    <w:rsid w:val="007C4165"/>
    <w:rsid w:val="007C5A15"/>
    <w:rsid w:val="007C5B86"/>
    <w:rsid w:val="007C5BD7"/>
    <w:rsid w:val="007C634F"/>
    <w:rsid w:val="007D3136"/>
    <w:rsid w:val="007D3921"/>
    <w:rsid w:val="007D76E9"/>
    <w:rsid w:val="007E07DD"/>
    <w:rsid w:val="007E23E6"/>
    <w:rsid w:val="007F08C3"/>
    <w:rsid w:val="007F4F85"/>
    <w:rsid w:val="007F58E1"/>
    <w:rsid w:val="007F6FA4"/>
    <w:rsid w:val="0080774A"/>
    <w:rsid w:val="00817CCE"/>
    <w:rsid w:val="00817DB0"/>
    <w:rsid w:val="00820C3E"/>
    <w:rsid w:val="00820DDE"/>
    <w:rsid w:val="008229CE"/>
    <w:rsid w:val="00822D34"/>
    <w:rsid w:val="008234EA"/>
    <w:rsid w:val="008235B0"/>
    <w:rsid w:val="0082388D"/>
    <w:rsid w:val="00826531"/>
    <w:rsid w:val="00826B2F"/>
    <w:rsid w:val="00826F69"/>
    <w:rsid w:val="00827EBC"/>
    <w:rsid w:val="00837225"/>
    <w:rsid w:val="0084111C"/>
    <w:rsid w:val="008429C7"/>
    <w:rsid w:val="0084361D"/>
    <w:rsid w:val="00844457"/>
    <w:rsid w:val="00845CE5"/>
    <w:rsid w:val="008515ED"/>
    <w:rsid w:val="00853905"/>
    <w:rsid w:val="00857840"/>
    <w:rsid w:val="00857AD6"/>
    <w:rsid w:val="00864000"/>
    <w:rsid w:val="0086481D"/>
    <w:rsid w:val="00864EFF"/>
    <w:rsid w:val="00867132"/>
    <w:rsid w:val="00871945"/>
    <w:rsid w:val="00880B3D"/>
    <w:rsid w:val="00883658"/>
    <w:rsid w:val="00886CD7"/>
    <w:rsid w:val="008947D0"/>
    <w:rsid w:val="008A3876"/>
    <w:rsid w:val="008A6372"/>
    <w:rsid w:val="008B156D"/>
    <w:rsid w:val="008B4262"/>
    <w:rsid w:val="008B600F"/>
    <w:rsid w:val="008C0ACB"/>
    <w:rsid w:val="008C15DD"/>
    <w:rsid w:val="008C1E77"/>
    <w:rsid w:val="008D1B2A"/>
    <w:rsid w:val="008D404D"/>
    <w:rsid w:val="008D6E7F"/>
    <w:rsid w:val="008D6FE4"/>
    <w:rsid w:val="008D77AC"/>
    <w:rsid w:val="008D7A39"/>
    <w:rsid w:val="008E4CB4"/>
    <w:rsid w:val="008F0362"/>
    <w:rsid w:val="008F0A71"/>
    <w:rsid w:val="008F3E37"/>
    <w:rsid w:val="008F61CF"/>
    <w:rsid w:val="009061BB"/>
    <w:rsid w:val="00910628"/>
    <w:rsid w:val="009121DA"/>
    <w:rsid w:val="00914AF6"/>
    <w:rsid w:val="00915F57"/>
    <w:rsid w:val="009172C3"/>
    <w:rsid w:val="00920E10"/>
    <w:rsid w:val="009214DE"/>
    <w:rsid w:val="009219E0"/>
    <w:rsid w:val="00922AE2"/>
    <w:rsid w:val="0092386D"/>
    <w:rsid w:val="009243C9"/>
    <w:rsid w:val="00926F8A"/>
    <w:rsid w:val="009323FB"/>
    <w:rsid w:val="00940FAB"/>
    <w:rsid w:val="00943696"/>
    <w:rsid w:val="00943863"/>
    <w:rsid w:val="00945315"/>
    <w:rsid w:val="00950F35"/>
    <w:rsid w:val="00955D17"/>
    <w:rsid w:val="00961287"/>
    <w:rsid w:val="009636E6"/>
    <w:rsid w:val="00964052"/>
    <w:rsid w:val="00964301"/>
    <w:rsid w:val="00967CFD"/>
    <w:rsid w:val="009716DB"/>
    <w:rsid w:val="00971977"/>
    <w:rsid w:val="0097416E"/>
    <w:rsid w:val="009742DB"/>
    <w:rsid w:val="00977788"/>
    <w:rsid w:val="009815FB"/>
    <w:rsid w:val="00982595"/>
    <w:rsid w:val="00985198"/>
    <w:rsid w:val="009860B4"/>
    <w:rsid w:val="0099255A"/>
    <w:rsid w:val="00993539"/>
    <w:rsid w:val="00995533"/>
    <w:rsid w:val="00997E57"/>
    <w:rsid w:val="009A04DD"/>
    <w:rsid w:val="009A165A"/>
    <w:rsid w:val="009A64D7"/>
    <w:rsid w:val="009B4E30"/>
    <w:rsid w:val="009C0535"/>
    <w:rsid w:val="009C28CF"/>
    <w:rsid w:val="009C76B4"/>
    <w:rsid w:val="009D0F64"/>
    <w:rsid w:val="009D5E53"/>
    <w:rsid w:val="009D63D8"/>
    <w:rsid w:val="009F1784"/>
    <w:rsid w:val="009F1A10"/>
    <w:rsid w:val="009F6130"/>
    <w:rsid w:val="00A03E92"/>
    <w:rsid w:val="00A05FBC"/>
    <w:rsid w:val="00A0631A"/>
    <w:rsid w:val="00A07695"/>
    <w:rsid w:val="00A07A50"/>
    <w:rsid w:val="00A156C5"/>
    <w:rsid w:val="00A15CE0"/>
    <w:rsid w:val="00A26EDA"/>
    <w:rsid w:val="00A31966"/>
    <w:rsid w:val="00A453CE"/>
    <w:rsid w:val="00A515CD"/>
    <w:rsid w:val="00A54399"/>
    <w:rsid w:val="00A57284"/>
    <w:rsid w:val="00A66B8C"/>
    <w:rsid w:val="00A72731"/>
    <w:rsid w:val="00A72D6D"/>
    <w:rsid w:val="00A748EB"/>
    <w:rsid w:val="00A80713"/>
    <w:rsid w:val="00A80842"/>
    <w:rsid w:val="00A82748"/>
    <w:rsid w:val="00A82D98"/>
    <w:rsid w:val="00A90742"/>
    <w:rsid w:val="00AA4A32"/>
    <w:rsid w:val="00AA53B7"/>
    <w:rsid w:val="00AA5E25"/>
    <w:rsid w:val="00AA72F5"/>
    <w:rsid w:val="00AB03B6"/>
    <w:rsid w:val="00AB11BF"/>
    <w:rsid w:val="00AB1423"/>
    <w:rsid w:val="00AB4114"/>
    <w:rsid w:val="00AB57D9"/>
    <w:rsid w:val="00AB5816"/>
    <w:rsid w:val="00AB5DA7"/>
    <w:rsid w:val="00AC318B"/>
    <w:rsid w:val="00AC4D25"/>
    <w:rsid w:val="00AD0A61"/>
    <w:rsid w:val="00AD1230"/>
    <w:rsid w:val="00AD41BC"/>
    <w:rsid w:val="00AD79BD"/>
    <w:rsid w:val="00AE0A4D"/>
    <w:rsid w:val="00AE173F"/>
    <w:rsid w:val="00AE1AAC"/>
    <w:rsid w:val="00AE38BE"/>
    <w:rsid w:val="00AE4835"/>
    <w:rsid w:val="00AE5EAC"/>
    <w:rsid w:val="00AE69A0"/>
    <w:rsid w:val="00AF26F4"/>
    <w:rsid w:val="00AF3353"/>
    <w:rsid w:val="00AF4129"/>
    <w:rsid w:val="00AF44E9"/>
    <w:rsid w:val="00AF67F4"/>
    <w:rsid w:val="00AF7397"/>
    <w:rsid w:val="00B013CD"/>
    <w:rsid w:val="00B04E4C"/>
    <w:rsid w:val="00B07062"/>
    <w:rsid w:val="00B07923"/>
    <w:rsid w:val="00B11EFE"/>
    <w:rsid w:val="00B1487D"/>
    <w:rsid w:val="00B202C6"/>
    <w:rsid w:val="00B202E2"/>
    <w:rsid w:val="00B21854"/>
    <w:rsid w:val="00B22C17"/>
    <w:rsid w:val="00B274DF"/>
    <w:rsid w:val="00B3058C"/>
    <w:rsid w:val="00B3309A"/>
    <w:rsid w:val="00B33604"/>
    <w:rsid w:val="00B340BA"/>
    <w:rsid w:val="00B35028"/>
    <w:rsid w:val="00B379E0"/>
    <w:rsid w:val="00B4391B"/>
    <w:rsid w:val="00B453C0"/>
    <w:rsid w:val="00B4670B"/>
    <w:rsid w:val="00B47FCE"/>
    <w:rsid w:val="00B53942"/>
    <w:rsid w:val="00B54D7A"/>
    <w:rsid w:val="00B55A29"/>
    <w:rsid w:val="00B613EA"/>
    <w:rsid w:val="00B72741"/>
    <w:rsid w:val="00B739ED"/>
    <w:rsid w:val="00B7488F"/>
    <w:rsid w:val="00B74DEC"/>
    <w:rsid w:val="00B82C8A"/>
    <w:rsid w:val="00B8384E"/>
    <w:rsid w:val="00B86D3B"/>
    <w:rsid w:val="00B87960"/>
    <w:rsid w:val="00B979E2"/>
    <w:rsid w:val="00BA4547"/>
    <w:rsid w:val="00BA49B9"/>
    <w:rsid w:val="00BA56AA"/>
    <w:rsid w:val="00BA618C"/>
    <w:rsid w:val="00BA79A0"/>
    <w:rsid w:val="00BB17F4"/>
    <w:rsid w:val="00BB658B"/>
    <w:rsid w:val="00BB6F2B"/>
    <w:rsid w:val="00BC11F9"/>
    <w:rsid w:val="00BC2C1E"/>
    <w:rsid w:val="00BC2D3A"/>
    <w:rsid w:val="00BC38CA"/>
    <w:rsid w:val="00BC6888"/>
    <w:rsid w:val="00BC6FA3"/>
    <w:rsid w:val="00BC76EA"/>
    <w:rsid w:val="00BD084C"/>
    <w:rsid w:val="00BD1391"/>
    <w:rsid w:val="00BD5313"/>
    <w:rsid w:val="00BD6243"/>
    <w:rsid w:val="00BD6B9D"/>
    <w:rsid w:val="00BE2771"/>
    <w:rsid w:val="00BF0C51"/>
    <w:rsid w:val="00BF1394"/>
    <w:rsid w:val="00BF2251"/>
    <w:rsid w:val="00BF51B3"/>
    <w:rsid w:val="00BF53B0"/>
    <w:rsid w:val="00C016F2"/>
    <w:rsid w:val="00C02CE3"/>
    <w:rsid w:val="00C05237"/>
    <w:rsid w:val="00C104BC"/>
    <w:rsid w:val="00C1155F"/>
    <w:rsid w:val="00C13D18"/>
    <w:rsid w:val="00C1668E"/>
    <w:rsid w:val="00C168DD"/>
    <w:rsid w:val="00C208A0"/>
    <w:rsid w:val="00C27883"/>
    <w:rsid w:val="00C335F2"/>
    <w:rsid w:val="00C37EDA"/>
    <w:rsid w:val="00C50E05"/>
    <w:rsid w:val="00C51641"/>
    <w:rsid w:val="00C52285"/>
    <w:rsid w:val="00C52311"/>
    <w:rsid w:val="00C53119"/>
    <w:rsid w:val="00C612A8"/>
    <w:rsid w:val="00C61B96"/>
    <w:rsid w:val="00C638ED"/>
    <w:rsid w:val="00C67A77"/>
    <w:rsid w:val="00C72905"/>
    <w:rsid w:val="00C82C82"/>
    <w:rsid w:val="00C83621"/>
    <w:rsid w:val="00C8518F"/>
    <w:rsid w:val="00C875CB"/>
    <w:rsid w:val="00C934AB"/>
    <w:rsid w:val="00C95402"/>
    <w:rsid w:val="00C955F6"/>
    <w:rsid w:val="00C969CF"/>
    <w:rsid w:val="00CA311D"/>
    <w:rsid w:val="00CA640C"/>
    <w:rsid w:val="00CB0C8A"/>
    <w:rsid w:val="00CB1BCD"/>
    <w:rsid w:val="00CB26A7"/>
    <w:rsid w:val="00CB2E1A"/>
    <w:rsid w:val="00CC0144"/>
    <w:rsid w:val="00CC05A6"/>
    <w:rsid w:val="00CC4761"/>
    <w:rsid w:val="00CC4ABA"/>
    <w:rsid w:val="00CC5CE8"/>
    <w:rsid w:val="00CC67E6"/>
    <w:rsid w:val="00CC7EAD"/>
    <w:rsid w:val="00CD14B5"/>
    <w:rsid w:val="00CD1B6B"/>
    <w:rsid w:val="00CD349F"/>
    <w:rsid w:val="00CD4F66"/>
    <w:rsid w:val="00CD7A23"/>
    <w:rsid w:val="00CE472E"/>
    <w:rsid w:val="00CE4BA5"/>
    <w:rsid w:val="00CE538E"/>
    <w:rsid w:val="00CE5C4F"/>
    <w:rsid w:val="00CE5E0D"/>
    <w:rsid w:val="00CF1084"/>
    <w:rsid w:val="00CF25F3"/>
    <w:rsid w:val="00CF2D0A"/>
    <w:rsid w:val="00CF2D56"/>
    <w:rsid w:val="00CF49E2"/>
    <w:rsid w:val="00CF5FC2"/>
    <w:rsid w:val="00CF695E"/>
    <w:rsid w:val="00D02869"/>
    <w:rsid w:val="00D04BF9"/>
    <w:rsid w:val="00D1531D"/>
    <w:rsid w:val="00D153D3"/>
    <w:rsid w:val="00D161B5"/>
    <w:rsid w:val="00D20161"/>
    <w:rsid w:val="00D33794"/>
    <w:rsid w:val="00D339D6"/>
    <w:rsid w:val="00D37665"/>
    <w:rsid w:val="00D37F8F"/>
    <w:rsid w:val="00D44306"/>
    <w:rsid w:val="00D50D49"/>
    <w:rsid w:val="00D526EA"/>
    <w:rsid w:val="00D53B34"/>
    <w:rsid w:val="00D60708"/>
    <w:rsid w:val="00D60D8C"/>
    <w:rsid w:val="00D67E88"/>
    <w:rsid w:val="00D704B3"/>
    <w:rsid w:val="00D73D12"/>
    <w:rsid w:val="00D77211"/>
    <w:rsid w:val="00D81949"/>
    <w:rsid w:val="00D91454"/>
    <w:rsid w:val="00D9261B"/>
    <w:rsid w:val="00D9382F"/>
    <w:rsid w:val="00D942CB"/>
    <w:rsid w:val="00D96D80"/>
    <w:rsid w:val="00D97C43"/>
    <w:rsid w:val="00DA002E"/>
    <w:rsid w:val="00DA19D1"/>
    <w:rsid w:val="00DB37D0"/>
    <w:rsid w:val="00DB4FCE"/>
    <w:rsid w:val="00DB509B"/>
    <w:rsid w:val="00DB5DA6"/>
    <w:rsid w:val="00DB7A55"/>
    <w:rsid w:val="00DC1CA7"/>
    <w:rsid w:val="00DC2D6A"/>
    <w:rsid w:val="00DC2F0C"/>
    <w:rsid w:val="00DC6A43"/>
    <w:rsid w:val="00DD0F51"/>
    <w:rsid w:val="00DD2FFF"/>
    <w:rsid w:val="00DD37C2"/>
    <w:rsid w:val="00DD3EDE"/>
    <w:rsid w:val="00DD7B82"/>
    <w:rsid w:val="00DE1220"/>
    <w:rsid w:val="00DE48EB"/>
    <w:rsid w:val="00DE504C"/>
    <w:rsid w:val="00DE51FF"/>
    <w:rsid w:val="00DF02A0"/>
    <w:rsid w:val="00DF06D3"/>
    <w:rsid w:val="00DF2ADF"/>
    <w:rsid w:val="00DF3174"/>
    <w:rsid w:val="00DF6C41"/>
    <w:rsid w:val="00DF7699"/>
    <w:rsid w:val="00E07994"/>
    <w:rsid w:val="00E079CB"/>
    <w:rsid w:val="00E124AF"/>
    <w:rsid w:val="00E12C5A"/>
    <w:rsid w:val="00E132B6"/>
    <w:rsid w:val="00E13CC6"/>
    <w:rsid w:val="00E13DAE"/>
    <w:rsid w:val="00E16BBC"/>
    <w:rsid w:val="00E21CAF"/>
    <w:rsid w:val="00E242C6"/>
    <w:rsid w:val="00E25D25"/>
    <w:rsid w:val="00E27A58"/>
    <w:rsid w:val="00E27CEE"/>
    <w:rsid w:val="00E30747"/>
    <w:rsid w:val="00E335E7"/>
    <w:rsid w:val="00E337B8"/>
    <w:rsid w:val="00E338FC"/>
    <w:rsid w:val="00E33CEE"/>
    <w:rsid w:val="00E364E4"/>
    <w:rsid w:val="00E41394"/>
    <w:rsid w:val="00E427D0"/>
    <w:rsid w:val="00E43C23"/>
    <w:rsid w:val="00E44AD6"/>
    <w:rsid w:val="00E47267"/>
    <w:rsid w:val="00E50429"/>
    <w:rsid w:val="00E5215F"/>
    <w:rsid w:val="00E5448E"/>
    <w:rsid w:val="00E56475"/>
    <w:rsid w:val="00E62503"/>
    <w:rsid w:val="00E62A60"/>
    <w:rsid w:val="00E630BA"/>
    <w:rsid w:val="00E6553D"/>
    <w:rsid w:val="00E66943"/>
    <w:rsid w:val="00E66CF3"/>
    <w:rsid w:val="00E7051F"/>
    <w:rsid w:val="00E74D9E"/>
    <w:rsid w:val="00E76F2B"/>
    <w:rsid w:val="00E77A89"/>
    <w:rsid w:val="00E805DB"/>
    <w:rsid w:val="00E81209"/>
    <w:rsid w:val="00E823A2"/>
    <w:rsid w:val="00E8321B"/>
    <w:rsid w:val="00E84372"/>
    <w:rsid w:val="00E90488"/>
    <w:rsid w:val="00E91268"/>
    <w:rsid w:val="00E91C05"/>
    <w:rsid w:val="00E958F6"/>
    <w:rsid w:val="00EA3CC6"/>
    <w:rsid w:val="00EA47D3"/>
    <w:rsid w:val="00EA5EB5"/>
    <w:rsid w:val="00EB1CCB"/>
    <w:rsid w:val="00EB1F85"/>
    <w:rsid w:val="00EB5678"/>
    <w:rsid w:val="00EB699F"/>
    <w:rsid w:val="00EC07D3"/>
    <w:rsid w:val="00EC2ED6"/>
    <w:rsid w:val="00EC4D0F"/>
    <w:rsid w:val="00EC5BAC"/>
    <w:rsid w:val="00EC5D3E"/>
    <w:rsid w:val="00EC7C1F"/>
    <w:rsid w:val="00ED0DFF"/>
    <w:rsid w:val="00EE15AF"/>
    <w:rsid w:val="00EE1E02"/>
    <w:rsid w:val="00EE47C8"/>
    <w:rsid w:val="00EE60AF"/>
    <w:rsid w:val="00EE7626"/>
    <w:rsid w:val="00EF2DCB"/>
    <w:rsid w:val="00EF5453"/>
    <w:rsid w:val="00EF601A"/>
    <w:rsid w:val="00EF6248"/>
    <w:rsid w:val="00EF634C"/>
    <w:rsid w:val="00F065A9"/>
    <w:rsid w:val="00F07C92"/>
    <w:rsid w:val="00F100CB"/>
    <w:rsid w:val="00F12BC0"/>
    <w:rsid w:val="00F1372B"/>
    <w:rsid w:val="00F1546E"/>
    <w:rsid w:val="00F27F04"/>
    <w:rsid w:val="00F31658"/>
    <w:rsid w:val="00F4094E"/>
    <w:rsid w:val="00F414B1"/>
    <w:rsid w:val="00F42044"/>
    <w:rsid w:val="00F43E83"/>
    <w:rsid w:val="00F53CB2"/>
    <w:rsid w:val="00F5625E"/>
    <w:rsid w:val="00F57E85"/>
    <w:rsid w:val="00F60949"/>
    <w:rsid w:val="00F61FDB"/>
    <w:rsid w:val="00F64A07"/>
    <w:rsid w:val="00F64CBD"/>
    <w:rsid w:val="00F67546"/>
    <w:rsid w:val="00F73F06"/>
    <w:rsid w:val="00F752E4"/>
    <w:rsid w:val="00F8551D"/>
    <w:rsid w:val="00F86E72"/>
    <w:rsid w:val="00F92836"/>
    <w:rsid w:val="00F94E8E"/>
    <w:rsid w:val="00FA0540"/>
    <w:rsid w:val="00FA073F"/>
    <w:rsid w:val="00FA09CD"/>
    <w:rsid w:val="00FA221B"/>
    <w:rsid w:val="00FB4029"/>
    <w:rsid w:val="00FB41A1"/>
    <w:rsid w:val="00FB71D2"/>
    <w:rsid w:val="00FC43EF"/>
    <w:rsid w:val="00FD02AE"/>
    <w:rsid w:val="00FD1BAA"/>
    <w:rsid w:val="00FD2BBC"/>
    <w:rsid w:val="00FD59EC"/>
    <w:rsid w:val="00FD69EA"/>
    <w:rsid w:val="00FD7EC7"/>
    <w:rsid w:val="00FE071E"/>
    <w:rsid w:val="00FE128F"/>
    <w:rsid w:val="00FE383E"/>
    <w:rsid w:val="00FE3A25"/>
    <w:rsid w:val="00FE557E"/>
    <w:rsid w:val="00FE6218"/>
    <w:rsid w:val="00FE6247"/>
    <w:rsid w:val="00FE628C"/>
    <w:rsid w:val="00FE6659"/>
    <w:rsid w:val="00FE7119"/>
    <w:rsid w:val="00FE7647"/>
    <w:rsid w:val="00FE7DD0"/>
    <w:rsid w:val="00FF1816"/>
    <w:rsid w:val="00FF4494"/>
    <w:rsid w:val="00FF5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220"/>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Lienhypertexte">
    <w:name w:val="Hyperlink"/>
    <w:uiPriority w:val="99"/>
    <w:unhideWhenUsed/>
    <w:rsid w:val="00915F57"/>
    <w:rPr>
      <w:color w:val="0000FF"/>
      <w:u w:val="single"/>
    </w:rPr>
  </w:style>
  <w:style w:type="paragraph" w:styleId="NormalWeb">
    <w:name w:val="Normal (Web)"/>
    <w:basedOn w:val="Normal"/>
    <w:uiPriority w:val="99"/>
    <w:unhideWhenUsed/>
    <w:rsid w:val="006B22D1"/>
    <w:pPr>
      <w:spacing w:before="100" w:beforeAutospacing="1" w:after="100" w:afterAutospacing="1"/>
    </w:pPr>
    <w:rPr>
      <w:sz w:val="24"/>
      <w:szCs w:val="24"/>
    </w:rPr>
  </w:style>
  <w:style w:type="character" w:styleId="Marquedecommentaire">
    <w:name w:val="annotation reference"/>
    <w:uiPriority w:val="99"/>
    <w:semiHidden/>
    <w:unhideWhenUsed/>
    <w:rsid w:val="00F07C92"/>
    <w:rPr>
      <w:sz w:val="16"/>
      <w:szCs w:val="16"/>
    </w:rPr>
  </w:style>
  <w:style w:type="paragraph" w:styleId="Commentaire">
    <w:name w:val="annotation text"/>
    <w:basedOn w:val="Normal"/>
    <w:link w:val="CommentaireCar"/>
    <w:uiPriority w:val="99"/>
    <w:semiHidden/>
    <w:unhideWhenUsed/>
    <w:rsid w:val="00F07C92"/>
  </w:style>
  <w:style w:type="character" w:customStyle="1" w:styleId="CommentaireCar">
    <w:name w:val="Commentaire Car"/>
    <w:basedOn w:val="Policepardfaut"/>
    <w:link w:val="Commentaire"/>
    <w:uiPriority w:val="99"/>
    <w:semiHidden/>
    <w:rsid w:val="00F07C92"/>
  </w:style>
  <w:style w:type="paragraph" w:styleId="Objetducommentaire">
    <w:name w:val="annotation subject"/>
    <w:basedOn w:val="Commentaire"/>
    <w:next w:val="Commentaire"/>
    <w:link w:val="ObjetducommentaireCar"/>
    <w:uiPriority w:val="99"/>
    <w:semiHidden/>
    <w:unhideWhenUsed/>
    <w:rsid w:val="00F07C92"/>
    <w:rPr>
      <w:b/>
      <w:bCs/>
    </w:rPr>
  </w:style>
  <w:style w:type="character" w:customStyle="1" w:styleId="ObjetducommentaireCar">
    <w:name w:val="Objet du commentaire Car"/>
    <w:link w:val="Objetducommentaire"/>
    <w:uiPriority w:val="99"/>
    <w:semiHidden/>
    <w:rsid w:val="00F07C92"/>
    <w:rPr>
      <w:b/>
      <w:bCs/>
    </w:rPr>
  </w:style>
  <w:style w:type="paragraph" w:customStyle="1" w:styleId="CarCar1CarCarCar">
    <w:name w:val="Car Car1 Car Car Car"/>
    <w:basedOn w:val="Normal"/>
    <w:rsid w:val="001768C8"/>
    <w:pPr>
      <w:spacing w:after="160" w:line="240" w:lineRule="exact"/>
    </w:pPr>
    <w:rPr>
      <w:rFonts w:ascii="Tahoma" w:hAnsi="Tahoma"/>
      <w:lang w:val="en-US" w:eastAsia="en-US"/>
    </w:rPr>
  </w:style>
  <w:style w:type="paragraph" w:styleId="Rvision">
    <w:name w:val="Revision"/>
    <w:hidden/>
    <w:uiPriority w:val="99"/>
    <w:semiHidden/>
    <w:rsid w:val="00C50E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220"/>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Lienhypertexte">
    <w:name w:val="Hyperlink"/>
    <w:uiPriority w:val="99"/>
    <w:unhideWhenUsed/>
    <w:rsid w:val="00915F57"/>
    <w:rPr>
      <w:color w:val="0000FF"/>
      <w:u w:val="single"/>
    </w:rPr>
  </w:style>
  <w:style w:type="paragraph" w:styleId="NormalWeb">
    <w:name w:val="Normal (Web)"/>
    <w:basedOn w:val="Normal"/>
    <w:uiPriority w:val="99"/>
    <w:unhideWhenUsed/>
    <w:rsid w:val="006B22D1"/>
    <w:pPr>
      <w:spacing w:before="100" w:beforeAutospacing="1" w:after="100" w:afterAutospacing="1"/>
    </w:pPr>
    <w:rPr>
      <w:sz w:val="24"/>
      <w:szCs w:val="24"/>
    </w:rPr>
  </w:style>
  <w:style w:type="character" w:styleId="Marquedecommentaire">
    <w:name w:val="annotation reference"/>
    <w:uiPriority w:val="99"/>
    <w:semiHidden/>
    <w:unhideWhenUsed/>
    <w:rsid w:val="00F07C92"/>
    <w:rPr>
      <w:sz w:val="16"/>
      <w:szCs w:val="16"/>
    </w:rPr>
  </w:style>
  <w:style w:type="paragraph" w:styleId="Commentaire">
    <w:name w:val="annotation text"/>
    <w:basedOn w:val="Normal"/>
    <w:link w:val="CommentaireCar"/>
    <w:uiPriority w:val="99"/>
    <w:semiHidden/>
    <w:unhideWhenUsed/>
    <w:rsid w:val="00F07C92"/>
  </w:style>
  <w:style w:type="character" w:customStyle="1" w:styleId="CommentaireCar">
    <w:name w:val="Commentaire Car"/>
    <w:basedOn w:val="Policepardfaut"/>
    <w:link w:val="Commentaire"/>
    <w:uiPriority w:val="99"/>
    <w:semiHidden/>
    <w:rsid w:val="00F07C92"/>
  </w:style>
  <w:style w:type="paragraph" w:styleId="Objetducommentaire">
    <w:name w:val="annotation subject"/>
    <w:basedOn w:val="Commentaire"/>
    <w:next w:val="Commentaire"/>
    <w:link w:val="ObjetducommentaireCar"/>
    <w:uiPriority w:val="99"/>
    <w:semiHidden/>
    <w:unhideWhenUsed/>
    <w:rsid w:val="00F07C92"/>
    <w:rPr>
      <w:b/>
      <w:bCs/>
    </w:rPr>
  </w:style>
  <w:style w:type="character" w:customStyle="1" w:styleId="ObjetducommentaireCar">
    <w:name w:val="Objet du commentaire Car"/>
    <w:link w:val="Objetducommentaire"/>
    <w:uiPriority w:val="99"/>
    <w:semiHidden/>
    <w:rsid w:val="00F07C92"/>
    <w:rPr>
      <w:b/>
      <w:bCs/>
    </w:rPr>
  </w:style>
  <w:style w:type="paragraph" w:customStyle="1" w:styleId="CarCar1CarCarCar">
    <w:name w:val="Car Car1 Car Car Car"/>
    <w:basedOn w:val="Normal"/>
    <w:rsid w:val="001768C8"/>
    <w:pPr>
      <w:spacing w:after="160" w:line="240" w:lineRule="exact"/>
    </w:pPr>
    <w:rPr>
      <w:rFonts w:ascii="Tahoma" w:hAnsi="Tahoma"/>
      <w:lang w:val="en-US" w:eastAsia="en-US"/>
    </w:rPr>
  </w:style>
  <w:style w:type="paragraph" w:styleId="Rvision">
    <w:name w:val="Revision"/>
    <w:hidden/>
    <w:uiPriority w:val="99"/>
    <w:semiHidden/>
    <w:rsid w:val="00C50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5013">
      <w:bodyDiv w:val="1"/>
      <w:marLeft w:val="0"/>
      <w:marRight w:val="0"/>
      <w:marTop w:val="0"/>
      <w:marBottom w:val="0"/>
      <w:divBdr>
        <w:top w:val="none" w:sz="0" w:space="0" w:color="auto"/>
        <w:left w:val="none" w:sz="0" w:space="0" w:color="auto"/>
        <w:bottom w:val="none" w:sz="0" w:space="0" w:color="auto"/>
        <w:right w:val="none" w:sz="0" w:space="0" w:color="auto"/>
      </w:divBdr>
    </w:div>
    <w:div w:id="169299627">
      <w:bodyDiv w:val="1"/>
      <w:marLeft w:val="0"/>
      <w:marRight w:val="0"/>
      <w:marTop w:val="0"/>
      <w:marBottom w:val="0"/>
      <w:divBdr>
        <w:top w:val="none" w:sz="0" w:space="0" w:color="auto"/>
        <w:left w:val="none" w:sz="0" w:space="0" w:color="auto"/>
        <w:bottom w:val="none" w:sz="0" w:space="0" w:color="auto"/>
        <w:right w:val="none" w:sz="0" w:space="0" w:color="auto"/>
      </w:divBdr>
      <w:divsChild>
        <w:div w:id="673803762">
          <w:marLeft w:val="0"/>
          <w:marRight w:val="0"/>
          <w:marTop w:val="0"/>
          <w:marBottom w:val="0"/>
          <w:divBdr>
            <w:top w:val="none" w:sz="0" w:space="0" w:color="auto"/>
            <w:left w:val="none" w:sz="0" w:space="0" w:color="auto"/>
            <w:bottom w:val="none" w:sz="0" w:space="0" w:color="auto"/>
            <w:right w:val="none" w:sz="0" w:space="0" w:color="auto"/>
          </w:divBdr>
          <w:divsChild>
            <w:div w:id="882400227">
              <w:marLeft w:val="0"/>
              <w:marRight w:val="0"/>
              <w:marTop w:val="0"/>
              <w:marBottom w:val="0"/>
              <w:divBdr>
                <w:top w:val="none" w:sz="0" w:space="0" w:color="auto"/>
                <w:left w:val="none" w:sz="0" w:space="0" w:color="auto"/>
                <w:bottom w:val="none" w:sz="0" w:space="0" w:color="auto"/>
                <w:right w:val="none" w:sz="0" w:space="0" w:color="auto"/>
              </w:divBdr>
              <w:divsChild>
                <w:div w:id="1414858807">
                  <w:marLeft w:val="0"/>
                  <w:marRight w:val="0"/>
                  <w:marTop w:val="0"/>
                  <w:marBottom w:val="0"/>
                  <w:divBdr>
                    <w:top w:val="none" w:sz="0" w:space="0" w:color="auto"/>
                    <w:left w:val="none" w:sz="0" w:space="0" w:color="auto"/>
                    <w:bottom w:val="none" w:sz="0" w:space="0" w:color="auto"/>
                    <w:right w:val="none" w:sz="0" w:space="0" w:color="auto"/>
                  </w:divBdr>
                  <w:divsChild>
                    <w:div w:id="714158759">
                      <w:marLeft w:val="0"/>
                      <w:marRight w:val="0"/>
                      <w:marTop w:val="0"/>
                      <w:marBottom w:val="0"/>
                      <w:divBdr>
                        <w:top w:val="none" w:sz="0" w:space="0" w:color="auto"/>
                        <w:left w:val="none" w:sz="0" w:space="0" w:color="auto"/>
                        <w:bottom w:val="none" w:sz="0" w:space="0" w:color="auto"/>
                        <w:right w:val="none" w:sz="0" w:space="0" w:color="auto"/>
                      </w:divBdr>
                      <w:divsChild>
                        <w:div w:id="1907491558">
                          <w:marLeft w:val="0"/>
                          <w:marRight w:val="0"/>
                          <w:marTop w:val="0"/>
                          <w:marBottom w:val="0"/>
                          <w:divBdr>
                            <w:top w:val="none" w:sz="0" w:space="0" w:color="auto"/>
                            <w:left w:val="none" w:sz="0" w:space="0" w:color="auto"/>
                            <w:bottom w:val="none" w:sz="0" w:space="0" w:color="auto"/>
                            <w:right w:val="none" w:sz="0" w:space="0" w:color="auto"/>
                          </w:divBdr>
                          <w:divsChild>
                            <w:div w:id="1558778174">
                              <w:marLeft w:val="0"/>
                              <w:marRight w:val="0"/>
                              <w:marTop w:val="0"/>
                              <w:marBottom w:val="0"/>
                              <w:divBdr>
                                <w:top w:val="none" w:sz="0" w:space="0" w:color="auto"/>
                                <w:left w:val="none" w:sz="0" w:space="0" w:color="auto"/>
                                <w:bottom w:val="none" w:sz="0" w:space="0" w:color="auto"/>
                                <w:right w:val="none" w:sz="0" w:space="0" w:color="auto"/>
                              </w:divBdr>
                              <w:divsChild>
                                <w:div w:id="2440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36830">
      <w:bodyDiv w:val="1"/>
      <w:marLeft w:val="0"/>
      <w:marRight w:val="0"/>
      <w:marTop w:val="0"/>
      <w:marBottom w:val="0"/>
      <w:divBdr>
        <w:top w:val="none" w:sz="0" w:space="0" w:color="auto"/>
        <w:left w:val="none" w:sz="0" w:space="0" w:color="auto"/>
        <w:bottom w:val="none" w:sz="0" w:space="0" w:color="auto"/>
        <w:right w:val="none" w:sz="0" w:space="0" w:color="auto"/>
      </w:divBdr>
    </w:div>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1178033638">
      <w:bodyDiv w:val="1"/>
      <w:marLeft w:val="0"/>
      <w:marRight w:val="0"/>
      <w:marTop w:val="0"/>
      <w:marBottom w:val="0"/>
      <w:divBdr>
        <w:top w:val="none" w:sz="0" w:space="0" w:color="auto"/>
        <w:left w:val="none" w:sz="0" w:space="0" w:color="auto"/>
        <w:bottom w:val="none" w:sz="0" w:space="0" w:color="auto"/>
        <w:right w:val="none" w:sz="0" w:space="0" w:color="auto"/>
      </w:divBdr>
      <w:divsChild>
        <w:div w:id="312686891">
          <w:marLeft w:val="0"/>
          <w:marRight w:val="0"/>
          <w:marTop w:val="0"/>
          <w:marBottom w:val="0"/>
          <w:divBdr>
            <w:top w:val="none" w:sz="0" w:space="0" w:color="auto"/>
            <w:left w:val="none" w:sz="0" w:space="0" w:color="auto"/>
            <w:bottom w:val="none" w:sz="0" w:space="0" w:color="auto"/>
            <w:right w:val="none" w:sz="0" w:space="0" w:color="auto"/>
          </w:divBdr>
          <w:divsChild>
            <w:div w:id="1699164117">
              <w:marLeft w:val="0"/>
              <w:marRight w:val="0"/>
              <w:marTop w:val="0"/>
              <w:marBottom w:val="0"/>
              <w:divBdr>
                <w:top w:val="none" w:sz="0" w:space="0" w:color="auto"/>
                <w:left w:val="none" w:sz="0" w:space="0" w:color="auto"/>
                <w:bottom w:val="none" w:sz="0" w:space="0" w:color="auto"/>
                <w:right w:val="none" w:sz="0" w:space="0" w:color="auto"/>
              </w:divBdr>
              <w:divsChild>
                <w:div w:id="255745360">
                  <w:marLeft w:val="0"/>
                  <w:marRight w:val="0"/>
                  <w:marTop w:val="0"/>
                  <w:marBottom w:val="0"/>
                  <w:divBdr>
                    <w:top w:val="none" w:sz="0" w:space="0" w:color="auto"/>
                    <w:left w:val="none" w:sz="0" w:space="0" w:color="auto"/>
                    <w:bottom w:val="none" w:sz="0" w:space="0" w:color="auto"/>
                    <w:right w:val="none" w:sz="0" w:space="0" w:color="auto"/>
                  </w:divBdr>
                  <w:divsChild>
                    <w:div w:id="322708369">
                      <w:marLeft w:val="0"/>
                      <w:marRight w:val="0"/>
                      <w:marTop w:val="0"/>
                      <w:marBottom w:val="0"/>
                      <w:divBdr>
                        <w:top w:val="none" w:sz="0" w:space="0" w:color="auto"/>
                        <w:left w:val="none" w:sz="0" w:space="0" w:color="auto"/>
                        <w:bottom w:val="none" w:sz="0" w:space="0" w:color="auto"/>
                        <w:right w:val="none" w:sz="0" w:space="0" w:color="auto"/>
                      </w:divBdr>
                      <w:divsChild>
                        <w:div w:id="186721016">
                          <w:marLeft w:val="0"/>
                          <w:marRight w:val="0"/>
                          <w:marTop w:val="0"/>
                          <w:marBottom w:val="0"/>
                          <w:divBdr>
                            <w:top w:val="none" w:sz="0" w:space="0" w:color="auto"/>
                            <w:left w:val="none" w:sz="0" w:space="0" w:color="auto"/>
                            <w:bottom w:val="none" w:sz="0" w:space="0" w:color="auto"/>
                            <w:right w:val="none" w:sz="0" w:space="0" w:color="auto"/>
                          </w:divBdr>
                          <w:divsChild>
                            <w:div w:id="2044553844">
                              <w:marLeft w:val="0"/>
                              <w:marRight w:val="0"/>
                              <w:marTop w:val="0"/>
                              <w:marBottom w:val="0"/>
                              <w:divBdr>
                                <w:top w:val="none" w:sz="0" w:space="0" w:color="auto"/>
                                <w:left w:val="none" w:sz="0" w:space="0" w:color="auto"/>
                                <w:bottom w:val="none" w:sz="0" w:space="0" w:color="auto"/>
                                <w:right w:val="none" w:sz="0" w:space="0" w:color="auto"/>
                              </w:divBdr>
                              <w:divsChild>
                                <w:div w:id="708575836">
                                  <w:marLeft w:val="0"/>
                                  <w:marRight w:val="0"/>
                                  <w:marTop w:val="0"/>
                                  <w:marBottom w:val="0"/>
                                  <w:divBdr>
                                    <w:top w:val="none" w:sz="0" w:space="0" w:color="auto"/>
                                    <w:left w:val="none" w:sz="0" w:space="0" w:color="auto"/>
                                    <w:bottom w:val="none" w:sz="0" w:space="0" w:color="auto"/>
                                    <w:right w:val="none" w:sz="0" w:space="0" w:color="auto"/>
                                  </w:divBdr>
                                  <w:divsChild>
                                    <w:div w:id="1662075379">
                                      <w:marLeft w:val="0"/>
                                      <w:marRight w:val="0"/>
                                      <w:marTop w:val="0"/>
                                      <w:marBottom w:val="0"/>
                                      <w:divBdr>
                                        <w:top w:val="none" w:sz="0" w:space="0" w:color="auto"/>
                                        <w:left w:val="none" w:sz="0" w:space="0" w:color="auto"/>
                                        <w:bottom w:val="none" w:sz="0" w:space="0" w:color="auto"/>
                                        <w:right w:val="none" w:sz="0" w:space="0" w:color="auto"/>
                                      </w:divBdr>
                                      <w:divsChild>
                                        <w:div w:id="743723476">
                                          <w:marLeft w:val="0"/>
                                          <w:marRight w:val="0"/>
                                          <w:marTop w:val="0"/>
                                          <w:marBottom w:val="0"/>
                                          <w:divBdr>
                                            <w:top w:val="none" w:sz="0" w:space="0" w:color="auto"/>
                                            <w:left w:val="none" w:sz="0" w:space="0" w:color="auto"/>
                                            <w:bottom w:val="none" w:sz="0" w:space="0" w:color="auto"/>
                                            <w:right w:val="none" w:sz="0" w:space="0" w:color="auto"/>
                                          </w:divBdr>
                                          <w:divsChild>
                                            <w:div w:id="1010454338">
                                              <w:marLeft w:val="0"/>
                                              <w:marRight w:val="0"/>
                                              <w:marTop w:val="0"/>
                                              <w:marBottom w:val="0"/>
                                              <w:divBdr>
                                                <w:top w:val="none" w:sz="0" w:space="0" w:color="auto"/>
                                                <w:left w:val="none" w:sz="0" w:space="0" w:color="auto"/>
                                                <w:bottom w:val="none" w:sz="0" w:space="0" w:color="auto"/>
                                                <w:right w:val="none" w:sz="0" w:space="0" w:color="auto"/>
                                              </w:divBdr>
                                            </w:div>
                                          </w:divsChild>
                                        </w:div>
                                        <w:div w:id="897281521">
                                          <w:marLeft w:val="0"/>
                                          <w:marRight w:val="0"/>
                                          <w:marTop w:val="0"/>
                                          <w:marBottom w:val="0"/>
                                          <w:divBdr>
                                            <w:top w:val="none" w:sz="0" w:space="0" w:color="auto"/>
                                            <w:left w:val="none" w:sz="0" w:space="0" w:color="auto"/>
                                            <w:bottom w:val="none" w:sz="0" w:space="0" w:color="auto"/>
                                            <w:right w:val="none" w:sz="0" w:space="0" w:color="auto"/>
                                          </w:divBdr>
                                          <w:divsChild>
                                            <w:div w:id="690187803">
                                              <w:marLeft w:val="0"/>
                                              <w:marRight w:val="0"/>
                                              <w:marTop w:val="0"/>
                                              <w:marBottom w:val="0"/>
                                              <w:divBdr>
                                                <w:top w:val="none" w:sz="0" w:space="0" w:color="auto"/>
                                                <w:left w:val="none" w:sz="0" w:space="0" w:color="auto"/>
                                                <w:bottom w:val="none" w:sz="0" w:space="0" w:color="auto"/>
                                                <w:right w:val="none" w:sz="0" w:space="0" w:color="auto"/>
                                              </w:divBdr>
                                            </w:div>
                                            <w:div w:id="1507592564">
                                              <w:marLeft w:val="0"/>
                                              <w:marRight w:val="0"/>
                                              <w:marTop w:val="0"/>
                                              <w:marBottom w:val="0"/>
                                              <w:divBdr>
                                                <w:top w:val="none" w:sz="0" w:space="0" w:color="auto"/>
                                                <w:left w:val="none" w:sz="0" w:space="0" w:color="auto"/>
                                                <w:bottom w:val="none" w:sz="0" w:space="0" w:color="auto"/>
                                                <w:right w:val="none" w:sz="0" w:space="0" w:color="auto"/>
                                              </w:divBdr>
                                            </w:div>
                                          </w:divsChild>
                                        </w:div>
                                        <w:div w:id="1671643936">
                                          <w:marLeft w:val="0"/>
                                          <w:marRight w:val="0"/>
                                          <w:marTop w:val="0"/>
                                          <w:marBottom w:val="0"/>
                                          <w:divBdr>
                                            <w:top w:val="none" w:sz="0" w:space="0" w:color="auto"/>
                                            <w:left w:val="none" w:sz="0" w:space="0" w:color="auto"/>
                                            <w:bottom w:val="none" w:sz="0" w:space="0" w:color="auto"/>
                                            <w:right w:val="none" w:sz="0" w:space="0" w:color="auto"/>
                                          </w:divBdr>
                                          <w:divsChild>
                                            <w:div w:id="50272213">
                                              <w:marLeft w:val="0"/>
                                              <w:marRight w:val="0"/>
                                              <w:marTop w:val="0"/>
                                              <w:marBottom w:val="0"/>
                                              <w:divBdr>
                                                <w:top w:val="none" w:sz="0" w:space="0" w:color="auto"/>
                                                <w:left w:val="none" w:sz="0" w:space="0" w:color="auto"/>
                                                <w:bottom w:val="none" w:sz="0" w:space="0" w:color="auto"/>
                                                <w:right w:val="none" w:sz="0" w:space="0" w:color="auto"/>
                                              </w:divBdr>
                                            </w:div>
                                            <w:div w:id="1989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1535116896">
      <w:bodyDiv w:val="1"/>
      <w:marLeft w:val="0"/>
      <w:marRight w:val="0"/>
      <w:marTop w:val="0"/>
      <w:marBottom w:val="0"/>
      <w:divBdr>
        <w:top w:val="none" w:sz="0" w:space="0" w:color="auto"/>
        <w:left w:val="none" w:sz="0" w:space="0" w:color="auto"/>
        <w:bottom w:val="none" w:sz="0" w:space="0" w:color="auto"/>
        <w:right w:val="none" w:sz="0" w:space="0" w:color="auto"/>
      </w:divBdr>
    </w:div>
    <w:div w:id="1680696100">
      <w:bodyDiv w:val="1"/>
      <w:marLeft w:val="0"/>
      <w:marRight w:val="0"/>
      <w:marTop w:val="0"/>
      <w:marBottom w:val="0"/>
      <w:divBdr>
        <w:top w:val="none" w:sz="0" w:space="0" w:color="auto"/>
        <w:left w:val="none" w:sz="0" w:space="0" w:color="auto"/>
        <w:bottom w:val="none" w:sz="0" w:space="0" w:color="auto"/>
        <w:right w:val="none" w:sz="0" w:space="0" w:color="auto"/>
      </w:divBdr>
    </w:div>
    <w:div w:id="1752268280">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167CD-AD18-430A-BD33-A23C909C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11</TotalTime>
  <Pages>6</Pages>
  <Words>1775</Words>
  <Characters>9767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2014-12-11T14:29:00Z</cp:lastPrinted>
  <dcterms:created xsi:type="dcterms:W3CDTF">2015-02-19T11:08:00Z</dcterms:created>
  <dcterms:modified xsi:type="dcterms:W3CDTF">2015-02-20T11:19:00Z</dcterms:modified>
</cp:coreProperties>
</file>