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1CC" w:rsidRPr="00AF7DBC" w:rsidRDefault="009F51CC" w:rsidP="006502EC">
      <w:pPr>
        <w:spacing w:after="80"/>
        <w:ind w:right="6237" w:firstLine="0"/>
        <w:jc w:val="center"/>
        <w:rPr>
          <w:b/>
        </w:rPr>
      </w:pPr>
      <w:r w:rsidRPr="00AF7DBC">
        <w:rPr>
          <w:b/>
        </w:rPr>
        <w:t>COUR DES COMPTES</w:t>
      </w:r>
    </w:p>
    <w:p w:rsidR="009F51CC" w:rsidRPr="00AF7DBC" w:rsidRDefault="009F51CC" w:rsidP="006502EC">
      <w:pPr>
        <w:spacing w:after="80"/>
        <w:ind w:right="6237" w:firstLine="0"/>
        <w:jc w:val="center"/>
        <w:rPr>
          <w:b/>
        </w:rPr>
      </w:pPr>
      <w:r w:rsidRPr="00AF7DBC">
        <w:rPr>
          <w:b/>
        </w:rPr>
        <w:t>----</w:t>
      </w:r>
      <w:r w:rsidR="000D5894">
        <w:rPr>
          <w:b/>
        </w:rPr>
        <w:t>-</w:t>
      </w:r>
      <w:r w:rsidRPr="00AF7DBC">
        <w:rPr>
          <w:b/>
        </w:rPr>
        <w:t>---</w:t>
      </w:r>
    </w:p>
    <w:p w:rsidR="009F51CC" w:rsidRPr="00AF7DBC" w:rsidRDefault="009F51CC" w:rsidP="006502EC">
      <w:pPr>
        <w:spacing w:after="80"/>
        <w:ind w:right="6237" w:firstLine="0"/>
        <w:jc w:val="center"/>
        <w:rPr>
          <w:b/>
        </w:rPr>
      </w:pPr>
      <w:r w:rsidRPr="00AF7DBC">
        <w:rPr>
          <w:b/>
        </w:rPr>
        <w:t>QUATRIEME CHAMBRE</w:t>
      </w:r>
    </w:p>
    <w:p w:rsidR="009F51CC" w:rsidRPr="00AF7DBC" w:rsidRDefault="009F51CC" w:rsidP="006502EC">
      <w:pPr>
        <w:spacing w:after="80"/>
        <w:ind w:right="6237" w:firstLine="0"/>
        <w:jc w:val="center"/>
        <w:rPr>
          <w:b/>
        </w:rPr>
      </w:pPr>
      <w:r w:rsidRPr="00AF7DBC">
        <w:rPr>
          <w:b/>
        </w:rPr>
        <w:t>--------</w:t>
      </w:r>
    </w:p>
    <w:p w:rsidR="009F51CC" w:rsidRPr="00AF7DBC" w:rsidRDefault="009F51CC" w:rsidP="006502EC">
      <w:pPr>
        <w:spacing w:after="80"/>
        <w:ind w:right="6237" w:firstLine="0"/>
        <w:jc w:val="center"/>
        <w:rPr>
          <w:b/>
        </w:rPr>
      </w:pPr>
      <w:r w:rsidRPr="00AF7DBC">
        <w:rPr>
          <w:b/>
        </w:rPr>
        <w:t>PREMIERE SECTION</w:t>
      </w:r>
    </w:p>
    <w:p w:rsidR="009F51CC" w:rsidRDefault="003002EC" w:rsidP="006502EC">
      <w:pPr>
        <w:spacing w:after="80"/>
        <w:ind w:right="6237" w:firstLine="0"/>
        <w:jc w:val="center"/>
        <w:rPr>
          <w:b/>
        </w:rPr>
      </w:pPr>
      <w:r>
        <w:rPr>
          <w:b/>
        </w:rPr>
        <w:t>--------</w:t>
      </w:r>
    </w:p>
    <w:p w:rsidR="009F51CC" w:rsidRPr="003002EC" w:rsidRDefault="009F51CC" w:rsidP="006502EC">
      <w:pPr>
        <w:spacing w:after="80"/>
        <w:ind w:right="6237" w:firstLine="0"/>
        <w:jc w:val="center"/>
        <w:rPr>
          <w:b/>
          <w:i/>
          <w:sz w:val="22"/>
          <w:szCs w:val="22"/>
        </w:rPr>
      </w:pPr>
      <w:r w:rsidRPr="003002EC">
        <w:rPr>
          <w:b/>
          <w:i/>
          <w:sz w:val="22"/>
          <w:szCs w:val="22"/>
        </w:rPr>
        <w:t>Arrêt n°</w:t>
      </w:r>
      <w:r w:rsidR="003002EC" w:rsidRPr="003002EC">
        <w:rPr>
          <w:b/>
          <w:i/>
          <w:sz w:val="22"/>
          <w:szCs w:val="22"/>
        </w:rPr>
        <w:t xml:space="preserve"> 71439</w:t>
      </w:r>
    </w:p>
    <w:p w:rsidR="009F51CC" w:rsidRDefault="009F51CC" w:rsidP="009F51CC">
      <w:pPr>
        <w:spacing w:after="80"/>
      </w:pPr>
    </w:p>
    <w:p w:rsidR="009F51CC" w:rsidRPr="007F534A" w:rsidRDefault="009F51CC" w:rsidP="009F51CC">
      <w:pPr>
        <w:spacing w:after="80"/>
      </w:pPr>
    </w:p>
    <w:p w:rsidR="009F51CC" w:rsidRPr="00A11F72" w:rsidRDefault="009F51CC" w:rsidP="006502EC">
      <w:pPr>
        <w:spacing w:after="240"/>
        <w:ind w:left="3686" w:firstLine="0"/>
        <w:jc w:val="left"/>
      </w:pPr>
      <w:r w:rsidRPr="00A11F72">
        <w:t>CO</w:t>
      </w:r>
      <w:r w:rsidR="00573EA5" w:rsidRPr="00A11F72">
        <w:t>MMUNAUTE DE COMMUNES</w:t>
      </w:r>
      <w:r w:rsidR="006502EC">
        <w:br/>
      </w:r>
      <w:r w:rsidR="00573EA5" w:rsidRPr="00A11F72">
        <w:t xml:space="preserve">DES VALS DE GARTEMPE ET CREUSE </w:t>
      </w:r>
      <w:r w:rsidRPr="00A11F72">
        <w:t>(</w:t>
      </w:r>
      <w:r w:rsidR="00573EA5" w:rsidRPr="00A11F72">
        <w:t>Vienne</w:t>
      </w:r>
      <w:r w:rsidRPr="00A11F72">
        <w:t>)</w:t>
      </w:r>
    </w:p>
    <w:p w:rsidR="009F51CC" w:rsidRPr="00A11F72" w:rsidRDefault="009F51CC" w:rsidP="003002EC">
      <w:pPr>
        <w:spacing w:after="240"/>
        <w:ind w:left="3686" w:firstLine="0"/>
      </w:pPr>
      <w:r w:rsidRPr="00A11F72">
        <w:t>Appel d’un jugement de la c</w:t>
      </w:r>
      <w:r w:rsidR="00573EA5" w:rsidRPr="00A11F72">
        <w:t>hambre régionale des comptes d’Aquitaine, Poitou-Charentes</w:t>
      </w:r>
    </w:p>
    <w:p w:rsidR="009F51CC" w:rsidRPr="00A11F72" w:rsidRDefault="009F51CC" w:rsidP="003002EC">
      <w:pPr>
        <w:spacing w:after="120"/>
        <w:ind w:left="3686" w:firstLine="0"/>
      </w:pPr>
      <w:r w:rsidRPr="00A11F72">
        <w:t xml:space="preserve">Rapport n° </w:t>
      </w:r>
      <w:r w:rsidR="00BE4998" w:rsidRPr="00A11F72">
        <w:t>2014-691-0</w:t>
      </w:r>
    </w:p>
    <w:p w:rsidR="009F51CC" w:rsidRPr="00A11F72" w:rsidRDefault="009F51CC" w:rsidP="003002EC">
      <w:pPr>
        <w:spacing w:after="120"/>
        <w:ind w:left="3686" w:firstLine="0"/>
      </w:pPr>
      <w:r w:rsidRPr="00A11F72">
        <w:t xml:space="preserve">Audience du </w:t>
      </w:r>
      <w:r w:rsidR="00BE4998" w:rsidRPr="00A11F72">
        <w:t>13 novembre 2014</w:t>
      </w:r>
    </w:p>
    <w:p w:rsidR="009F51CC" w:rsidRPr="00A11F72" w:rsidRDefault="009F51CC" w:rsidP="009F51CC">
      <w:pPr>
        <w:spacing w:after="80"/>
        <w:ind w:left="3686" w:firstLine="0"/>
      </w:pPr>
      <w:r w:rsidRPr="00A11F72">
        <w:t>Lecture publique du</w:t>
      </w:r>
      <w:r w:rsidR="003002EC">
        <w:t xml:space="preserve"> 18 décembre 2014</w:t>
      </w:r>
    </w:p>
    <w:p w:rsidR="00204F52" w:rsidRDefault="00204F52" w:rsidP="00204F52">
      <w:pPr>
        <w:pStyle w:val="P0"/>
        <w:spacing w:after="240"/>
        <w:ind w:left="540" w:right="-284" w:firstLine="594"/>
        <w:jc w:val="center"/>
      </w:pPr>
    </w:p>
    <w:p w:rsidR="00204F52" w:rsidRPr="00690D05" w:rsidRDefault="00204F52" w:rsidP="006502EC">
      <w:pPr>
        <w:pStyle w:val="P0"/>
        <w:spacing w:after="240"/>
        <w:ind w:left="567" w:right="-284"/>
        <w:jc w:val="center"/>
      </w:pPr>
      <w:r w:rsidRPr="00690D05">
        <w:t>REPUBLIQUE FRANÇAISE</w:t>
      </w:r>
    </w:p>
    <w:p w:rsidR="00204F52" w:rsidRPr="00690D05" w:rsidRDefault="00204F52" w:rsidP="006502EC">
      <w:pPr>
        <w:pStyle w:val="P0"/>
        <w:spacing w:after="240"/>
        <w:ind w:left="567" w:right="-284"/>
        <w:jc w:val="center"/>
      </w:pPr>
      <w:r w:rsidRPr="00690D05">
        <w:t>AU NOM DU PEUPLE FRANÇAIS</w:t>
      </w:r>
    </w:p>
    <w:p w:rsidR="00204F52" w:rsidRPr="00690D05" w:rsidRDefault="00204F52" w:rsidP="006502EC">
      <w:pPr>
        <w:pStyle w:val="P0"/>
        <w:spacing w:after="600"/>
        <w:ind w:left="567" w:right="-284"/>
        <w:jc w:val="center"/>
      </w:pPr>
      <w:r w:rsidRPr="00690D05">
        <w:t>LA COUR DES COMPTES a rendu l’arrêt suivant :</w:t>
      </w:r>
    </w:p>
    <w:p w:rsidR="009F51CC" w:rsidRPr="00484671" w:rsidRDefault="009F51CC" w:rsidP="00204F52">
      <w:pPr>
        <w:spacing w:after="240"/>
        <w:ind w:firstLine="1701"/>
      </w:pPr>
      <w:r w:rsidRPr="00484671">
        <w:t>L</w:t>
      </w:r>
      <w:r w:rsidR="003002EC">
        <w:t>A</w:t>
      </w:r>
      <w:r w:rsidRPr="00484671">
        <w:t xml:space="preserve"> COUR,</w:t>
      </w:r>
    </w:p>
    <w:p w:rsidR="009F51CC" w:rsidRPr="007F534A" w:rsidRDefault="009F51CC" w:rsidP="006502EC">
      <w:pPr>
        <w:spacing w:after="360"/>
        <w:ind w:left="567" w:firstLine="1134"/>
      </w:pPr>
      <w:r w:rsidRPr="007F534A">
        <w:t>Vu la requête</w:t>
      </w:r>
      <w:r w:rsidR="00FB5D80">
        <w:t xml:space="preserve"> du 12 décembre 2013</w:t>
      </w:r>
      <w:r w:rsidRPr="007F534A">
        <w:t xml:space="preserve">, enregistrée le </w:t>
      </w:r>
      <w:r w:rsidR="00FB5D80">
        <w:t xml:space="preserve">même jour </w:t>
      </w:r>
      <w:r w:rsidRPr="007F534A">
        <w:t>au greffe de la c</w:t>
      </w:r>
      <w:r w:rsidR="00573EA5">
        <w:t xml:space="preserve">hambre régionale des comptes d’Aquitaine, Poitou-Charentes, </w:t>
      </w:r>
      <w:r w:rsidR="007F2B68">
        <w:t>par laquelle le</w:t>
      </w:r>
      <w:r w:rsidR="00573EA5">
        <w:t xml:space="preserve"> procureur financi</w:t>
      </w:r>
      <w:r w:rsidR="007F2B68">
        <w:t>er près cette</w:t>
      </w:r>
      <w:r w:rsidR="00573EA5">
        <w:t xml:space="preserve"> chambre régionale, </w:t>
      </w:r>
      <w:r w:rsidRPr="007F534A">
        <w:t xml:space="preserve">a élevé appel du jugement </w:t>
      </w:r>
      <w:r>
        <w:t>n°</w:t>
      </w:r>
      <w:r w:rsidR="003002EC">
        <w:t> </w:t>
      </w:r>
      <w:r w:rsidR="00573EA5">
        <w:t xml:space="preserve">2013-0017 </w:t>
      </w:r>
      <w:r w:rsidRPr="007F534A">
        <w:t xml:space="preserve">du </w:t>
      </w:r>
      <w:r w:rsidR="0079503C">
        <w:t>16 </w:t>
      </w:r>
      <w:r w:rsidR="00573EA5">
        <w:t xml:space="preserve">octobre 2013 </w:t>
      </w:r>
      <w:r w:rsidRPr="007F534A">
        <w:t>par lequel l</w:t>
      </w:r>
      <w:r w:rsidRPr="00484671">
        <w:t xml:space="preserve">adite chambre a </w:t>
      </w:r>
      <w:r w:rsidR="00FB5D80">
        <w:t xml:space="preserve">mis à la charge de </w:t>
      </w:r>
      <w:r w:rsidR="007F2B68">
        <w:t xml:space="preserve">la </w:t>
      </w:r>
      <w:r w:rsidR="00FB5D80">
        <w:t xml:space="preserve">comptable de la </w:t>
      </w:r>
      <w:r w:rsidR="00FB5D80" w:rsidRPr="003002EC">
        <w:rPr>
          <w:caps/>
        </w:rPr>
        <w:t>communauté de communes des Vals de Gartempe et Creuse</w:t>
      </w:r>
      <w:r w:rsidR="00FB5D80">
        <w:t xml:space="preserve"> du 4</w:t>
      </w:r>
      <w:r w:rsidR="006502EC">
        <w:t xml:space="preserve"> </w:t>
      </w:r>
      <w:r w:rsidR="00FB5D80">
        <w:t>mars au 31</w:t>
      </w:r>
      <w:r w:rsidR="006502EC">
        <w:t xml:space="preserve"> </w:t>
      </w:r>
      <w:r w:rsidR="00FB5D80">
        <w:t>décembre</w:t>
      </w:r>
      <w:r w:rsidR="006502EC">
        <w:t xml:space="preserve"> </w:t>
      </w:r>
      <w:r w:rsidR="00FB5D80">
        <w:t>2010,</w:t>
      </w:r>
      <w:r w:rsidR="007F2B68" w:rsidRPr="007F2B68">
        <w:t xml:space="preserve"> </w:t>
      </w:r>
      <w:r w:rsidR="00635014">
        <w:t>M</w:t>
      </w:r>
      <w:r w:rsidR="00635014" w:rsidRPr="006502EC">
        <w:rPr>
          <w:vertAlign w:val="superscript"/>
        </w:rPr>
        <w:t>me</w:t>
      </w:r>
      <w:r w:rsidR="00635014">
        <w:t xml:space="preserve"> X</w:t>
      </w:r>
      <w:r w:rsidR="007F2B68">
        <w:t xml:space="preserve">, </w:t>
      </w:r>
      <w:r w:rsidR="00FB5D80">
        <w:t xml:space="preserve">une somme </w:t>
      </w:r>
      <w:r w:rsidR="007F2B68">
        <w:t>irrémissible de</w:t>
      </w:r>
      <w:r w:rsidR="006502EC">
        <w:t xml:space="preserve"> </w:t>
      </w:r>
      <w:r w:rsidR="007F2B68">
        <w:t>163,50</w:t>
      </w:r>
      <w:r w:rsidR="003002EC">
        <w:t> </w:t>
      </w:r>
      <w:r w:rsidR="007F2B68">
        <w:t>€</w:t>
      </w:r>
      <w:r w:rsidR="00A11F72">
        <w:t> </w:t>
      </w:r>
      <w:r w:rsidRPr="007F534A">
        <w:t>;</w:t>
      </w:r>
    </w:p>
    <w:p w:rsidR="009F51CC" w:rsidRPr="007F534A" w:rsidRDefault="009F51CC" w:rsidP="006502EC">
      <w:pPr>
        <w:spacing w:after="360"/>
        <w:ind w:left="567" w:firstLine="1134"/>
      </w:pPr>
      <w:r w:rsidRPr="007F534A">
        <w:t xml:space="preserve">Vu le réquisitoire du Procureur général </w:t>
      </w:r>
      <w:r>
        <w:t xml:space="preserve">près la Cour des comptes </w:t>
      </w:r>
      <w:r w:rsidRPr="007F534A">
        <w:t xml:space="preserve">n° </w:t>
      </w:r>
      <w:r w:rsidR="00FB5D80">
        <w:t xml:space="preserve">2014-40 </w:t>
      </w:r>
      <w:r w:rsidRPr="007F534A">
        <w:t xml:space="preserve">du </w:t>
      </w:r>
      <w:r w:rsidR="00FB5D80">
        <w:t>18</w:t>
      </w:r>
      <w:r w:rsidR="0093527C">
        <w:t> </w:t>
      </w:r>
      <w:r w:rsidR="00FB5D80">
        <w:t>mars 2014</w:t>
      </w:r>
      <w:r w:rsidRPr="007F534A">
        <w:t xml:space="preserve"> transmettant</w:t>
      </w:r>
      <w:r w:rsidR="007F2B68" w:rsidRPr="007F2B68">
        <w:t xml:space="preserve"> </w:t>
      </w:r>
      <w:r w:rsidR="007F2B68" w:rsidRPr="00484671">
        <w:t>à la Cour</w:t>
      </w:r>
      <w:r w:rsidR="007F2B68">
        <w:t> </w:t>
      </w:r>
      <w:r w:rsidR="007F2B68" w:rsidRPr="007F534A">
        <w:t xml:space="preserve"> </w:t>
      </w:r>
      <w:r w:rsidRPr="007F534A">
        <w:t>la requête précitée</w:t>
      </w:r>
      <w:r w:rsidR="00A11F72">
        <w:t> </w:t>
      </w:r>
      <w:r w:rsidRPr="007F534A">
        <w:t>;</w:t>
      </w:r>
    </w:p>
    <w:p w:rsidR="009F51CC" w:rsidRPr="00484671" w:rsidRDefault="009F51CC" w:rsidP="006502EC">
      <w:pPr>
        <w:spacing w:after="360"/>
        <w:ind w:left="567" w:firstLine="1134"/>
      </w:pPr>
      <w:r w:rsidRPr="007F534A">
        <w:t>Vu</w:t>
      </w:r>
      <w:r w:rsidRPr="00484671">
        <w:t xml:space="preserve"> les pièces de la procédure suivie en première instance</w:t>
      </w:r>
      <w:r w:rsidR="006502EC">
        <w:t> ;</w:t>
      </w:r>
    </w:p>
    <w:p w:rsidR="009F51CC" w:rsidRPr="007F534A" w:rsidRDefault="009F51CC" w:rsidP="006502EC">
      <w:pPr>
        <w:spacing w:after="360"/>
        <w:ind w:left="567" w:firstLine="1134"/>
      </w:pPr>
      <w:r w:rsidRPr="007F534A">
        <w:t>Vu le code des juridictions financières ;</w:t>
      </w:r>
    </w:p>
    <w:p w:rsidR="009F51CC" w:rsidRPr="007F534A" w:rsidRDefault="009F51CC" w:rsidP="006502EC">
      <w:pPr>
        <w:spacing w:after="360"/>
        <w:ind w:firstLine="1701"/>
      </w:pPr>
      <w:r w:rsidRPr="007F534A">
        <w:t xml:space="preserve">Vu le </w:t>
      </w:r>
      <w:r w:rsidR="00801950">
        <w:t>c</w:t>
      </w:r>
      <w:r w:rsidRPr="007F534A">
        <w:t>ode</w:t>
      </w:r>
      <w:r w:rsidR="00801950">
        <w:t xml:space="preserve"> général des collectivités territoriales</w:t>
      </w:r>
      <w:r w:rsidR="006502EC">
        <w:t> ;</w:t>
      </w:r>
    </w:p>
    <w:p w:rsidR="009F51CC" w:rsidRDefault="009F51CC" w:rsidP="006502EC">
      <w:pPr>
        <w:spacing w:after="360"/>
        <w:ind w:left="567" w:firstLine="1134"/>
      </w:pPr>
      <w:r w:rsidRPr="007F534A">
        <w:t>Vu l’article 60 de la loi de finances n°</w:t>
      </w:r>
      <w:r w:rsidR="00203618">
        <w:t> </w:t>
      </w:r>
      <w:r w:rsidRPr="007F534A">
        <w:t>63-156 du 23 février 1963</w:t>
      </w:r>
      <w:r w:rsidR="006502EC">
        <w:t> ;</w:t>
      </w:r>
    </w:p>
    <w:p w:rsidR="009F51CC" w:rsidRDefault="009F51CC" w:rsidP="006502EC">
      <w:pPr>
        <w:spacing w:after="360"/>
        <w:ind w:left="567" w:firstLine="1134"/>
      </w:pPr>
      <w:r w:rsidRPr="007F534A">
        <w:lastRenderedPageBreak/>
        <w:t xml:space="preserve">Vu </w:t>
      </w:r>
      <w:r w:rsidRPr="00484671">
        <w:t>le décret n°</w:t>
      </w:r>
      <w:r w:rsidR="00203618">
        <w:t> </w:t>
      </w:r>
      <w:r w:rsidRPr="00484671">
        <w:t>62-1587 du 29 décembre 1962 modifié portant règlement général sur la comptabilité publique,</w:t>
      </w:r>
      <w:r w:rsidR="00801950">
        <w:t xml:space="preserve"> en vigueur au moment des faits</w:t>
      </w:r>
      <w:r w:rsidRPr="00484671">
        <w:t> ;</w:t>
      </w:r>
    </w:p>
    <w:p w:rsidR="009F51CC" w:rsidRDefault="009F51CC" w:rsidP="006502EC">
      <w:pPr>
        <w:spacing w:after="360"/>
        <w:ind w:left="567" w:firstLine="1134"/>
      </w:pPr>
      <w:r w:rsidRPr="007F534A">
        <w:t xml:space="preserve">Vu le rapport de M. </w:t>
      </w:r>
      <w:r w:rsidR="00801950">
        <w:t>Hervé Drouet</w:t>
      </w:r>
      <w:r w:rsidRPr="007F534A">
        <w:t xml:space="preserve">, </w:t>
      </w:r>
      <w:r w:rsidR="00801950">
        <w:t>conseiller maître</w:t>
      </w:r>
      <w:r w:rsidR="006502EC">
        <w:t> ;</w:t>
      </w:r>
    </w:p>
    <w:p w:rsidR="009F51CC" w:rsidRDefault="007F2B68" w:rsidP="006502EC">
      <w:pPr>
        <w:spacing w:after="360"/>
        <w:ind w:left="567" w:firstLine="1134"/>
      </w:pPr>
      <w:r w:rsidRPr="007F534A">
        <w:t xml:space="preserve">Vu </w:t>
      </w:r>
      <w:r>
        <w:t>le mémoire en défense de</w:t>
      </w:r>
      <w:r w:rsidRPr="00824F7B">
        <w:t xml:space="preserve"> </w:t>
      </w:r>
      <w:r w:rsidR="00635014">
        <w:t>M</w:t>
      </w:r>
      <w:r w:rsidR="00635014" w:rsidRPr="006502EC">
        <w:rPr>
          <w:vertAlign w:val="superscript"/>
        </w:rPr>
        <w:t>me</w:t>
      </w:r>
      <w:r w:rsidR="00635014">
        <w:t xml:space="preserve"> X</w:t>
      </w:r>
      <w:r w:rsidRPr="00824F7B">
        <w:t xml:space="preserve"> en date du 13 janvier 2014</w:t>
      </w:r>
      <w:r w:rsidR="00C84911">
        <w:t> ;</w:t>
      </w:r>
    </w:p>
    <w:p w:rsidR="009F51CC" w:rsidRPr="007F534A" w:rsidRDefault="009F51CC" w:rsidP="006502EC">
      <w:pPr>
        <w:spacing w:after="360"/>
        <w:ind w:left="567" w:firstLine="1134"/>
      </w:pPr>
      <w:r w:rsidRPr="007F534A">
        <w:t>Vu les conclusions du Procureur général n°</w:t>
      </w:r>
      <w:r w:rsidR="00203618">
        <w:t> </w:t>
      </w:r>
      <w:r w:rsidR="007321E6">
        <w:t>676</w:t>
      </w:r>
      <w:r w:rsidR="00801950">
        <w:t xml:space="preserve"> </w:t>
      </w:r>
      <w:r w:rsidRPr="007F534A">
        <w:t>du</w:t>
      </w:r>
      <w:r w:rsidR="007321E6">
        <w:t xml:space="preserve"> 24 octobre 2014</w:t>
      </w:r>
      <w:r w:rsidR="006502EC">
        <w:t> ;</w:t>
      </w:r>
    </w:p>
    <w:p w:rsidR="009F51CC" w:rsidRPr="00484671" w:rsidRDefault="009F51CC" w:rsidP="006502EC">
      <w:pPr>
        <w:spacing w:after="360"/>
        <w:ind w:left="567" w:firstLine="1134"/>
      </w:pPr>
      <w:r w:rsidRPr="007F534A">
        <w:t>Entendu, lors de l’audience publique de ce jour, M.</w:t>
      </w:r>
      <w:r w:rsidR="003002EC">
        <w:t> </w:t>
      </w:r>
      <w:r w:rsidR="00801950">
        <w:t>Drouet</w:t>
      </w:r>
      <w:r w:rsidRPr="007F534A">
        <w:t>, en son r</w:t>
      </w:r>
      <w:r w:rsidRPr="00484671">
        <w:t>apport, M.</w:t>
      </w:r>
      <w:r w:rsidR="0093527C">
        <w:t> </w:t>
      </w:r>
      <w:r w:rsidR="004F676F">
        <w:t>Christian Michaut</w:t>
      </w:r>
      <w:r w:rsidRPr="007F534A">
        <w:t>, avocat général, en les concl</w:t>
      </w:r>
      <w:r w:rsidR="004F676F">
        <w:t>usions du ministère public</w:t>
      </w:r>
      <w:r w:rsidR="006502EC">
        <w:t> ;</w:t>
      </w:r>
    </w:p>
    <w:p w:rsidR="009F51CC" w:rsidRPr="00484671" w:rsidRDefault="004F676F" w:rsidP="006502EC">
      <w:pPr>
        <w:spacing w:after="360"/>
        <w:ind w:left="567" w:firstLine="1134"/>
      </w:pPr>
      <w:r>
        <w:t>Après avoir entendu, en délibéré, M</w:t>
      </w:r>
      <w:r w:rsidRPr="006502EC">
        <w:rPr>
          <w:vertAlign w:val="superscript"/>
        </w:rPr>
        <w:t>me</w:t>
      </w:r>
      <w:r>
        <w:t xml:space="preserve"> Anne Froment-Meurice, présidente de chambre maintenue</w:t>
      </w:r>
      <w:r w:rsidR="009F51CC" w:rsidRPr="00484671">
        <w:t>, en ses observations ;</w:t>
      </w:r>
    </w:p>
    <w:p w:rsidR="009A082A" w:rsidRDefault="009A082A" w:rsidP="006502EC">
      <w:pPr>
        <w:spacing w:after="360"/>
        <w:ind w:left="567" w:firstLine="1134"/>
      </w:pPr>
      <w:r>
        <w:t xml:space="preserve">Attendu que, par le jugement entrepris, la chambre régionale des </w:t>
      </w:r>
      <w:r w:rsidR="006708DB">
        <w:t>comptes d’Aquitaine, Poitou-Char</w:t>
      </w:r>
      <w:r>
        <w:t>entes a mis à la cha</w:t>
      </w:r>
      <w:r w:rsidR="00E43940">
        <w:t xml:space="preserve">rge de </w:t>
      </w:r>
      <w:r w:rsidR="00635014">
        <w:t>M</w:t>
      </w:r>
      <w:r w:rsidR="00635014" w:rsidRPr="006502EC">
        <w:rPr>
          <w:vertAlign w:val="superscript"/>
        </w:rPr>
        <w:t>me</w:t>
      </w:r>
      <w:r w:rsidR="00635014">
        <w:t xml:space="preserve"> X</w:t>
      </w:r>
      <w:r w:rsidR="00E43940">
        <w:t xml:space="preserve"> une somme ir</w:t>
      </w:r>
      <w:r>
        <w:t>r</w:t>
      </w:r>
      <w:r w:rsidR="006708DB">
        <w:t>émissible de</w:t>
      </w:r>
      <w:r w:rsidR="006502EC">
        <w:t xml:space="preserve"> </w:t>
      </w:r>
      <w:r w:rsidR="006708DB">
        <w:t>163,50</w:t>
      </w:r>
      <w:r w:rsidR="00F12AF1">
        <w:t> </w:t>
      </w:r>
      <w:r w:rsidR="006708DB">
        <w:t>€, en raison du manquement qu’elle a commis au cours de l’exercice</w:t>
      </w:r>
      <w:r w:rsidR="006502EC">
        <w:t xml:space="preserve"> </w:t>
      </w:r>
      <w:r w:rsidR="006708DB">
        <w:t>2010, en payant douze mandats de</w:t>
      </w:r>
      <w:r>
        <w:t xml:space="preserve"> subventions à des particuliers</w:t>
      </w:r>
      <w:r w:rsidR="007B4B2B">
        <w:t xml:space="preserve">, sans disposer de la </w:t>
      </w:r>
      <w:r w:rsidR="00456441">
        <w:t>d</w:t>
      </w:r>
      <w:r w:rsidR="007B4B2B">
        <w:t>écision d’attribution émanant de l’autorité compétente prévue au paragraphe</w:t>
      </w:r>
      <w:r w:rsidR="00A11F72">
        <w:t xml:space="preserve"> </w:t>
      </w:r>
      <w:r w:rsidR="007B4B2B">
        <w:t xml:space="preserve">7211 de l’annexe 1 </w:t>
      </w:r>
      <w:r w:rsidR="0093527C">
        <w:t>au</w:t>
      </w:r>
      <w:r w:rsidR="007B4B2B">
        <w:t xml:space="preserve"> code général des collectivités territoriales</w:t>
      </w:r>
      <w:r>
        <w:t> ;</w:t>
      </w:r>
    </w:p>
    <w:p w:rsidR="00952DB2" w:rsidRPr="00183DA0" w:rsidRDefault="00952DB2" w:rsidP="006502EC">
      <w:pPr>
        <w:spacing w:after="360"/>
        <w:ind w:left="567" w:firstLine="1134"/>
      </w:pPr>
      <w:r>
        <w:t xml:space="preserve">Attendu que la chambre régionale a jugé </w:t>
      </w:r>
      <w:r w:rsidR="000D1C86">
        <w:t xml:space="preserve">en effet </w:t>
      </w:r>
      <w:r>
        <w:t xml:space="preserve">que ce manquement n’avait pas causé </w:t>
      </w:r>
      <w:r w:rsidR="00CB0367">
        <w:t>de</w:t>
      </w:r>
      <w:r>
        <w:t xml:space="preserve"> préjudice financier à la communauté de communes</w:t>
      </w:r>
      <w:r w:rsidR="000C204C">
        <w:t xml:space="preserve"> car </w:t>
      </w:r>
      <w:r w:rsidR="00183DA0">
        <w:t xml:space="preserve">l’absence formelle de décision par une autorité compétente ne suffisait pas à créer un préjudice, dès lors que des crédits étaient ouverts au budget, que la politique en question avait été préalablement définie par la communauté dans ses principes, qu’une information était donnée à chaque conseil communautaire </w:t>
      </w:r>
      <w:r w:rsidR="008C2888" w:rsidRPr="00183DA0">
        <w:t>et que l’ordonnateur de la collectivité n’a</w:t>
      </w:r>
      <w:r w:rsidR="00183DA0">
        <w:t>vait</w:t>
      </w:r>
      <w:r w:rsidR="008C2888" w:rsidRPr="00183DA0">
        <w:t>, à</w:t>
      </w:r>
      <w:r w:rsidR="006502EC">
        <w:t xml:space="preserve"> </w:t>
      </w:r>
      <w:r w:rsidR="008C2888" w:rsidRPr="00183DA0">
        <w:t>aucun moment, argué d’un préjudice dont cette dernière serait victim</w:t>
      </w:r>
      <w:r w:rsidR="00183DA0" w:rsidRPr="00183DA0">
        <w:t>e</w:t>
      </w:r>
      <w:r w:rsidR="008C2888" w:rsidRPr="00183DA0">
        <w:t> ;</w:t>
      </w:r>
    </w:p>
    <w:p w:rsidR="009907EE" w:rsidRDefault="008C2888" w:rsidP="006502EC">
      <w:pPr>
        <w:spacing w:after="360"/>
        <w:ind w:left="567" w:firstLine="1134"/>
      </w:pPr>
      <w:r>
        <w:t xml:space="preserve">Attendu que le procureur financier a interjeté appel du jugement aux fins de son infirmation, car, selon lui, </w:t>
      </w:r>
      <w:r w:rsidR="009907EE">
        <w:t xml:space="preserve">le manquement de la comptable aurait causé </w:t>
      </w:r>
      <w:r w:rsidR="00456441" w:rsidRPr="00E21938">
        <w:t>un préjudice</w:t>
      </w:r>
      <w:r w:rsidR="009907EE">
        <w:t xml:space="preserve"> financier à la communauté de communes</w:t>
      </w:r>
      <w:r>
        <w:t xml:space="preserve"> ; que dès lors, </w:t>
      </w:r>
      <w:r w:rsidR="00635014">
        <w:t>M</w:t>
      </w:r>
      <w:r w:rsidR="00635014" w:rsidRPr="006502EC">
        <w:rPr>
          <w:vertAlign w:val="superscript"/>
        </w:rPr>
        <w:t>me</w:t>
      </w:r>
      <w:r w:rsidR="00635014">
        <w:t xml:space="preserve"> X</w:t>
      </w:r>
      <w:r>
        <w:t xml:space="preserve"> aurait dû être déclarée débitrice de celle-ci à hauteur des </w:t>
      </w:r>
      <w:r w:rsidR="009907EE">
        <w:t>29</w:t>
      </w:r>
      <w:r w:rsidR="00936BC3">
        <w:t> </w:t>
      </w:r>
      <w:r w:rsidR="009907EE">
        <w:t>080</w:t>
      </w:r>
      <w:r w:rsidR="00936BC3">
        <w:t> </w:t>
      </w:r>
      <w:r w:rsidR="009907EE">
        <w:t>€ de subventions irrégulièrement payées ;</w:t>
      </w:r>
    </w:p>
    <w:p w:rsidR="009064D6" w:rsidRDefault="009064D6" w:rsidP="006502EC">
      <w:pPr>
        <w:spacing w:after="360"/>
        <w:ind w:left="567" w:firstLine="1134"/>
      </w:pPr>
      <w:r w:rsidRPr="009064D6">
        <w:t xml:space="preserve">Attendu que </w:t>
      </w:r>
      <w:r>
        <w:t>le</w:t>
      </w:r>
      <w:r w:rsidRPr="009064D6">
        <w:t xml:space="preserve"> manquement n’est </w:t>
      </w:r>
      <w:r>
        <w:t xml:space="preserve">pas </w:t>
      </w:r>
      <w:r w:rsidR="00BF7E7F">
        <w:t>contesté</w:t>
      </w:r>
      <w:r w:rsidRPr="009064D6">
        <w:t xml:space="preserve"> par la comptable</w:t>
      </w:r>
      <w:r>
        <w:t> ;</w:t>
      </w:r>
    </w:p>
    <w:p w:rsidR="00B62884" w:rsidRDefault="00B62884" w:rsidP="006502EC">
      <w:pPr>
        <w:spacing w:after="360" w:line="276" w:lineRule="auto"/>
        <w:ind w:firstLine="0"/>
        <w:jc w:val="left"/>
        <w:rPr>
          <w:b/>
          <w:i/>
        </w:rPr>
      </w:pPr>
      <w:r>
        <w:rPr>
          <w:b/>
          <w:i/>
        </w:rPr>
        <w:br w:type="page"/>
      </w:r>
    </w:p>
    <w:p w:rsidR="00A11F72" w:rsidRPr="00A11F72" w:rsidRDefault="00A11F72" w:rsidP="006502EC">
      <w:pPr>
        <w:spacing w:after="360"/>
        <w:ind w:firstLine="1701"/>
        <w:rPr>
          <w:b/>
          <w:i/>
        </w:rPr>
      </w:pPr>
      <w:r w:rsidRPr="00A11F72">
        <w:rPr>
          <w:b/>
          <w:i/>
        </w:rPr>
        <w:lastRenderedPageBreak/>
        <w:t>Sur l’existence d’un préjudice financier</w:t>
      </w:r>
    </w:p>
    <w:p w:rsidR="00F12AF1" w:rsidRDefault="00676D8D" w:rsidP="006502EC">
      <w:pPr>
        <w:spacing w:after="360"/>
        <w:ind w:left="567" w:firstLine="1134"/>
      </w:pPr>
      <w:r>
        <w:t xml:space="preserve">Attendu que l’appelant fait </w:t>
      </w:r>
      <w:r w:rsidR="00F12AF1">
        <w:t xml:space="preserve">notamment </w:t>
      </w:r>
      <w:r>
        <w:t>valoir que</w:t>
      </w:r>
      <w:r w:rsidR="0075460F">
        <w:t xml:space="preserve"> « </w:t>
      </w:r>
      <w:r w:rsidR="009907EE" w:rsidRPr="0075460F">
        <w:rPr>
          <w:i/>
        </w:rPr>
        <w:t>le paiement de dépenses non régulièrement décidé</w:t>
      </w:r>
      <w:r w:rsidR="0075460F" w:rsidRPr="0075460F">
        <w:rPr>
          <w:i/>
        </w:rPr>
        <w:t>es par une autorité habilitée a</w:t>
      </w:r>
      <w:r w:rsidR="009907EE" w:rsidRPr="0075460F">
        <w:rPr>
          <w:i/>
        </w:rPr>
        <w:t xml:space="preserve"> entraîné un appauvrissement no</w:t>
      </w:r>
      <w:r w:rsidRPr="0075460F">
        <w:rPr>
          <w:i/>
        </w:rPr>
        <w:t>n recherché par la communauté</w:t>
      </w:r>
      <w:r w:rsidR="0075460F">
        <w:rPr>
          <w:i/>
        </w:rPr>
        <w:t xml:space="preserve"> et est</w:t>
      </w:r>
      <w:r w:rsidR="008608C2">
        <w:rPr>
          <w:i/>
        </w:rPr>
        <w:t xml:space="preserve"> donc constitutif d’un préjudice » </w:t>
      </w:r>
      <w:r w:rsidR="006502EC">
        <w:t>;</w:t>
      </w:r>
    </w:p>
    <w:p w:rsidR="00885B07" w:rsidRDefault="00B808B2" w:rsidP="006502EC">
      <w:pPr>
        <w:spacing w:after="360"/>
        <w:ind w:left="567" w:firstLine="1134"/>
        <w:rPr>
          <w:i/>
        </w:rPr>
      </w:pPr>
      <w:r>
        <w:t xml:space="preserve">Attendu que la comptable, dans son mémoire en défense </w:t>
      </w:r>
      <w:r w:rsidR="00C70C2B">
        <w:t>du 13 janvier 2014, fait valoir</w:t>
      </w:r>
      <w:r>
        <w:t xml:space="preserve">, quant à elle, </w:t>
      </w:r>
      <w:r w:rsidR="00C70C2B">
        <w:t>que,</w:t>
      </w:r>
      <w:r w:rsidR="00C70C2B" w:rsidRPr="00C70C2B">
        <w:t xml:space="preserve"> </w:t>
      </w:r>
      <w:r w:rsidR="00C70C2B">
        <w:t>« </w:t>
      </w:r>
      <w:r w:rsidR="008D01EF" w:rsidRPr="008D01EF">
        <w:rPr>
          <w:i/>
        </w:rPr>
        <w:t>partie à la procédure,</w:t>
      </w:r>
      <w:r w:rsidR="008D01EF">
        <w:t xml:space="preserve"> …</w:t>
      </w:r>
      <w:r w:rsidR="00C70C2B">
        <w:t xml:space="preserve"> </w:t>
      </w:r>
      <w:r w:rsidR="00C70C2B" w:rsidRPr="00C70C2B">
        <w:rPr>
          <w:i/>
        </w:rPr>
        <w:t>l’ordonnateur n’argue d’aucun</w:t>
      </w:r>
      <w:r w:rsidRPr="00C70C2B">
        <w:rPr>
          <w:i/>
        </w:rPr>
        <w:t xml:space="preserve"> préjudice financier</w:t>
      </w:r>
      <w:r w:rsidR="00C70C2B" w:rsidRPr="00C70C2B">
        <w:rPr>
          <w:i/>
        </w:rPr>
        <w:t xml:space="preserve"> subi par la collectivité du fait d’un manquement imputable au comptable ;</w:t>
      </w:r>
      <w:r w:rsidR="00F91ABE">
        <w:rPr>
          <w:i/>
        </w:rPr>
        <w:t>…</w:t>
      </w:r>
      <w:r w:rsidR="0011538B">
        <w:rPr>
          <w:i/>
        </w:rPr>
        <w:t xml:space="preserve">qu’il est paradoxal d’affirmer </w:t>
      </w:r>
      <w:r w:rsidR="009064D6">
        <w:t>[</w:t>
      </w:r>
      <w:r w:rsidR="0011538B" w:rsidRPr="009064D6">
        <w:t>…</w:t>
      </w:r>
      <w:r w:rsidR="009064D6">
        <w:t>]</w:t>
      </w:r>
      <w:r w:rsidR="0011538B">
        <w:rPr>
          <w:i/>
        </w:rPr>
        <w:t xml:space="preserve"> que les manquements qui lui sont imputables seraient la cause d’un appauvrissement non recherché de la communauté de communes, alors que</w:t>
      </w:r>
      <w:r w:rsidR="00F91ABE">
        <w:rPr>
          <w:i/>
        </w:rPr>
        <w:t xml:space="preserve"> les versements ont été exécutés conformément à un dispositif d’</w:t>
      </w:r>
      <w:r w:rsidR="0011538B">
        <w:rPr>
          <w:i/>
        </w:rPr>
        <w:t>aide</w:t>
      </w:r>
      <w:r w:rsidR="00F91ABE">
        <w:rPr>
          <w:i/>
        </w:rPr>
        <w:t xml:space="preserve"> aux créations d’entreprises dont les modalités ont été clairement définies et approuvées par les organes compétents, que le conseil communautaire était régulièrement informé de l’allocation des fonds, que la dépense a été financée pour partie par les fonds de la région, que cette dépense </w:t>
      </w:r>
      <w:r w:rsidR="00AE7392">
        <w:rPr>
          <w:i/>
        </w:rPr>
        <w:t>a été imputée sur des crédits régulièrement ouverts et qu’elle figure tant au compte de gestion qu’au compte administratif »</w:t>
      </w:r>
      <w:r w:rsidR="008D01EF">
        <w:rPr>
          <w:i/>
        </w:rPr>
        <w:t> ;</w:t>
      </w:r>
    </w:p>
    <w:p w:rsidR="00F12AF1" w:rsidRDefault="00633864" w:rsidP="006502EC">
      <w:pPr>
        <w:spacing w:after="360"/>
        <w:ind w:left="567" w:firstLine="1134"/>
      </w:pPr>
      <w:r>
        <w:t xml:space="preserve">Attendu </w:t>
      </w:r>
      <w:r w:rsidR="001C6C41" w:rsidRPr="001C6C41">
        <w:t>que</w:t>
      </w:r>
      <w:r w:rsidR="00C10FE5">
        <w:t xml:space="preserve"> </w:t>
      </w:r>
      <w:r w:rsidR="001C6C41" w:rsidRPr="001C6C41">
        <w:t xml:space="preserve">l’appréciation </w:t>
      </w:r>
      <w:r w:rsidR="00885B07">
        <w:t>du</w:t>
      </w:r>
      <w:r w:rsidR="001C6C41">
        <w:t xml:space="preserve"> </w:t>
      </w:r>
      <w:r w:rsidR="001C6C41" w:rsidRPr="001C6C41">
        <w:t>juge</w:t>
      </w:r>
      <w:r w:rsidR="006502EC">
        <w:t xml:space="preserve"> </w:t>
      </w:r>
      <w:r w:rsidR="00885B07">
        <w:t xml:space="preserve">des comptes quant à </w:t>
      </w:r>
      <w:r w:rsidR="00885B07" w:rsidRPr="001C6C41">
        <w:t>l’existence ou non d’un préjudice financier</w:t>
      </w:r>
      <w:r w:rsidR="00885B07">
        <w:t xml:space="preserve"> </w:t>
      </w:r>
      <w:r w:rsidR="001C6C41" w:rsidRPr="001C6C41">
        <w:t>n’est pas lié</w:t>
      </w:r>
      <w:r w:rsidR="00885B07">
        <w:t>e</w:t>
      </w:r>
      <w:r w:rsidR="001C6C41" w:rsidRPr="001C6C41">
        <w:t xml:space="preserve"> par une déclaration de l’organe délibérant</w:t>
      </w:r>
      <w:r w:rsidR="00885B07">
        <w:t xml:space="preserve"> qu’elle</w:t>
      </w:r>
      <w:r w:rsidR="001C6C41" w:rsidRPr="001C6C41">
        <w:t xml:space="preserve"> </w:t>
      </w:r>
      <w:r w:rsidR="00885B07" w:rsidRPr="001C6C41">
        <w:t>indiqu</w:t>
      </w:r>
      <w:r w:rsidR="00885B07">
        <w:t>e ou non</w:t>
      </w:r>
      <w:r w:rsidR="00885B07" w:rsidRPr="001C6C41">
        <w:t xml:space="preserve"> </w:t>
      </w:r>
      <w:r w:rsidR="001C6C41" w:rsidRPr="001C6C41">
        <w:t>que la collectivité n’aurait subi aucun préjudice</w:t>
      </w:r>
      <w:r w:rsidR="00885B07">
        <w:t xml:space="preserve"> ; qu’elle n’est pas davantage </w:t>
      </w:r>
      <w:r w:rsidR="0093527C">
        <w:t>liée</w:t>
      </w:r>
      <w:r w:rsidR="001463E4">
        <w:t>,</w:t>
      </w:r>
      <w:r w:rsidR="00857EA6">
        <w:t xml:space="preserve"> comme au cas d’espèce,</w:t>
      </w:r>
      <w:r w:rsidR="00885B07">
        <w:t xml:space="preserve"> </w:t>
      </w:r>
      <w:r w:rsidR="001C6C41">
        <w:t>par une absence d’invocation</w:t>
      </w:r>
      <w:r>
        <w:t xml:space="preserve"> par l’ordonnateur</w:t>
      </w:r>
      <w:r w:rsidR="001C6C41">
        <w:t xml:space="preserve"> de l’existence d’un préjudice ;</w:t>
      </w:r>
      <w:r w:rsidR="0043623F">
        <w:t xml:space="preserve"> que</w:t>
      </w:r>
      <w:r w:rsidR="0093527C">
        <w:t>,</w:t>
      </w:r>
      <w:r w:rsidR="0043623F">
        <w:t xml:space="preserve"> dès lors, </w:t>
      </w:r>
      <w:r w:rsidR="00A11F72">
        <w:t xml:space="preserve">le </w:t>
      </w:r>
      <w:r w:rsidR="00534302">
        <w:t xml:space="preserve">premier </w:t>
      </w:r>
      <w:r w:rsidR="00A11F72">
        <w:t>moyen</w:t>
      </w:r>
      <w:r w:rsidR="0043623F">
        <w:t xml:space="preserve"> de </w:t>
      </w:r>
      <w:r w:rsidR="00635014">
        <w:t>M</w:t>
      </w:r>
      <w:r w:rsidR="00635014" w:rsidRPr="006502EC">
        <w:rPr>
          <w:vertAlign w:val="superscript"/>
        </w:rPr>
        <w:t>me</w:t>
      </w:r>
      <w:r w:rsidR="00635014">
        <w:t xml:space="preserve"> X</w:t>
      </w:r>
      <w:r w:rsidR="0043623F">
        <w:t xml:space="preserve"> </w:t>
      </w:r>
      <w:r w:rsidR="004172C6">
        <w:t xml:space="preserve">est à </w:t>
      </w:r>
      <w:r w:rsidR="0043623F">
        <w:t>écart</w:t>
      </w:r>
      <w:r w:rsidR="004172C6">
        <w:t>er</w:t>
      </w:r>
      <w:r w:rsidR="006502EC">
        <w:t> ;</w:t>
      </w:r>
    </w:p>
    <w:p w:rsidR="00C82C8E" w:rsidRDefault="004570D1" w:rsidP="006502EC">
      <w:pPr>
        <w:spacing w:after="360"/>
        <w:ind w:left="567" w:firstLine="1134"/>
      </w:pPr>
      <w:r>
        <w:t xml:space="preserve">Attendu </w:t>
      </w:r>
      <w:r w:rsidR="004172C6">
        <w:t xml:space="preserve">que </w:t>
      </w:r>
      <w:r w:rsidR="00F12AF1">
        <w:t>l’existence d’un d</w:t>
      </w:r>
      <w:r w:rsidR="00F12AF1" w:rsidRPr="00F12AF1">
        <w:t xml:space="preserve">ispositif d’aide aux créations d’entreprises dont les modalités ont été définies </w:t>
      </w:r>
      <w:r w:rsidR="001463E4">
        <w:t xml:space="preserve">par </w:t>
      </w:r>
      <w:r w:rsidR="001463E4" w:rsidRPr="001463E4">
        <w:t xml:space="preserve">la délibération </w:t>
      </w:r>
      <w:r w:rsidR="001463E4">
        <w:t xml:space="preserve">38bis/2005 </w:t>
      </w:r>
      <w:r w:rsidR="001463E4" w:rsidRPr="001463E4">
        <w:t>du 1</w:t>
      </w:r>
      <w:r w:rsidR="001463E4" w:rsidRPr="001463E4">
        <w:rPr>
          <w:vertAlign w:val="superscript"/>
        </w:rPr>
        <w:t>er</w:t>
      </w:r>
      <w:r w:rsidR="006502EC">
        <w:t xml:space="preserve"> </w:t>
      </w:r>
      <w:r w:rsidR="001463E4" w:rsidRPr="001463E4">
        <w:t>juin</w:t>
      </w:r>
      <w:r w:rsidR="006502EC">
        <w:t xml:space="preserve"> </w:t>
      </w:r>
      <w:r w:rsidR="001463E4" w:rsidRPr="001463E4">
        <w:t xml:space="preserve">2005 du conseil de la communauté </w:t>
      </w:r>
      <w:r w:rsidR="00F12AF1" w:rsidRPr="00F12AF1">
        <w:t xml:space="preserve">de communes </w:t>
      </w:r>
      <w:r w:rsidR="004172C6">
        <w:t>e</w:t>
      </w:r>
      <w:r w:rsidR="00F12AF1">
        <w:t>t son</w:t>
      </w:r>
      <w:r w:rsidR="004172C6">
        <w:t xml:space="preserve"> respect </w:t>
      </w:r>
      <w:r w:rsidR="00C10FE5">
        <w:t>n</w:t>
      </w:r>
      <w:r>
        <w:t>e sont</w:t>
      </w:r>
      <w:r w:rsidR="00C10FE5">
        <w:t xml:space="preserve"> pas contesté</w:t>
      </w:r>
      <w:r w:rsidR="001463E4">
        <w:t>s</w:t>
      </w:r>
      <w:r w:rsidR="0093527C">
        <w:t xml:space="preserve"> ; que, pour autant, </w:t>
      </w:r>
      <w:r w:rsidR="00C82C8E">
        <w:t xml:space="preserve">la délibération </w:t>
      </w:r>
      <w:r w:rsidR="001463E4">
        <w:t>précitée</w:t>
      </w:r>
      <w:r w:rsidR="00C82C8E" w:rsidRPr="00857EA6">
        <w:t>, qui confie le soin de décider</w:t>
      </w:r>
      <w:r w:rsidR="00C82C8E">
        <w:t xml:space="preserve"> de l’octroi des subventions à une commission </w:t>
      </w:r>
      <w:r w:rsidR="00C82C8E" w:rsidRPr="00857EA6">
        <w:rPr>
          <w:i/>
        </w:rPr>
        <w:t>ad hoc</w:t>
      </w:r>
      <w:r w:rsidR="00C82C8E">
        <w:t xml:space="preserve"> dénommée « atelier de la création », composée d</w:t>
      </w:r>
      <w:r w:rsidR="00857EA6">
        <w:t>e</w:t>
      </w:r>
      <w:r w:rsidR="00C82C8E">
        <w:t xml:space="preserve"> représentant</w:t>
      </w:r>
      <w:r w:rsidR="00857EA6">
        <w:t>s</w:t>
      </w:r>
      <w:r w:rsidR="00C82C8E">
        <w:t xml:space="preserve"> de la communauté ainsi que d’autres collectivités ou chambres consulaires, ne saurait être regardée c</w:t>
      </w:r>
      <w:r w:rsidR="0093527C">
        <w:t>omme une décision de délégation</w:t>
      </w:r>
      <w:r w:rsidR="00857EA6">
        <w:t xml:space="preserve"> de </w:t>
      </w:r>
      <w:r w:rsidR="00C940B1">
        <w:t>la part du conseil communautaire</w:t>
      </w:r>
      <w:r w:rsidR="0093527C">
        <w:t> </w:t>
      </w:r>
      <w:r w:rsidR="00F12AF1">
        <w:t>;</w:t>
      </w:r>
      <w:r w:rsidR="00C10FE5" w:rsidRPr="00C10FE5">
        <w:t xml:space="preserve"> que les </w:t>
      </w:r>
      <w:r w:rsidR="00C10FE5">
        <w:t xml:space="preserve">subventions ont été payées </w:t>
      </w:r>
      <w:r w:rsidR="00C10FE5" w:rsidRPr="00C10FE5">
        <w:t>au seul vu d’un courrier de notification co-signé du président de la communauté de communes</w:t>
      </w:r>
      <w:r w:rsidR="00857EA6">
        <w:t>, autorisé par la délibération précitée « </w:t>
      </w:r>
      <w:r w:rsidR="00857EA6" w:rsidRPr="00857EA6">
        <w:rPr>
          <w:i/>
        </w:rPr>
        <w:t>à signer toute pièce s’y rapportant</w:t>
      </w:r>
      <w:r w:rsidR="00857EA6">
        <w:t> »</w:t>
      </w:r>
      <w:r w:rsidR="00B62884">
        <w:t>,</w:t>
      </w:r>
      <w:r w:rsidR="00857EA6">
        <w:t xml:space="preserve"> </w:t>
      </w:r>
      <w:r w:rsidR="00C10FE5" w:rsidRPr="00C10FE5">
        <w:t>et d’un élu du conseil régional</w:t>
      </w:r>
      <w:r w:rsidR="00C10FE5">
        <w:t>,</w:t>
      </w:r>
      <w:r w:rsidR="00C10FE5" w:rsidRPr="00C10FE5">
        <w:t xml:space="preserve"> </w:t>
      </w:r>
      <w:r w:rsidR="0093527C" w:rsidRPr="0093527C">
        <w:t>qui ne disposait d’aucune délégation à cette fin,</w:t>
      </w:r>
      <w:r w:rsidR="0093527C">
        <w:t xml:space="preserve"> </w:t>
      </w:r>
      <w:r w:rsidR="00C10FE5">
        <w:t>mais sans</w:t>
      </w:r>
      <w:r w:rsidR="00C10FE5" w:rsidRPr="00C10FE5">
        <w:t xml:space="preserve"> décision d’attribution individuelle émanant d’une autorité compétente</w:t>
      </w:r>
      <w:r w:rsidR="00C10FE5">
        <w:t> </w:t>
      </w:r>
      <w:r w:rsidR="004172C6">
        <w:t xml:space="preserve">; </w:t>
      </w:r>
      <w:r w:rsidR="00F12AF1" w:rsidRPr="00F12AF1">
        <w:t xml:space="preserve">que dès lors, le </w:t>
      </w:r>
      <w:r w:rsidR="00F12AF1">
        <w:t>deuxième</w:t>
      </w:r>
      <w:r w:rsidR="00F12AF1" w:rsidRPr="00F12AF1">
        <w:t xml:space="preserve"> moyen de </w:t>
      </w:r>
      <w:r w:rsidR="00635014">
        <w:t>M</w:t>
      </w:r>
      <w:r w:rsidR="00635014" w:rsidRPr="006502EC">
        <w:rPr>
          <w:vertAlign w:val="superscript"/>
        </w:rPr>
        <w:t>me</w:t>
      </w:r>
      <w:r w:rsidR="00635014">
        <w:t xml:space="preserve"> X</w:t>
      </w:r>
      <w:r w:rsidR="00F12AF1" w:rsidRPr="00F12AF1">
        <w:t xml:space="preserve"> est à écarter</w:t>
      </w:r>
      <w:r w:rsidR="006502EC">
        <w:t> ;</w:t>
      </w:r>
    </w:p>
    <w:p w:rsidR="00C10FE5" w:rsidRDefault="004570D1" w:rsidP="006502EC">
      <w:pPr>
        <w:pStyle w:val="Corpsdetexte"/>
        <w:spacing w:before="0" w:after="360"/>
        <w:ind w:left="567" w:firstLine="1134"/>
      </w:pPr>
      <w:r>
        <w:t>Attendu</w:t>
      </w:r>
      <w:r w:rsidR="004172C6">
        <w:t xml:space="preserve"> </w:t>
      </w:r>
      <w:r>
        <w:t xml:space="preserve">que </w:t>
      </w:r>
      <w:r w:rsidR="00F12AF1">
        <w:t xml:space="preserve">le </w:t>
      </w:r>
      <w:r w:rsidR="00F12AF1" w:rsidRPr="00F12AF1">
        <w:t xml:space="preserve">conseil communautaire </w:t>
      </w:r>
      <w:r w:rsidR="00A5284B">
        <w:t>n’</w:t>
      </w:r>
      <w:r w:rsidR="00F12AF1">
        <w:t>avait connaissance de</w:t>
      </w:r>
      <w:r w:rsidR="004172C6" w:rsidRPr="004172C6">
        <w:t xml:space="preserve"> la liste des bénéficiaires</w:t>
      </w:r>
      <w:r w:rsidR="00A5284B">
        <w:t xml:space="preserve"> qu’</w:t>
      </w:r>
      <w:r w:rsidR="009064D6">
        <w:t>après</w:t>
      </w:r>
      <w:r w:rsidR="004172C6" w:rsidRPr="004172C6">
        <w:t xml:space="preserve"> notification des subventions</w:t>
      </w:r>
      <w:r>
        <w:t xml:space="preserve"> ; qu’en outre </w:t>
      </w:r>
      <w:r w:rsidR="00F12AF1">
        <w:t>la présentation de cette liste</w:t>
      </w:r>
      <w:r>
        <w:t xml:space="preserve"> </w:t>
      </w:r>
      <w:r w:rsidR="00B62884">
        <w:t>n’</w:t>
      </w:r>
      <w:r>
        <w:t>était</w:t>
      </w:r>
      <w:r w:rsidR="004172C6" w:rsidRPr="004172C6">
        <w:t xml:space="preserve"> inscrite </w:t>
      </w:r>
      <w:r w:rsidR="00A5284B">
        <w:t>à</w:t>
      </w:r>
      <w:r w:rsidR="004172C6" w:rsidRPr="004172C6">
        <w:t xml:space="preserve"> l’ordre du jour </w:t>
      </w:r>
      <w:r w:rsidR="00121EC0">
        <w:t xml:space="preserve">de ce conseil que </w:t>
      </w:r>
      <w:r w:rsidR="004172C6" w:rsidRPr="004172C6">
        <w:t>pour simple information</w:t>
      </w:r>
      <w:r w:rsidR="0093527C">
        <w:t> </w:t>
      </w:r>
      <w:r w:rsidR="004172C6" w:rsidRPr="004172C6">
        <w:t>;</w:t>
      </w:r>
      <w:r w:rsidR="004172C6">
        <w:t xml:space="preserve"> </w:t>
      </w:r>
      <w:r w:rsidR="004172C6" w:rsidRPr="004172C6">
        <w:t xml:space="preserve">que </w:t>
      </w:r>
      <w:r>
        <w:t xml:space="preserve">par conséquent </w:t>
      </w:r>
      <w:r w:rsidR="00121EC0">
        <w:t xml:space="preserve">cette </w:t>
      </w:r>
      <w:r w:rsidR="00A5284B">
        <w:t xml:space="preserve">présentation ne </w:t>
      </w:r>
      <w:r w:rsidR="00FD6A89">
        <w:t>pouvait se substituer à</w:t>
      </w:r>
      <w:r w:rsidR="00A5284B">
        <w:t xml:space="preserve"> </w:t>
      </w:r>
      <w:r w:rsidR="0093527C">
        <w:t xml:space="preserve">des </w:t>
      </w:r>
      <w:r w:rsidR="00A5284B">
        <w:t>décision</w:t>
      </w:r>
      <w:r w:rsidR="0093527C">
        <w:t>s</w:t>
      </w:r>
      <w:r w:rsidR="004172C6" w:rsidRPr="004172C6">
        <w:t xml:space="preserve"> </w:t>
      </w:r>
      <w:r w:rsidR="0093527C">
        <w:t>d</w:t>
      </w:r>
      <w:r w:rsidR="004172C6" w:rsidRPr="004172C6">
        <w:t xml:space="preserve">’attribution </w:t>
      </w:r>
      <w:r w:rsidR="0093527C">
        <w:t xml:space="preserve">individuelle de </w:t>
      </w:r>
      <w:r w:rsidR="004172C6" w:rsidRPr="004172C6">
        <w:t>subvention</w:t>
      </w:r>
      <w:r w:rsidR="00572D5C">
        <w:t xml:space="preserve"> prises par ce conseil</w:t>
      </w:r>
      <w:r w:rsidR="00534302">
        <w:t> </w:t>
      </w:r>
      <w:r w:rsidR="004172C6" w:rsidRPr="004172C6">
        <w:t>; qu’il y a donc lieu d</w:t>
      </w:r>
      <w:r w:rsidR="00534302">
        <w:t>’écarter</w:t>
      </w:r>
      <w:r w:rsidR="004172C6" w:rsidRPr="004172C6">
        <w:t xml:space="preserve"> </w:t>
      </w:r>
      <w:r w:rsidR="00534302">
        <w:t>l</w:t>
      </w:r>
      <w:r w:rsidR="004172C6" w:rsidRPr="004172C6">
        <w:t xml:space="preserve">e </w:t>
      </w:r>
      <w:r w:rsidR="00534302">
        <w:t xml:space="preserve">troisième </w:t>
      </w:r>
      <w:r w:rsidR="004172C6" w:rsidRPr="004172C6">
        <w:t xml:space="preserve">moyen de </w:t>
      </w:r>
      <w:r w:rsidR="00635014">
        <w:t>M</w:t>
      </w:r>
      <w:r w:rsidR="00635014" w:rsidRPr="006502EC">
        <w:rPr>
          <w:vertAlign w:val="superscript"/>
        </w:rPr>
        <w:t>me</w:t>
      </w:r>
      <w:r w:rsidR="00635014">
        <w:t xml:space="preserve"> X</w:t>
      </w:r>
      <w:r w:rsidR="006502EC">
        <w:t> ;</w:t>
      </w:r>
    </w:p>
    <w:p w:rsidR="004172C6" w:rsidRDefault="004172C6" w:rsidP="006502EC">
      <w:pPr>
        <w:pStyle w:val="Corpsdetexte"/>
        <w:spacing w:before="0" w:after="360"/>
        <w:ind w:left="567" w:firstLine="1134"/>
      </w:pPr>
      <w:r>
        <w:t xml:space="preserve">Attendu que </w:t>
      </w:r>
      <w:r w:rsidR="00FD6A89">
        <w:t>cette dernière</w:t>
      </w:r>
      <w:r>
        <w:t xml:space="preserve"> fait valoir en quatrième lieu </w:t>
      </w:r>
      <w:r w:rsidRPr="004172C6">
        <w:t xml:space="preserve">que la dépense a été financée pour partie par les fonds de la région, que cette dépense a été imputée sur des </w:t>
      </w:r>
      <w:r w:rsidRPr="004172C6">
        <w:lastRenderedPageBreak/>
        <w:t>crédits régulièrement ouverts et qu’elle figure tant au compte de gestion qu’au compte administratif</w:t>
      </w:r>
      <w:r>
        <w:t xml:space="preserve"> ; </w:t>
      </w:r>
      <w:r w:rsidR="00534302">
        <w:t>que ces circonstances n’établissent pas qu’une autorité compétente aurait pris les</w:t>
      </w:r>
      <w:r w:rsidR="00534302" w:rsidRPr="00534302">
        <w:t xml:space="preserve"> décision</w:t>
      </w:r>
      <w:r w:rsidR="00534302">
        <w:t>s</w:t>
      </w:r>
      <w:r w:rsidR="00534302" w:rsidRPr="00534302">
        <w:t xml:space="preserve"> d’attribution individuelle </w:t>
      </w:r>
      <w:r w:rsidR="00534302">
        <w:t>de subvention ; que ce quatrième moyen est inopérant ;</w:t>
      </w:r>
    </w:p>
    <w:p w:rsidR="000D1C86" w:rsidRDefault="000D1C86" w:rsidP="006502EC">
      <w:pPr>
        <w:pStyle w:val="Corpsdetexte"/>
        <w:spacing w:before="0" w:after="360"/>
        <w:ind w:left="567" w:firstLine="1134"/>
      </w:pPr>
      <w:r w:rsidRPr="000D1C86">
        <w:t>Attendu que l</w:t>
      </w:r>
      <w:r>
        <w:t>a comptable allègue enfin que « </w:t>
      </w:r>
      <w:r w:rsidRPr="000D1C86">
        <w:rPr>
          <w:i/>
        </w:rPr>
        <w:t>la CRC a considéré que les attributions de subventions par la communauté de communes pour le compte de la région étaient irrégulières, portant de ce fait une appréciation sur la légalité interne du dispositif d’aide aux créations d’entreprises instauré par la région, appréciation qui ne relève ni de la compétence du comptable, ni de celle du juge financier </w:t>
      </w:r>
      <w:r w:rsidRPr="000D1C86">
        <w:t>» ; que ce moyen</w:t>
      </w:r>
      <w:r w:rsidR="00C940B1">
        <w:t xml:space="preserve"> est sans portée</w:t>
      </w:r>
      <w:r w:rsidR="00C940B1" w:rsidRPr="00C940B1">
        <w:t xml:space="preserve"> </w:t>
      </w:r>
      <w:r w:rsidR="00C940B1">
        <w:t xml:space="preserve">à </w:t>
      </w:r>
      <w:r w:rsidR="00C940B1" w:rsidRPr="00C940B1">
        <w:t xml:space="preserve">l’encontre du jugement, dont la comptable ne demande pas au demeurant </w:t>
      </w:r>
      <w:r w:rsidR="00C940B1">
        <w:t xml:space="preserve">l’infirmation ; qu’il est </w:t>
      </w:r>
      <w:r w:rsidRPr="000D1C86">
        <w:t xml:space="preserve">sans portée </w:t>
      </w:r>
      <w:r w:rsidR="00C940B1">
        <w:t xml:space="preserve">non plus </w:t>
      </w:r>
      <w:r w:rsidRPr="000D1C86">
        <w:t>en réfutation de la requête du procureur financier</w:t>
      </w:r>
      <w:r w:rsidR="00C940B1">
        <w:t> ; qu’il est donc inopérant ;</w:t>
      </w:r>
    </w:p>
    <w:p w:rsidR="00C82C8E" w:rsidRDefault="00AC01A1" w:rsidP="006502EC">
      <w:pPr>
        <w:pStyle w:val="Corpsdetexte"/>
        <w:spacing w:before="0" w:after="360"/>
        <w:ind w:left="567" w:firstLine="1134"/>
      </w:pPr>
      <w:r>
        <w:t xml:space="preserve">Attendu </w:t>
      </w:r>
      <w:r w:rsidR="00C82C8E">
        <w:t>qu</w:t>
      </w:r>
      <w:r w:rsidR="00A5284B">
        <w:t>’en l’absence d’une décision émanant d’une autorité compétent</w:t>
      </w:r>
      <w:r w:rsidR="005B0842">
        <w:t>e</w:t>
      </w:r>
      <w:r w:rsidR="00A5284B">
        <w:t xml:space="preserve">, </w:t>
      </w:r>
      <w:r w:rsidR="00C82C8E">
        <w:t>la validité de la créance de cha</w:t>
      </w:r>
      <w:r w:rsidR="00121EC0">
        <w:t xml:space="preserve">que bénéficiaire des </w:t>
      </w:r>
      <w:r w:rsidR="00FD6A89">
        <w:t>paiements litigieux</w:t>
      </w:r>
      <w:r w:rsidR="00121EC0">
        <w:t xml:space="preserve"> fait défaut </w:t>
      </w:r>
      <w:r w:rsidR="00C82C8E">
        <w:t xml:space="preserve">; que les </w:t>
      </w:r>
      <w:r w:rsidR="00121EC0">
        <w:t xml:space="preserve">subventions payées </w:t>
      </w:r>
      <w:r w:rsidR="00C82C8E">
        <w:t>ne p</w:t>
      </w:r>
      <w:r w:rsidR="004570D1">
        <w:t>euvent</w:t>
      </w:r>
      <w:r w:rsidR="00C82C8E">
        <w:t xml:space="preserve"> dès lors être considéré</w:t>
      </w:r>
      <w:r w:rsidR="00FD6A89">
        <w:t>e</w:t>
      </w:r>
      <w:r w:rsidR="00C82C8E">
        <w:t xml:space="preserve">s comme </w:t>
      </w:r>
      <w:r w:rsidR="004570D1">
        <w:t xml:space="preserve">ayant été </w:t>
      </w:r>
      <w:r w:rsidR="00C82C8E">
        <w:t>du</w:t>
      </w:r>
      <w:r w:rsidR="00121EC0">
        <w:t>e</w:t>
      </w:r>
      <w:r w:rsidR="00C82C8E">
        <w:t xml:space="preserve">s ; qu’il en résulte un préjudice </w:t>
      </w:r>
      <w:r w:rsidR="00534302">
        <w:t xml:space="preserve">financier </w:t>
      </w:r>
      <w:r w:rsidR="00C82C8E">
        <w:t>pour la collectivité</w:t>
      </w:r>
      <w:r w:rsidR="00511FC6">
        <w:t>, comme le fait valoir l’appelant</w:t>
      </w:r>
      <w:r w:rsidR="00534302">
        <w:t>,</w:t>
      </w:r>
      <w:r w:rsidR="00511FC6">
        <w:t xml:space="preserve"> dont le moyen doit donc être accueilli</w:t>
      </w:r>
      <w:r w:rsidR="0079503C">
        <w:t>, sans qu’il soit besoin de discuter ses autres moyens</w:t>
      </w:r>
      <w:r w:rsidR="006502EC">
        <w:t> ;</w:t>
      </w:r>
    </w:p>
    <w:p w:rsidR="009F51CC" w:rsidRDefault="00A50FB3" w:rsidP="006502EC">
      <w:pPr>
        <w:spacing w:after="360"/>
        <w:ind w:left="567" w:firstLine="1134"/>
      </w:pPr>
      <w:r>
        <w:t xml:space="preserve">Attendu qu’il y a lieu </w:t>
      </w:r>
      <w:r w:rsidR="004570D1">
        <w:t xml:space="preserve">par conséquent </w:t>
      </w:r>
      <w:r>
        <w:t xml:space="preserve">d’infirmer le jugement en tant qu’il a dit ne pas y avoir préjudice et mis à la charge de </w:t>
      </w:r>
      <w:r w:rsidR="00635014">
        <w:t>M</w:t>
      </w:r>
      <w:r w:rsidR="00635014" w:rsidRPr="006502EC">
        <w:rPr>
          <w:vertAlign w:val="superscript"/>
        </w:rPr>
        <w:t>me</w:t>
      </w:r>
      <w:r w:rsidR="00635014">
        <w:t xml:space="preserve"> X</w:t>
      </w:r>
      <w:r>
        <w:t xml:space="preserve"> la somme irrémissible que le juge a la faculté d’imposer en cas de manquement sans préjudice ;</w:t>
      </w:r>
      <w:r w:rsidR="009F51CC" w:rsidRPr="007F534A">
        <w:t xml:space="preserve"> </w:t>
      </w:r>
      <w:r w:rsidR="00A5284B">
        <w:t>qu’</w:t>
      </w:r>
      <w:r w:rsidR="009F51CC" w:rsidRPr="007F534A">
        <w:t>il appartient à la Cour, par effet dévol</w:t>
      </w:r>
      <w:r w:rsidR="009F51CC" w:rsidRPr="00484671">
        <w:t xml:space="preserve">utif de l’appel, </w:t>
      </w:r>
      <w:r w:rsidR="00A5284B">
        <w:t>d’examiner</w:t>
      </w:r>
      <w:r w:rsidR="00D83622">
        <w:t xml:space="preserve"> </w:t>
      </w:r>
      <w:r w:rsidR="009F51CC" w:rsidRPr="00484671">
        <w:t>les moyens soulevés</w:t>
      </w:r>
      <w:r w:rsidR="00D83622">
        <w:t xml:space="preserve"> en première instance</w:t>
      </w:r>
      <w:r w:rsidR="009F51CC" w:rsidRPr="00484671">
        <w:t xml:space="preserve"> devant la chambre régionale des comptes</w:t>
      </w:r>
      <w:r w:rsidR="00C940B1">
        <w:t xml:space="preserve"> autres que ceux également soulevés en appel </w:t>
      </w:r>
      <w:r w:rsidR="00C82462">
        <w:t>et déjà discutés ci-avant</w:t>
      </w:r>
      <w:r w:rsidR="009F51CC" w:rsidRPr="00484671">
        <w:t> ;</w:t>
      </w:r>
    </w:p>
    <w:p w:rsidR="00534302" w:rsidRPr="00534302" w:rsidRDefault="00534302" w:rsidP="006502EC">
      <w:pPr>
        <w:spacing w:after="360"/>
        <w:ind w:left="567" w:firstLine="1134"/>
        <w:rPr>
          <w:b/>
          <w:i/>
        </w:rPr>
      </w:pPr>
      <w:r w:rsidRPr="00534302">
        <w:rPr>
          <w:b/>
          <w:i/>
        </w:rPr>
        <w:t>Sur le montant du préjudice</w:t>
      </w:r>
    </w:p>
    <w:p w:rsidR="009064D6" w:rsidRDefault="009064D6" w:rsidP="006502EC">
      <w:pPr>
        <w:spacing w:after="360"/>
        <w:ind w:left="567" w:firstLine="1134"/>
      </w:pPr>
      <w:r w:rsidRPr="009064D6">
        <w:t>Attendu qu’aux termes du 3</w:t>
      </w:r>
      <w:r w:rsidRPr="009064D6">
        <w:rPr>
          <w:vertAlign w:val="superscript"/>
        </w:rPr>
        <w:t>ème</w:t>
      </w:r>
      <w:r w:rsidRPr="009064D6">
        <w:t xml:space="preserve"> alinéa du VI de l’article 60 de la loi</w:t>
      </w:r>
      <w:r>
        <w:t xml:space="preserve"> du 23</w:t>
      </w:r>
      <w:r w:rsidR="005B0842">
        <w:t> </w:t>
      </w:r>
      <w:r>
        <w:t>février</w:t>
      </w:r>
      <w:r w:rsidR="005B0842">
        <w:t> </w:t>
      </w:r>
      <w:r>
        <w:t>1963 susvisée, « </w:t>
      </w:r>
      <w:r w:rsidRPr="009064D6">
        <w:rPr>
          <w:i/>
        </w:rPr>
        <w:t>Lorsque le manquement du comptable aux obligations mentionnées au I a causé un préjudice financier à l’organisme public concerné</w:t>
      </w:r>
      <w:r w:rsidRPr="009064D6">
        <w:t xml:space="preserve"> […], </w:t>
      </w:r>
      <w:r w:rsidRPr="009064D6">
        <w:rPr>
          <w:i/>
        </w:rPr>
        <w:t>le comptable a l’obligation de verser immédiatement de ses deniers personnels la somme correspondant</w:t>
      </w:r>
      <w:r w:rsidR="002A258B">
        <w:rPr>
          <w:i/>
        </w:rPr>
        <w:t>e</w:t>
      </w:r>
      <w:r>
        <w:t> </w:t>
      </w:r>
      <w:r w:rsidRPr="009064D6">
        <w:t>»</w:t>
      </w:r>
      <w:r w:rsidR="006502EC">
        <w:t> </w:t>
      </w:r>
      <w:r w:rsidRPr="009064D6">
        <w:t>; qu’il incombe au juge financier de déterminer la somme correspondant au préjudice financier</w:t>
      </w:r>
      <w:r w:rsidR="006502EC">
        <w:t> </w:t>
      </w:r>
      <w:r w:rsidRPr="009064D6">
        <w:t>;</w:t>
      </w:r>
    </w:p>
    <w:p w:rsidR="009F51CC" w:rsidRDefault="00A50FB3" w:rsidP="006502EC">
      <w:pPr>
        <w:spacing w:after="360"/>
        <w:ind w:left="567" w:firstLine="1134"/>
      </w:pPr>
      <w:r>
        <w:t>Attendu</w:t>
      </w:r>
      <w:r w:rsidR="009F51CC" w:rsidRPr="007F534A">
        <w:t xml:space="preserve"> que </w:t>
      </w:r>
      <w:r w:rsidR="00D83622">
        <w:t xml:space="preserve">la comptable avait fait valoir </w:t>
      </w:r>
      <w:r w:rsidR="002A258B">
        <w:t>en première</w:t>
      </w:r>
      <w:r w:rsidR="00D83622">
        <w:t xml:space="preserve"> instance, dans </w:t>
      </w:r>
      <w:r w:rsidR="004570D1">
        <w:t>le cas</w:t>
      </w:r>
      <w:r w:rsidR="00D83622">
        <w:t xml:space="preserve"> où </w:t>
      </w:r>
      <w:r w:rsidR="004570D1">
        <w:t>un</w:t>
      </w:r>
      <w:r w:rsidR="00D83622">
        <w:t xml:space="preserve"> préjudice aurait été constaté, que son montant devait être ramené à 20 % du total des paiements li</w:t>
      </w:r>
      <w:r w:rsidR="00C95133">
        <w:t xml:space="preserve">tigieux pour 2010, </w:t>
      </w:r>
      <w:r w:rsidR="00534302">
        <w:t>car</w:t>
      </w:r>
      <w:r w:rsidR="00D83622">
        <w:t xml:space="preserve"> le dispositif de subventionnement en cause prévoyait que la région Poitou</w:t>
      </w:r>
      <w:r w:rsidR="005B0842">
        <w:t>-</w:t>
      </w:r>
      <w:r w:rsidR="00D83622">
        <w:t>Charentes prenait en charge 80</w:t>
      </w:r>
      <w:r w:rsidR="00534302">
        <w:t> </w:t>
      </w:r>
      <w:r w:rsidR="00D83622">
        <w:t>% des subventions</w:t>
      </w:r>
      <w:r w:rsidR="00534302">
        <w:t xml:space="preserve"> versées</w:t>
      </w:r>
      <w:r w:rsidR="009F51CC" w:rsidRPr="00E23965">
        <w:t> </w:t>
      </w:r>
      <w:r w:rsidR="009F51CC" w:rsidRPr="007F534A">
        <w:t>;</w:t>
      </w:r>
    </w:p>
    <w:p w:rsidR="004E1BEB" w:rsidRDefault="00B9772D" w:rsidP="006502EC">
      <w:pPr>
        <w:spacing w:after="360"/>
        <w:ind w:left="567" w:firstLine="1134"/>
      </w:pPr>
      <w:r>
        <w:t xml:space="preserve">Attendu </w:t>
      </w:r>
      <w:r w:rsidR="004E1BEB">
        <w:t>que</w:t>
      </w:r>
      <w:r>
        <w:t xml:space="preserve"> </w:t>
      </w:r>
      <w:r w:rsidR="00275825">
        <w:t xml:space="preserve">les subventions versées pour un montant de </w:t>
      </w:r>
      <w:r w:rsidR="00275825" w:rsidRPr="00275825">
        <w:t>29</w:t>
      </w:r>
      <w:r w:rsidR="005B0842">
        <w:t> </w:t>
      </w:r>
      <w:r w:rsidR="00275825" w:rsidRPr="00275825">
        <w:t>080</w:t>
      </w:r>
      <w:r w:rsidR="005B0842">
        <w:t> </w:t>
      </w:r>
      <w:r w:rsidR="00275825" w:rsidRPr="00275825">
        <w:t>€</w:t>
      </w:r>
      <w:r w:rsidR="00275825">
        <w:t xml:space="preserve">, </w:t>
      </w:r>
      <w:r w:rsidR="006502EC">
        <w:t>f</w:t>
      </w:r>
      <w:r w:rsidR="00275825">
        <w:t>ussent-elles indues, ont donné droit à une prise en charge à hauteur de 80 % par la région, soit 23</w:t>
      </w:r>
      <w:r w:rsidR="005B0842">
        <w:t> </w:t>
      </w:r>
      <w:r w:rsidR="00275825">
        <w:t>264</w:t>
      </w:r>
      <w:r w:rsidR="005B0842">
        <w:t> </w:t>
      </w:r>
      <w:r w:rsidR="00275825">
        <w:t>€</w:t>
      </w:r>
      <w:r w:rsidR="00121EC0">
        <w:t> ;</w:t>
      </w:r>
      <w:r w:rsidR="00275825">
        <w:t xml:space="preserve"> qu’ainsi </w:t>
      </w:r>
      <w:r w:rsidR="00C95133">
        <w:t>le</w:t>
      </w:r>
      <w:r w:rsidR="004E1BEB">
        <w:t xml:space="preserve"> </w:t>
      </w:r>
      <w:r w:rsidR="00275825">
        <w:t xml:space="preserve">montant du </w:t>
      </w:r>
      <w:r w:rsidR="004E1BEB">
        <w:t>préjudice subi par la co</w:t>
      </w:r>
      <w:r w:rsidR="00C95133">
        <w:t>mmunauté</w:t>
      </w:r>
      <w:r w:rsidR="00A5284B">
        <w:t xml:space="preserve"> de communes</w:t>
      </w:r>
      <w:r w:rsidR="00275825">
        <w:t xml:space="preserve">, causé par le manquement de </w:t>
      </w:r>
      <w:r w:rsidR="00635014">
        <w:t>M</w:t>
      </w:r>
      <w:r w:rsidR="00635014" w:rsidRPr="006502EC">
        <w:rPr>
          <w:vertAlign w:val="superscript"/>
        </w:rPr>
        <w:t>me</w:t>
      </w:r>
      <w:r w:rsidR="00635014">
        <w:t xml:space="preserve"> X</w:t>
      </w:r>
      <w:r w:rsidR="00275825">
        <w:t>, est de seulement 5</w:t>
      </w:r>
      <w:r w:rsidR="005B0842">
        <w:t> </w:t>
      </w:r>
      <w:r w:rsidR="00275825">
        <w:t>816</w:t>
      </w:r>
      <w:r w:rsidR="005B0842">
        <w:t> </w:t>
      </w:r>
      <w:r w:rsidR="00275825">
        <w:t>€</w:t>
      </w:r>
      <w:r w:rsidR="00FD6A89">
        <w:t> </w:t>
      </w:r>
      <w:r w:rsidR="00C95133">
        <w:t>; qu</w:t>
      </w:r>
      <w:r w:rsidR="00121EC0">
        <w:t xml:space="preserve">e, par conséquent, </w:t>
      </w:r>
      <w:r w:rsidR="00C95133">
        <w:t xml:space="preserve">il y a </w:t>
      </w:r>
      <w:r w:rsidR="002A258B">
        <w:t xml:space="preserve">lieu </w:t>
      </w:r>
      <w:r w:rsidR="00275825">
        <w:t xml:space="preserve">de la constituer débitrice de la communauté de communes </w:t>
      </w:r>
      <w:r w:rsidR="00C95133">
        <w:t xml:space="preserve">de la somme de </w:t>
      </w:r>
      <w:r w:rsidR="00C95133">
        <w:lastRenderedPageBreak/>
        <w:t>5</w:t>
      </w:r>
      <w:r w:rsidR="00BF7E7F">
        <w:t> </w:t>
      </w:r>
      <w:r w:rsidR="00C95133">
        <w:t>816</w:t>
      </w:r>
      <w:r w:rsidR="00BF7E7F">
        <w:t> </w:t>
      </w:r>
      <w:r w:rsidR="004E1BEB">
        <w:t>€</w:t>
      </w:r>
      <w:r w:rsidR="00C95133">
        <w:t>, augmentée des intérêts de droit</w:t>
      </w:r>
      <w:r w:rsidR="00121EC0">
        <w:t xml:space="preserve"> à compter du 7</w:t>
      </w:r>
      <w:r w:rsidR="006502EC">
        <w:t xml:space="preserve"> </w:t>
      </w:r>
      <w:r w:rsidR="00275825">
        <w:t>décembre</w:t>
      </w:r>
      <w:r w:rsidR="006502EC">
        <w:t xml:space="preserve"> </w:t>
      </w:r>
      <w:r w:rsidR="00275825">
        <w:t>2012</w:t>
      </w:r>
      <w:r w:rsidR="00121EC0">
        <w:t>, date de notification du réquisitoire du procureur financier</w:t>
      </w:r>
      <w:r w:rsidR="00C95133">
        <w:t> ;</w:t>
      </w:r>
    </w:p>
    <w:p w:rsidR="009B5201" w:rsidRDefault="009B5201" w:rsidP="006502EC">
      <w:pPr>
        <w:spacing w:after="360"/>
        <w:ind w:left="567" w:firstLine="1134"/>
      </w:pPr>
      <w:r>
        <w:t>Attendu qu’il ressort du dossier que les paiements litigieux entraient dans une catégorie de dépenses, les subventions, devant faire l’objet d’un contrôle exhaustif par la comptable ;</w:t>
      </w:r>
      <w:r w:rsidR="00A5284B">
        <w:t xml:space="preserve"> </w:t>
      </w:r>
    </w:p>
    <w:p w:rsidR="009F51CC" w:rsidRPr="00484671" w:rsidRDefault="009F51CC" w:rsidP="006502EC">
      <w:pPr>
        <w:spacing w:after="360"/>
        <w:ind w:left="567" w:firstLine="1134"/>
      </w:pPr>
      <w:r w:rsidRPr="00484671">
        <w:t>Par ces motifs,</w:t>
      </w:r>
    </w:p>
    <w:p w:rsidR="009F51CC" w:rsidRPr="007F534A" w:rsidRDefault="009F51CC" w:rsidP="006502EC">
      <w:pPr>
        <w:spacing w:after="360"/>
        <w:ind w:firstLine="0"/>
        <w:jc w:val="center"/>
      </w:pPr>
      <w:r w:rsidRPr="007F534A">
        <w:t>DECIDE :</w:t>
      </w:r>
      <w:r w:rsidR="00E2460F">
        <w:t xml:space="preserve"> </w:t>
      </w:r>
    </w:p>
    <w:p w:rsidR="005945AD" w:rsidRDefault="009F51CC" w:rsidP="006502EC">
      <w:pPr>
        <w:spacing w:after="360"/>
        <w:ind w:left="567" w:firstLine="0"/>
      </w:pPr>
      <w:r w:rsidRPr="006502EC">
        <w:rPr>
          <w:u w:val="single"/>
        </w:rPr>
        <w:t>Article 1</w:t>
      </w:r>
      <w:r w:rsidRPr="007F534A">
        <w:t xml:space="preserve"> - </w:t>
      </w:r>
      <w:r w:rsidRPr="00484671">
        <w:t xml:space="preserve">Le jugement du </w:t>
      </w:r>
      <w:r w:rsidR="004E1BEB">
        <w:t xml:space="preserve">16 octobre 2013 de la </w:t>
      </w:r>
      <w:r w:rsidRPr="007F534A">
        <w:t>chambre régionale des compt</w:t>
      </w:r>
      <w:r w:rsidR="004E1BEB">
        <w:t xml:space="preserve">es d’Aquitaine Poitou-Charentes </w:t>
      </w:r>
      <w:r w:rsidRPr="007F534A">
        <w:t xml:space="preserve">est </w:t>
      </w:r>
      <w:r w:rsidR="004E1BEB">
        <w:t>infirmé</w:t>
      </w:r>
      <w:r w:rsidR="005945AD">
        <w:t>.</w:t>
      </w:r>
    </w:p>
    <w:p w:rsidR="005945AD" w:rsidRDefault="005945AD" w:rsidP="006502EC">
      <w:pPr>
        <w:spacing w:after="360"/>
        <w:ind w:left="567" w:firstLine="0"/>
      </w:pPr>
      <w:r w:rsidRPr="006502EC">
        <w:rPr>
          <w:u w:val="single"/>
        </w:rPr>
        <w:t xml:space="preserve">Article 2 </w:t>
      </w:r>
      <w:r w:rsidR="003D7BE5">
        <w:t>–</w:t>
      </w:r>
      <w:r w:rsidR="002A258B">
        <w:t> </w:t>
      </w:r>
      <w:r w:rsidR="00635014">
        <w:t>M</w:t>
      </w:r>
      <w:r w:rsidR="00635014" w:rsidRPr="006502EC">
        <w:rPr>
          <w:vertAlign w:val="superscript"/>
        </w:rPr>
        <w:t>me</w:t>
      </w:r>
      <w:r w:rsidR="00635014">
        <w:t xml:space="preserve"> X</w:t>
      </w:r>
      <w:r w:rsidR="003D7BE5">
        <w:t xml:space="preserve"> est constituée débitrice de la communauté d</w:t>
      </w:r>
      <w:r w:rsidR="005F04AD">
        <w:t xml:space="preserve">e communes </w:t>
      </w:r>
      <w:r w:rsidR="0093527C">
        <w:t>de</w:t>
      </w:r>
      <w:r w:rsidR="005B0842">
        <w:t>s</w:t>
      </w:r>
      <w:r w:rsidR="0093527C">
        <w:t xml:space="preserve"> Val</w:t>
      </w:r>
      <w:r w:rsidR="005B0842">
        <w:t>s</w:t>
      </w:r>
      <w:r w:rsidR="0093527C">
        <w:t xml:space="preserve"> de </w:t>
      </w:r>
      <w:r w:rsidR="00572D5C">
        <w:t>Gartempe</w:t>
      </w:r>
      <w:r w:rsidR="0093527C">
        <w:t xml:space="preserve"> et Creuse </w:t>
      </w:r>
      <w:r w:rsidR="005F04AD">
        <w:t>d</w:t>
      </w:r>
      <w:r w:rsidR="0093527C">
        <w:t xml:space="preserve">e la </w:t>
      </w:r>
      <w:r w:rsidR="005F04AD">
        <w:t>somme de 5</w:t>
      </w:r>
      <w:r w:rsidR="005B0842">
        <w:t> </w:t>
      </w:r>
      <w:r w:rsidR="005F04AD">
        <w:t>816</w:t>
      </w:r>
      <w:r w:rsidR="005B0842">
        <w:t> </w:t>
      </w:r>
      <w:r w:rsidR="003D7BE5">
        <w:t xml:space="preserve">€ </w:t>
      </w:r>
      <w:r w:rsidR="005F04AD">
        <w:t>major</w:t>
      </w:r>
      <w:r w:rsidR="003D7BE5" w:rsidRPr="005F04AD">
        <w:t>ée des intérêts</w:t>
      </w:r>
      <w:r w:rsidR="005F04AD">
        <w:t xml:space="preserve"> de </w:t>
      </w:r>
      <w:r w:rsidR="002A258B">
        <w:t>droit</w:t>
      </w:r>
      <w:r w:rsidR="006E56D6" w:rsidRPr="005F04AD">
        <w:t xml:space="preserve"> calculés à c</w:t>
      </w:r>
      <w:r w:rsidR="005F04AD">
        <w:t>ompter du 7</w:t>
      </w:r>
      <w:r w:rsidR="006502EC">
        <w:t xml:space="preserve"> </w:t>
      </w:r>
      <w:r w:rsidR="005F04AD">
        <w:t>décembre</w:t>
      </w:r>
      <w:r w:rsidR="006502EC">
        <w:t xml:space="preserve"> </w:t>
      </w:r>
      <w:r w:rsidR="005F04AD">
        <w:t>2012</w:t>
      </w:r>
      <w:r w:rsidR="00121EC0">
        <w:t>.</w:t>
      </w:r>
    </w:p>
    <w:p w:rsidR="00F63285" w:rsidRDefault="00F63285" w:rsidP="001257CA">
      <w:pPr>
        <w:spacing w:after="360"/>
        <w:ind w:left="567" w:firstLine="0"/>
      </w:pPr>
      <w:r w:rsidRPr="001257CA">
        <w:rPr>
          <w:u w:val="single"/>
        </w:rPr>
        <w:t>Article 3</w:t>
      </w:r>
      <w:r>
        <w:t xml:space="preserve"> – </w:t>
      </w:r>
      <w:r w:rsidR="00635014">
        <w:t>Mme X</w:t>
      </w:r>
      <w:r>
        <w:t xml:space="preserve"> n’a pas </w:t>
      </w:r>
      <w:r w:rsidR="00AC1496">
        <w:t>respecté le plan de contrôle sélectif de la dépense.</w:t>
      </w:r>
    </w:p>
    <w:p w:rsidR="009F51CC" w:rsidRPr="00484671" w:rsidRDefault="009F51CC" w:rsidP="001257CA">
      <w:pPr>
        <w:tabs>
          <w:tab w:val="center" w:pos="5245"/>
        </w:tabs>
        <w:spacing w:after="360"/>
        <w:ind w:left="567" w:firstLine="0"/>
        <w:jc w:val="center"/>
      </w:pPr>
      <w:r w:rsidRPr="007F534A">
        <w:t>---</w:t>
      </w:r>
      <w:r w:rsidRPr="00484671">
        <w:t>---------</w:t>
      </w:r>
    </w:p>
    <w:p w:rsidR="009F51CC" w:rsidRDefault="009F51CC" w:rsidP="006502EC">
      <w:pPr>
        <w:spacing w:after="360"/>
        <w:ind w:left="567" w:firstLine="1134"/>
      </w:pPr>
      <w:r w:rsidRPr="007F534A">
        <w:t>Fait et jugé en la Cour des comptes, quatrième chambre,</w:t>
      </w:r>
      <w:r w:rsidR="005F04AD">
        <w:t xml:space="preserve"> première section. Présents, M</w:t>
      </w:r>
      <w:r w:rsidR="005E3A46">
        <w:t>M. </w:t>
      </w:r>
      <w:r w:rsidR="005F04AD">
        <w:t>Vachia</w:t>
      </w:r>
      <w:r w:rsidRPr="007F534A">
        <w:t>,</w:t>
      </w:r>
      <w:r w:rsidR="005F04AD">
        <w:t xml:space="preserve"> président</w:t>
      </w:r>
      <w:r w:rsidR="005E3A46">
        <w:t>,</w:t>
      </w:r>
      <w:r w:rsidR="005F04AD">
        <w:t xml:space="preserve"> </w:t>
      </w:r>
      <w:r w:rsidR="00C84911">
        <w:t xml:space="preserve">Ganser, président de section, </w:t>
      </w:r>
      <w:r w:rsidR="005F04AD">
        <w:t>M</w:t>
      </w:r>
      <w:r w:rsidR="005F04AD" w:rsidRPr="001257CA">
        <w:rPr>
          <w:vertAlign w:val="superscript"/>
        </w:rPr>
        <w:t>me</w:t>
      </w:r>
      <w:r w:rsidR="005F04AD">
        <w:t xml:space="preserve"> Froment-Meurice, présidente de chambre maintenue en activité, MM</w:t>
      </w:r>
      <w:r w:rsidR="005E3A46">
        <w:t>. </w:t>
      </w:r>
      <w:proofErr w:type="spellStart"/>
      <w:r w:rsidR="005F04AD">
        <w:t>Lafaure</w:t>
      </w:r>
      <w:proofErr w:type="spellEnd"/>
      <w:r w:rsidR="005F04AD">
        <w:t xml:space="preserve">, </w:t>
      </w:r>
      <w:proofErr w:type="spellStart"/>
      <w:r w:rsidR="005F04AD">
        <w:t>Bertucci</w:t>
      </w:r>
      <w:proofErr w:type="spellEnd"/>
      <w:r w:rsidR="005F04AD">
        <w:t>,</w:t>
      </w:r>
      <w:r w:rsidR="001257CA">
        <w:t xml:space="preserve"> </w:t>
      </w:r>
      <w:r w:rsidR="005F04AD">
        <w:t>M</w:t>
      </w:r>
      <w:r w:rsidR="005F04AD" w:rsidRPr="001257CA">
        <w:rPr>
          <w:vertAlign w:val="superscript"/>
        </w:rPr>
        <w:t>me</w:t>
      </w:r>
      <w:r w:rsidR="005F04AD">
        <w:t xml:space="preserve"> </w:t>
      </w:r>
      <w:proofErr w:type="spellStart"/>
      <w:r w:rsidR="005F04AD">
        <w:t>Gadriot</w:t>
      </w:r>
      <w:proofErr w:type="spellEnd"/>
      <w:r w:rsidR="005F04AD">
        <w:t>-Renard,</w:t>
      </w:r>
      <w:r w:rsidR="00C84911">
        <w:t xml:space="preserve"> et</w:t>
      </w:r>
      <w:r w:rsidR="005F04AD">
        <w:t xml:space="preserve"> M</w:t>
      </w:r>
      <w:r w:rsidR="005E3A46">
        <w:t>. </w:t>
      </w:r>
      <w:r w:rsidR="005F04AD">
        <w:t xml:space="preserve">Rolland, </w:t>
      </w:r>
      <w:r w:rsidRPr="00484671">
        <w:t>conseillers maîtres.</w:t>
      </w:r>
    </w:p>
    <w:p w:rsidR="005E3A46" w:rsidRDefault="005E3A46" w:rsidP="006502EC">
      <w:pPr>
        <w:spacing w:after="360"/>
        <w:ind w:left="567" w:firstLine="1134"/>
      </w:pPr>
    </w:p>
    <w:p w:rsidR="00D80A93" w:rsidRDefault="00D80A93" w:rsidP="006502EC">
      <w:pPr>
        <w:spacing w:after="360" w:line="276" w:lineRule="auto"/>
        <w:ind w:firstLine="0"/>
        <w:jc w:val="left"/>
      </w:pPr>
      <w:r>
        <w:br w:type="page"/>
      </w:r>
    </w:p>
    <w:p w:rsidR="00D80A93" w:rsidRPr="00F325C1" w:rsidRDefault="00D80A93" w:rsidP="006502EC">
      <w:pPr>
        <w:spacing w:after="360"/>
      </w:pPr>
    </w:p>
    <w:p w:rsidR="00D80A93" w:rsidRPr="001257CA" w:rsidRDefault="00D80A93" w:rsidP="006502EC">
      <w:pPr>
        <w:pStyle w:val="PS"/>
        <w:spacing w:after="360"/>
        <w:ind w:left="1134" w:firstLine="567"/>
        <w:rPr>
          <w:rFonts w:ascii="Times New Roman" w:hAnsi="Times New Roman"/>
          <w:color w:val="000000"/>
        </w:rPr>
      </w:pPr>
      <w:r w:rsidRPr="001257CA">
        <w:rPr>
          <w:rFonts w:ascii="Times New Roman" w:hAnsi="Times New Roman"/>
          <w:color w:val="000000"/>
        </w:rPr>
        <w:t>Signé : Vachia, président, et Le Baron, greffier.</w:t>
      </w:r>
    </w:p>
    <w:p w:rsidR="00D80A93" w:rsidRPr="001257CA" w:rsidRDefault="00D80A93" w:rsidP="006502EC">
      <w:pPr>
        <w:pStyle w:val="PS"/>
        <w:spacing w:after="360"/>
        <w:ind w:left="1134" w:firstLine="567"/>
        <w:rPr>
          <w:rFonts w:ascii="Times New Roman" w:hAnsi="Times New Roman"/>
          <w:color w:val="000000"/>
        </w:rPr>
      </w:pPr>
      <w:r w:rsidRPr="001257CA">
        <w:rPr>
          <w:rFonts w:ascii="Times New Roman" w:hAnsi="Times New Roman"/>
          <w:color w:val="000000"/>
        </w:rPr>
        <w:t>Collationné, certifié conforme à la minute étant au greffe de la Cour des comptes.</w:t>
      </w:r>
    </w:p>
    <w:p w:rsidR="00D80A93" w:rsidRPr="001257CA" w:rsidRDefault="00D80A93" w:rsidP="006502EC">
      <w:pPr>
        <w:pStyle w:val="PS"/>
        <w:spacing w:after="360"/>
        <w:ind w:left="1134" w:firstLine="567"/>
        <w:rPr>
          <w:rFonts w:ascii="Times New Roman" w:hAnsi="Times New Roman"/>
          <w:color w:val="000000"/>
        </w:rPr>
      </w:pPr>
      <w:r w:rsidRPr="001257CA">
        <w:rPr>
          <w:rFonts w:ascii="Times New Roman" w:hAnsi="Times New Roman"/>
          <w:color w:val="000000"/>
        </w:rPr>
        <w:t>En conséquence, la République française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D80A93" w:rsidRPr="001257CA" w:rsidRDefault="00D80A93" w:rsidP="006502EC">
      <w:pPr>
        <w:pStyle w:val="PS"/>
        <w:spacing w:after="360"/>
        <w:ind w:firstLine="0"/>
        <w:rPr>
          <w:rFonts w:ascii="Times New Roman" w:hAnsi="Times New Roman"/>
          <w:color w:val="000000"/>
        </w:rPr>
      </w:pPr>
      <w:r w:rsidRPr="001257CA">
        <w:rPr>
          <w:rFonts w:ascii="Times New Roman" w:hAnsi="Times New Roman"/>
          <w:color w:val="000000"/>
        </w:rPr>
        <w:t>Délivré par moi, secrétaire général.</w:t>
      </w:r>
    </w:p>
    <w:p w:rsidR="00D80A93" w:rsidRPr="001257CA" w:rsidRDefault="00D80A93" w:rsidP="006502EC">
      <w:pPr>
        <w:pStyle w:val="PS"/>
        <w:spacing w:after="360"/>
        <w:rPr>
          <w:rFonts w:ascii="Times New Roman" w:hAnsi="Times New Roman"/>
          <w:color w:val="000000"/>
        </w:rPr>
      </w:pPr>
    </w:p>
    <w:p w:rsidR="00D80A93" w:rsidRPr="001257CA" w:rsidRDefault="00D80A93" w:rsidP="006502EC">
      <w:pPr>
        <w:pStyle w:val="PS"/>
        <w:spacing w:after="360"/>
        <w:rPr>
          <w:rFonts w:ascii="Times New Roman" w:hAnsi="Times New Roman"/>
          <w:color w:val="000000"/>
        </w:rPr>
      </w:pPr>
    </w:p>
    <w:p w:rsidR="00D80A93" w:rsidRPr="001257CA" w:rsidRDefault="00D80A93" w:rsidP="006502EC">
      <w:pPr>
        <w:pStyle w:val="PS"/>
        <w:spacing w:after="360"/>
        <w:ind w:left="851" w:firstLine="3402"/>
        <w:jc w:val="center"/>
        <w:rPr>
          <w:rFonts w:ascii="Times New Roman" w:hAnsi="Times New Roman"/>
          <w:b/>
          <w:bCs/>
        </w:rPr>
      </w:pPr>
      <w:r w:rsidRPr="001257CA">
        <w:rPr>
          <w:rFonts w:ascii="Times New Roman" w:hAnsi="Times New Roman"/>
          <w:b/>
          <w:bCs/>
        </w:rPr>
        <w:t>Pour le secrétaire général</w:t>
      </w:r>
      <w:r w:rsidR="001257CA">
        <w:rPr>
          <w:rFonts w:ascii="Times New Roman" w:hAnsi="Times New Roman"/>
          <w:b/>
          <w:bCs/>
        </w:rPr>
        <w:t xml:space="preserve"> </w:t>
      </w:r>
      <w:bookmarkStart w:id="0" w:name="_GoBack"/>
      <w:bookmarkEnd w:id="0"/>
      <w:r w:rsidRPr="001257CA">
        <w:rPr>
          <w:rFonts w:ascii="Times New Roman" w:hAnsi="Times New Roman"/>
          <w:b/>
          <w:bCs/>
        </w:rPr>
        <w:t>et par délégation,</w:t>
      </w:r>
    </w:p>
    <w:p w:rsidR="00D80A93" w:rsidRPr="001257CA" w:rsidRDefault="00D80A93" w:rsidP="006502EC">
      <w:pPr>
        <w:pStyle w:val="PS"/>
        <w:spacing w:after="360"/>
        <w:ind w:left="851" w:firstLine="3402"/>
        <w:jc w:val="center"/>
        <w:rPr>
          <w:rFonts w:ascii="Times New Roman" w:hAnsi="Times New Roman"/>
          <w:b/>
          <w:bCs/>
        </w:rPr>
      </w:pPr>
      <w:proofErr w:type="gramStart"/>
      <w:r w:rsidRPr="001257CA">
        <w:rPr>
          <w:rFonts w:ascii="Times New Roman" w:hAnsi="Times New Roman"/>
          <w:b/>
          <w:bCs/>
        </w:rPr>
        <w:t>le</w:t>
      </w:r>
      <w:proofErr w:type="gramEnd"/>
      <w:r w:rsidRPr="001257CA">
        <w:rPr>
          <w:rFonts w:ascii="Times New Roman" w:hAnsi="Times New Roman"/>
          <w:b/>
          <w:bCs/>
        </w:rPr>
        <w:t xml:space="preserve"> chef du greffe contentieux</w:t>
      </w:r>
    </w:p>
    <w:p w:rsidR="00D80A93" w:rsidRPr="001257CA" w:rsidRDefault="00D80A93" w:rsidP="006502EC">
      <w:pPr>
        <w:pStyle w:val="PS"/>
        <w:spacing w:after="360"/>
        <w:ind w:left="851" w:firstLine="3685"/>
        <w:jc w:val="center"/>
        <w:rPr>
          <w:rFonts w:ascii="Times New Roman" w:hAnsi="Times New Roman"/>
          <w:b/>
          <w:bCs/>
        </w:rPr>
      </w:pPr>
      <w:r w:rsidRPr="001257CA">
        <w:rPr>
          <w:rFonts w:ascii="Times New Roman" w:hAnsi="Times New Roman"/>
          <w:b/>
          <w:bCs/>
        </w:rPr>
        <w:t xml:space="preserve">Daniel </w:t>
      </w:r>
      <w:proofErr w:type="spellStart"/>
      <w:r w:rsidRPr="001257CA">
        <w:rPr>
          <w:rFonts w:ascii="Times New Roman" w:hAnsi="Times New Roman"/>
          <w:b/>
          <w:bCs/>
        </w:rPr>
        <w:t>Férez</w:t>
      </w:r>
      <w:proofErr w:type="spellEnd"/>
    </w:p>
    <w:p w:rsidR="00D80A93" w:rsidRPr="001257CA" w:rsidRDefault="00D80A93" w:rsidP="006502EC">
      <w:pPr>
        <w:spacing w:after="360"/>
      </w:pPr>
    </w:p>
    <w:p w:rsidR="005E3A46" w:rsidRDefault="005E3A46" w:rsidP="006502EC">
      <w:pPr>
        <w:spacing w:after="360"/>
        <w:ind w:left="567" w:firstLine="1134"/>
      </w:pPr>
    </w:p>
    <w:sectPr w:rsidR="005E3A46" w:rsidSect="00203618">
      <w:head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A83" w:rsidRDefault="00C80A83" w:rsidP="00203618">
      <w:r>
        <w:separator/>
      </w:r>
    </w:p>
  </w:endnote>
  <w:endnote w:type="continuationSeparator" w:id="0">
    <w:p w:rsidR="00C80A83" w:rsidRDefault="00C80A83" w:rsidP="00203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A83" w:rsidRDefault="00C80A83" w:rsidP="00203618">
      <w:r>
        <w:separator/>
      </w:r>
    </w:p>
  </w:footnote>
  <w:footnote w:type="continuationSeparator" w:id="0">
    <w:p w:rsidR="00C80A83" w:rsidRDefault="00C80A83" w:rsidP="002036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618" w:rsidRDefault="00203618">
    <w:pPr>
      <w:pStyle w:val="En-tte"/>
      <w:jc w:val="right"/>
    </w:pPr>
    <w:r>
      <w:fldChar w:fldCharType="begin"/>
    </w:r>
    <w:r>
      <w:instrText>PAGE   \* MERGEFORMAT</w:instrText>
    </w:r>
    <w:r>
      <w:fldChar w:fldCharType="separate"/>
    </w:r>
    <w:r w:rsidR="001257CA">
      <w:rPr>
        <w:noProof/>
      </w:rPr>
      <w:t>6</w:t>
    </w:r>
    <w:r>
      <w:fldChar w:fldCharType="end"/>
    </w:r>
  </w:p>
  <w:p w:rsidR="00203618" w:rsidRDefault="0020361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8E69D9"/>
    <w:multiLevelType w:val="hybridMultilevel"/>
    <w:tmpl w:val="20B06714"/>
    <w:lvl w:ilvl="0" w:tplc="27125B82">
      <w:numFmt w:val="bullet"/>
      <w:lvlText w:val="-"/>
      <w:lvlJc w:val="left"/>
      <w:pPr>
        <w:ind w:left="928" w:hanging="360"/>
      </w:pPr>
      <w:rPr>
        <w:rFonts w:ascii="Times New Roman" w:eastAsia="Times New Roman" w:hAnsi="Times New Roman" w:cs="Times New Roman"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1CC"/>
    <w:rsid w:val="000576D8"/>
    <w:rsid w:val="000C204C"/>
    <w:rsid w:val="000D1C86"/>
    <w:rsid w:val="000D5894"/>
    <w:rsid w:val="000E38AB"/>
    <w:rsid w:val="001144E6"/>
    <w:rsid w:val="0011538B"/>
    <w:rsid w:val="00120E40"/>
    <w:rsid w:val="00121EC0"/>
    <w:rsid w:val="001257CA"/>
    <w:rsid w:val="0012653B"/>
    <w:rsid w:val="001463E4"/>
    <w:rsid w:val="00151B6C"/>
    <w:rsid w:val="001721CC"/>
    <w:rsid w:val="00183DA0"/>
    <w:rsid w:val="001C6C41"/>
    <w:rsid w:val="00203618"/>
    <w:rsid w:val="00204F52"/>
    <w:rsid w:val="00275825"/>
    <w:rsid w:val="002A258B"/>
    <w:rsid w:val="002E2C29"/>
    <w:rsid w:val="003002EC"/>
    <w:rsid w:val="00324CB0"/>
    <w:rsid w:val="003D5366"/>
    <w:rsid w:val="003D7BE5"/>
    <w:rsid w:val="004172C6"/>
    <w:rsid w:val="00427C34"/>
    <w:rsid w:val="0043623F"/>
    <w:rsid w:val="00441518"/>
    <w:rsid w:val="00456441"/>
    <w:rsid w:val="004570D1"/>
    <w:rsid w:val="00457B64"/>
    <w:rsid w:val="004E1BEB"/>
    <w:rsid w:val="004F676F"/>
    <w:rsid w:val="00511FC6"/>
    <w:rsid w:val="00534302"/>
    <w:rsid w:val="00537D17"/>
    <w:rsid w:val="00542840"/>
    <w:rsid w:val="005575D8"/>
    <w:rsid w:val="00564CAA"/>
    <w:rsid w:val="0057164F"/>
    <w:rsid w:val="00572D5C"/>
    <w:rsid w:val="00573EA5"/>
    <w:rsid w:val="005945AD"/>
    <w:rsid w:val="005B0842"/>
    <w:rsid w:val="005E3A46"/>
    <w:rsid w:val="005F04AD"/>
    <w:rsid w:val="00602885"/>
    <w:rsid w:val="00633864"/>
    <w:rsid w:val="00635014"/>
    <w:rsid w:val="006502EC"/>
    <w:rsid w:val="006708DB"/>
    <w:rsid w:val="00676D8D"/>
    <w:rsid w:val="006D2C6A"/>
    <w:rsid w:val="006E56D6"/>
    <w:rsid w:val="006F051C"/>
    <w:rsid w:val="007321E6"/>
    <w:rsid w:val="00734E12"/>
    <w:rsid w:val="0075460F"/>
    <w:rsid w:val="0079503C"/>
    <w:rsid w:val="007B4B2B"/>
    <w:rsid w:val="007F2B68"/>
    <w:rsid w:val="007F5822"/>
    <w:rsid w:val="00801950"/>
    <w:rsid w:val="00802863"/>
    <w:rsid w:val="00821317"/>
    <w:rsid w:val="00824F7B"/>
    <w:rsid w:val="00857EA6"/>
    <w:rsid w:val="008608C2"/>
    <w:rsid w:val="008700FF"/>
    <w:rsid w:val="00885B07"/>
    <w:rsid w:val="008C2888"/>
    <w:rsid w:val="008D01EF"/>
    <w:rsid w:val="009064D6"/>
    <w:rsid w:val="00911241"/>
    <w:rsid w:val="0093527C"/>
    <w:rsid w:val="00936BC3"/>
    <w:rsid w:val="00952DB2"/>
    <w:rsid w:val="009907EE"/>
    <w:rsid w:val="009A082A"/>
    <w:rsid w:val="009B5201"/>
    <w:rsid w:val="009F51CC"/>
    <w:rsid w:val="00A11F72"/>
    <w:rsid w:val="00A41814"/>
    <w:rsid w:val="00A50FB3"/>
    <w:rsid w:val="00A5284B"/>
    <w:rsid w:val="00A64E68"/>
    <w:rsid w:val="00AC01A1"/>
    <w:rsid w:val="00AC1496"/>
    <w:rsid w:val="00AD76F0"/>
    <w:rsid w:val="00AE7392"/>
    <w:rsid w:val="00B16D4B"/>
    <w:rsid w:val="00B25011"/>
    <w:rsid w:val="00B413E7"/>
    <w:rsid w:val="00B62884"/>
    <w:rsid w:val="00B808B2"/>
    <w:rsid w:val="00B94619"/>
    <w:rsid w:val="00B9772D"/>
    <w:rsid w:val="00BE4998"/>
    <w:rsid w:val="00BF7E7F"/>
    <w:rsid w:val="00C10FE5"/>
    <w:rsid w:val="00C22E99"/>
    <w:rsid w:val="00C34724"/>
    <w:rsid w:val="00C70C2B"/>
    <w:rsid w:val="00C80A83"/>
    <w:rsid w:val="00C82462"/>
    <w:rsid w:val="00C82C8E"/>
    <w:rsid w:val="00C84911"/>
    <w:rsid w:val="00C940B1"/>
    <w:rsid w:val="00C95133"/>
    <w:rsid w:val="00CB0367"/>
    <w:rsid w:val="00D57D6A"/>
    <w:rsid w:val="00D80A93"/>
    <w:rsid w:val="00D83622"/>
    <w:rsid w:val="00E21938"/>
    <w:rsid w:val="00E2460F"/>
    <w:rsid w:val="00E374C6"/>
    <w:rsid w:val="00E43940"/>
    <w:rsid w:val="00EB7988"/>
    <w:rsid w:val="00EC3256"/>
    <w:rsid w:val="00EC696E"/>
    <w:rsid w:val="00EE600A"/>
    <w:rsid w:val="00F12AF1"/>
    <w:rsid w:val="00F63285"/>
    <w:rsid w:val="00F91ABE"/>
    <w:rsid w:val="00FB5D80"/>
    <w:rsid w:val="00FD6A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1CC"/>
    <w:pPr>
      <w:ind w:firstLine="851"/>
      <w:jc w:val="both"/>
    </w:pPr>
    <w:rPr>
      <w:rFonts w:ascii="Times New Roman" w:eastAsia="Times New Roman" w:hAnsi="Times New Roman"/>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2 Car,Corps de texte Car1 Car Car1,Corps de texte Car Car Car Car1,Corps de texte Car2 Car Car Car,Corps de texte Car1 Car Car Car Car Car Car,Corps de texte Car Car Car Car Car Car Car Car,Car Car Car"/>
    <w:basedOn w:val="Normal"/>
    <w:link w:val="CorpsdetexteCar"/>
    <w:rsid w:val="00456441"/>
    <w:pPr>
      <w:spacing w:before="120" w:after="120"/>
      <w:ind w:firstLine="709"/>
    </w:pPr>
    <w:rPr>
      <w:szCs w:val="20"/>
    </w:rPr>
  </w:style>
  <w:style w:type="character" w:customStyle="1" w:styleId="CorpsdetexteCar">
    <w:name w:val="Corps de texte Car"/>
    <w:aliases w:val="Corps de texte Car2 Car Car,Corps de texte Car1 Car Car1 Car,Corps de texte Car Car Car Car1 Car,Corps de texte Car2 Car Car Car Car,Corps de texte Car1 Car Car Car Car Car Car Car,Corps de texte Car Car Car Car Car Car Car Car Car"/>
    <w:link w:val="Corpsdetexte"/>
    <w:rsid w:val="00456441"/>
    <w:rPr>
      <w:rFonts w:ascii="Times New Roman" w:eastAsia="Times New Roman" w:hAnsi="Times New Roman" w:cs="Times New Roman"/>
      <w:sz w:val="24"/>
      <w:szCs w:val="20"/>
      <w:lang w:eastAsia="fr-FR"/>
    </w:rPr>
  </w:style>
  <w:style w:type="paragraph" w:customStyle="1" w:styleId="CarCar1CarCarCarCarCarCar">
    <w:name w:val="Car Car1 Car Car Car Car Car Car"/>
    <w:basedOn w:val="Normal"/>
    <w:rsid w:val="00456441"/>
    <w:pPr>
      <w:spacing w:after="160" w:line="240" w:lineRule="exact"/>
      <w:ind w:firstLine="0"/>
      <w:jc w:val="left"/>
    </w:pPr>
    <w:rPr>
      <w:rFonts w:ascii="Tahoma" w:hAnsi="Tahoma"/>
      <w:sz w:val="20"/>
      <w:szCs w:val="20"/>
      <w:lang w:val="en-US" w:eastAsia="en-US"/>
    </w:rPr>
  </w:style>
  <w:style w:type="paragraph" w:styleId="Paragraphedeliste">
    <w:name w:val="List Paragraph"/>
    <w:basedOn w:val="Normal"/>
    <w:uiPriority w:val="34"/>
    <w:qFormat/>
    <w:rsid w:val="00E21938"/>
    <w:pPr>
      <w:ind w:left="720"/>
      <w:contextualSpacing/>
    </w:pPr>
  </w:style>
  <w:style w:type="paragraph" w:customStyle="1" w:styleId="western">
    <w:name w:val="western"/>
    <w:basedOn w:val="Normal"/>
    <w:rsid w:val="005575D8"/>
    <w:pPr>
      <w:spacing w:before="100" w:beforeAutospacing="1" w:after="100" w:afterAutospacing="1"/>
      <w:ind w:firstLine="0"/>
      <w:jc w:val="left"/>
    </w:pPr>
    <w:rPr>
      <w:color w:val="000000"/>
    </w:rPr>
  </w:style>
  <w:style w:type="paragraph" w:styleId="Textedebulles">
    <w:name w:val="Balloon Text"/>
    <w:basedOn w:val="Normal"/>
    <w:link w:val="TextedebullesCar"/>
    <w:uiPriority w:val="99"/>
    <w:semiHidden/>
    <w:unhideWhenUsed/>
    <w:rsid w:val="00A11F72"/>
    <w:rPr>
      <w:rFonts w:ascii="Tahoma" w:hAnsi="Tahoma" w:cs="Tahoma"/>
      <w:sz w:val="16"/>
      <w:szCs w:val="16"/>
    </w:rPr>
  </w:style>
  <w:style w:type="character" w:customStyle="1" w:styleId="TextedebullesCar">
    <w:name w:val="Texte de bulles Car"/>
    <w:link w:val="Textedebulles"/>
    <w:uiPriority w:val="99"/>
    <w:semiHidden/>
    <w:rsid w:val="00A11F72"/>
    <w:rPr>
      <w:rFonts w:ascii="Tahoma" w:eastAsia="Times New Roman" w:hAnsi="Tahoma" w:cs="Tahoma"/>
      <w:sz w:val="16"/>
      <w:szCs w:val="16"/>
      <w:lang w:eastAsia="fr-FR"/>
    </w:rPr>
  </w:style>
  <w:style w:type="character" w:styleId="Marquedecommentaire">
    <w:name w:val="annotation reference"/>
    <w:uiPriority w:val="99"/>
    <w:semiHidden/>
    <w:unhideWhenUsed/>
    <w:rsid w:val="00885B07"/>
    <w:rPr>
      <w:sz w:val="18"/>
      <w:szCs w:val="18"/>
    </w:rPr>
  </w:style>
  <w:style w:type="paragraph" w:styleId="Commentaire">
    <w:name w:val="annotation text"/>
    <w:basedOn w:val="Normal"/>
    <w:link w:val="CommentaireCar"/>
    <w:uiPriority w:val="99"/>
    <w:semiHidden/>
    <w:unhideWhenUsed/>
    <w:rsid w:val="00885B07"/>
  </w:style>
  <w:style w:type="character" w:customStyle="1" w:styleId="CommentaireCar">
    <w:name w:val="Commentaire Car"/>
    <w:link w:val="Commentaire"/>
    <w:uiPriority w:val="99"/>
    <w:semiHidden/>
    <w:rsid w:val="00885B07"/>
    <w:rPr>
      <w:rFonts w:ascii="Times New Roman" w:eastAsia="Times New Roman" w:hAnsi="Times New Roman" w:cs="Times New Roman"/>
      <w:sz w:val="24"/>
      <w:szCs w:val="24"/>
      <w:lang w:eastAsia="fr-FR"/>
    </w:rPr>
  </w:style>
  <w:style w:type="paragraph" w:styleId="Objetducommentaire">
    <w:name w:val="annotation subject"/>
    <w:basedOn w:val="Commentaire"/>
    <w:next w:val="Commentaire"/>
    <w:link w:val="ObjetducommentaireCar"/>
    <w:uiPriority w:val="99"/>
    <w:semiHidden/>
    <w:unhideWhenUsed/>
    <w:rsid w:val="00885B07"/>
    <w:rPr>
      <w:b/>
      <w:bCs/>
      <w:sz w:val="20"/>
      <w:szCs w:val="20"/>
    </w:rPr>
  </w:style>
  <w:style w:type="character" w:customStyle="1" w:styleId="ObjetducommentaireCar">
    <w:name w:val="Objet du commentaire Car"/>
    <w:link w:val="Objetducommentaire"/>
    <w:uiPriority w:val="99"/>
    <w:semiHidden/>
    <w:rsid w:val="00885B07"/>
    <w:rPr>
      <w:rFonts w:ascii="Times New Roman" w:eastAsia="Times New Roman" w:hAnsi="Times New Roman" w:cs="Times New Roman"/>
      <w:b/>
      <w:bCs/>
      <w:sz w:val="20"/>
      <w:szCs w:val="20"/>
      <w:lang w:eastAsia="fr-FR"/>
    </w:rPr>
  </w:style>
  <w:style w:type="paragraph" w:customStyle="1" w:styleId="PS">
    <w:name w:val="PS"/>
    <w:basedOn w:val="Normal"/>
    <w:link w:val="PSCar"/>
    <w:rsid w:val="00D80A93"/>
    <w:pPr>
      <w:spacing w:after="480"/>
      <w:ind w:left="1701" w:firstLine="1134"/>
    </w:pPr>
    <w:rPr>
      <w:rFonts w:ascii="CG Times (WN)" w:hAnsi="CG Times (WN)"/>
      <w:szCs w:val="20"/>
    </w:rPr>
  </w:style>
  <w:style w:type="character" w:customStyle="1" w:styleId="PSCar">
    <w:name w:val="PS Car"/>
    <w:link w:val="PS"/>
    <w:rsid w:val="00D80A93"/>
    <w:rPr>
      <w:rFonts w:ascii="CG Times (WN)" w:eastAsia="Times New Roman" w:hAnsi="CG Times (WN)" w:cs="Times New Roman"/>
      <w:sz w:val="24"/>
      <w:szCs w:val="20"/>
      <w:lang w:eastAsia="fr-FR"/>
    </w:rPr>
  </w:style>
  <w:style w:type="paragraph" w:styleId="En-tte">
    <w:name w:val="header"/>
    <w:basedOn w:val="Normal"/>
    <w:link w:val="En-tteCar"/>
    <w:uiPriority w:val="99"/>
    <w:unhideWhenUsed/>
    <w:rsid w:val="00203618"/>
    <w:pPr>
      <w:tabs>
        <w:tab w:val="center" w:pos="4536"/>
        <w:tab w:val="right" w:pos="9072"/>
      </w:tabs>
    </w:pPr>
  </w:style>
  <w:style w:type="character" w:customStyle="1" w:styleId="En-tteCar">
    <w:name w:val="En-tête Car"/>
    <w:link w:val="En-tte"/>
    <w:uiPriority w:val="99"/>
    <w:rsid w:val="00203618"/>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203618"/>
    <w:pPr>
      <w:tabs>
        <w:tab w:val="center" w:pos="4536"/>
        <w:tab w:val="right" w:pos="9072"/>
      </w:tabs>
    </w:pPr>
  </w:style>
  <w:style w:type="character" w:customStyle="1" w:styleId="PieddepageCar">
    <w:name w:val="Pied de page Car"/>
    <w:link w:val="Pieddepage"/>
    <w:uiPriority w:val="99"/>
    <w:rsid w:val="00203618"/>
    <w:rPr>
      <w:rFonts w:ascii="Times New Roman" w:eastAsia="Times New Roman" w:hAnsi="Times New Roman" w:cs="Times New Roman"/>
      <w:sz w:val="24"/>
      <w:szCs w:val="24"/>
      <w:lang w:eastAsia="fr-FR"/>
    </w:rPr>
  </w:style>
  <w:style w:type="paragraph" w:customStyle="1" w:styleId="P0">
    <w:name w:val="P0"/>
    <w:basedOn w:val="Normal"/>
    <w:link w:val="P0Car"/>
    <w:rsid w:val="00204F52"/>
    <w:pPr>
      <w:ind w:left="1701" w:firstLine="0"/>
    </w:pPr>
  </w:style>
  <w:style w:type="character" w:customStyle="1" w:styleId="P0Car">
    <w:name w:val="P0 Car"/>
    <w:link w:val="P0"/>
    <w:rsid w:val="00204F52"/>
    <w:rPr>
      <w:rFonts w:ascii="Times New Roman" w:eastAsia="Times New Roman" w:hAnsi="Times New Roman" w:cs="Times New Roman"/>
      <w:sz w:val="24"/>
      <w:szCs w:val="24"/>
      <w:lang w:eastAsia="fr-FR"/>
    </w:rPr>
  </w:style>
  <w:style w:type="paragraph" w:styleId="Rvision">
    <w:name w:val="Revision"/>
    <w:hidden/>
    <w:uiPriority w:val="99"/>
    <w:semiHidden/>
    <w:rsid w:val="00C34724"/>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1CC"/>
    <w:pPr>
      <w:ind w:firstLine="851"/>
      <w:jc w:val="both"/>
    </w:pPr>
    <w:rPr>
      <w:rFonts w:ascii="Times New Roman" w:eastAsia="Times New Roman" w:hAnsi="Times New Roman"/>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2 Car,Corps de texte Car1 Car Car1,Corps de texte Car Car Car Car1,Corps de texte Car2 Car Car Car,Corps de texte Car1 Car Car Car Car Car Car,Corps de texte Car Car Car Car Car Car Car Car,Car Car Car"/>
    <w:basedOn w:val="Normal"/>
    <w:link w:val="CorpsdetexteCar"/>
    <w:rsid w:val="00456441"/>
    <w:pPr>
      <w:spacing w:before="120" w:after="120"/>
      <w:ind w:firstLine="709"/>
    </w:pPr>
    <w:rPr>
      <w:szCs w:val="20"/>
    </w:rPr>
  </w:style>
  <w:style w:type="character" w:customStyle="1" w:styleId="CorpsdetexteCar">
    <w:name w:val="Corps de texte Car"/>
    <w:aliases w:val="Corps de texte Car2 Car Car,Corps de texte Car1 Car Car1 Car,Corps de texte Car Car Car Car1 Car,Corps de texte Car2 Car Car Car Car,Corps de texte Car1 Car Car Car Car Car Car Car,Corps de texte Car Car Car Car Car Car Car Car Car"/>
    <w:link w:val="Corpsdetexte"/>
    <w:rsid w:val="00456441"/>
    <w:rPr>
      <w:rFonts w:ascii="Times New Roman" w:eastAsia="Times New Roman" w:hAnsi="Times New Roman" w:cs="Times New Roman"/>
      <w:sz w:val="24"/>
      <w:szCs w:val="20"/>
      <w:lang w:eastAsia="fr-FR"/>
    </w:rPr>
  </w:style>
  <w:style w:type="paragraph" w:customStyle="1" w:styleId="CarCar1CarCarCarCarCarCar">
    <w:name w:val="Car Car1 Car Car Car Car Car Car"/>
    <w:basedOn w:val="Normal"/>
    <w:rsid w:val="00456441"/>
    <w:pPr>
      <w:spacing w:after="160" w:line="240" w:lineRule="exact"/>
      <w:ind w:firstLine="0"/>
      <w:jc w:val="left"/>
    </w:pPr>
    <w:rPr>
      <w:rFonts w:ascii="Tahoma" w:hAnsi="Tahoma"/>
      <w:sz w:val="20"/>
      <w:szCs w:val="20"/>
      <w:lang w:val="en-US" w:eastAsia="en-US"/>
    </w:rPr>
  </w:style>
  <w:style w:type="paragraph" w:styleId="Paragraphedeliste">
    <w:name w:val="List Paragraph"/>
    <w:basedOn w:val="Normal"/>
    <w:uiPriority w:val="34"/>
    <w:qFormat/>
    <w:rsid w:val="00E21938"/>
    <w:pPr>
      <w:ind w:left="720"/>
      <w:contextualSpacing/>
    </w:pPr>
  </w:style>
  <w:style w:type="paragraph" w:customStyle="1" w:styleId="western">
    <w:name w:val="western"/>
    <w:basedOn w:val="Normal"/>
    <w:rsid w:val="005575D8"/>
    <w:pPr>
      <w:spacing w:before="100" w:beforeAutospacing="1" w:after="100" w:afterAutospacing="1"/>
      <w:ind w:firstLine="0"/>
      <w:jc w:val="left"/>
    </w:pPr>
    <w:rPr>
      <w:color w:val="000000"/>
    </w:rPr>
  </w:style>
  <w:style w:type="paragraph" w:styleId="Textedebulles">
    <w:name w:val="Balloon Text"/>
    <w:basedOn w:val="Normal"/>
    <w:link w:val="TextedebullesCar"/>
    <w:uiPriority w:val="99"/>
    <w:semiHidden/>
    <w:unhideWhenUsed/>
    <w:rsid w:val="00A11F72"/>
    <w:rPr>
      <w:rFonts w:ascii="Tahoma" w:hAnsi="Tahoma" w:cs="Tahoma"/>
      <w:sz w:val="16"/>
      <w:szCs w:val="16"/>
    </w:rPr>
  </w:style>
  <w:style w:type="character" w:customStyle="1" w:styleId="TextedebullesCar">
    <w:name w:val="Texte de bulles Car"/>
    <w:link w:val="Textedebulles"/>
    <w:uiPriority w:val="99"/>
    <w:semiHidden/>
    <w:rsid w:val="00A11F72"/>
    <w:rPr>
      <w:rFonts w:ascii="Tahoma" w:eastAsia="Times New Roman" w:hAnsi="Tahoma" w:cs="Tahoma"/>
      <w:sz w:val="16"/>
      <w:szCs w:val="16"/>
      <w:lang w:eastAsia="fr-FR"/>
    </w:rPr>
  </w:style>
  <w:style w:type="character" w:styleId="Marquedecommentaire">
    <w:name w:val="annotation reference"/>
    <w:uiPriority w:val="99"/>
    <w:semiHidden/>
    <w:unhideWhenUsed/>
    <w:rsid w:val="00885B07"/>
    <w:rPr>
      <w:sz w:val="18"/>
      <w:szCs w:val="18"/>
    </w:rPr>
  </w:style>
  <w:style w:type="paragraph" w:styleId="Commentaire">
    <w:name w:val="annotation text"/>
    <w:basedOn w:val="Normal"/>
    <w:link w:val="CommentaireCar"/>
    <w:uiPriority w:val="99"/>
    <w:semiHidden/>
    <w:unhideWhenUsed/>
    <w:rsid w:val="00885B07"/>
  </w:style>
  <w:style w:type="character" w:customStyle="1" w:styleId="CommentaireCar">
    <w:name w:val="Commentaire Car"/>
    <w:link w:val="Commentaire"/>
    <w:uiPriority w:val="99"/>
    <w:semiHidden/>
    <w:rsid w:val="00885B07"/>
    <w:rPr>
      <w:rFonts w:ascii="Times New Roman" w:eastAsia="Times New Roman" w:hAnsi="Times New Roman" w:cs="Times New Roman"/>
      <w:sz w:val="24"/>
      <w:szCs w:val="24"/>
      <w:lang w:eastAsia="fr-FR"/>
    </w:rPr>
  </w:style>
  <w:style w:type="paragraph" w:styleId="Objetducommentaire">
    <w:name w:val="annotation subject"/>
    <w:basedOn w:val="Commentaire"/>
    <w:next w:val="Commentaire"/>
    <w:link w:val="ObjetducommentaireCar"/>
    <w:uiPriority w:val="99"/>
    <w:semiHidden/>
    <w:unhideWhenUsed/>
    <w:rsid w:val="00885B07"/>
    <w:rPr>
      <w:b/>
      <w:bCs/>
      <w:sz w:val="20"/>
      <w:szCs w:val="20"/>
    </w:rPr>
  </w:style>
  <w:style w:type="character" w:customStyle="1" w:styleId="ObjetducommentaireCar">
    <w:name w:val="Objet du commentaire Car"/>
    <w:link w:val="Objetducommentaire"/>
    <w:uiPriority w:val="99"/>
    <w:semiHidden/>
    <w:rsid w:val="00885B07"/>
    <w:rPr>
      <w:rFonts w:ascii="Times New Roman" w:eastAsia="Times New Roman" w:hAnsi="Times New Roman" w:cs="Times New Roman"/>
      <w:b/>
      <w:bCs/>
      <w:sz w:val="20"/>
      <w:szCs w:val="20"/>
      <w:lang w:eastAsia="fr-FR"/>
    </w:rPr>
  </w:style>
  <w:style w:type="paragraph" w:customStyle="1" w:styleId="PS">
    <w:name w:val="PS"/>
    <w:basedOn w:val="Normal"/>
    <w:link w:val="PSCar"/>
    <w:rsid w:val="00D80A93"/>
    <w:pPr>
      <w:spacing w:after="480"/>
      <w:ind w:left="1701" w:firstLine="1134"/>
    </w:pPr>
    <w:rPr>
      <w:rFonts w:ascii="CG Times (WN)" w:hAnsi="CG Times (WN)"/>
      <w:szCs w:val="20"/>
    </w:rPr>
  </w:style>
  <w:style w:type="character" w:customStyle="1" w:styleId="PSCar">
    <w:name w:val="PS Car"/>
    <w:link w:val="PS"/>
    <w:rsid w:val="00D80A93"/>
    <w:rPr>
      <w:rFonts w:ascii="CG Times (WN)" w:eastAsia="Times New Roman" w:hAnsi="CG Times (WN)" w:cs="Times New Roman"/>
      <w:sz w:val="24"/>
      <w:szCs w:val="20"/>
      <w:lang w:eastAsia="fr-FR"/>
    </w:rPr>
  </w:style>
  <w:style w:type="paragraph" w:styleId="En-tte">
    <w:name w:val="header"/>
    <w:basedOn w:val="Normal"/>
    <w:link w:val="En-tteCar"/>
    <w:uiPriority w:val="99"/>
    <w:unhideWhenUsed/>
    <w:rsid w:val="00203618"/>
    <w:pPr>
      <w:tabs>
        <w:tab w:val="center" w:pos="4536"/>
        <w:tab w:val="right" w:pos="9072"/>
      </w:tabs>
    </w:pPr>
  </w:style>
  <w:style w:type="character" w:customStyle="1" w:styleId="En-tteCar">
    <w:name w:val="En-tête Car"/>
    <w:link w:val="En-tte"/>
    <w:uiPriority w:val="99"/>
    <w:rsid w:val="00203618"/>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203618"/>
    <w:pPr>
      <w:tabs>
        <w:tab w:val="center" w:pos="4536"/>
        <w:tab w:val="right" w:pos="9072"/>
      </w:tabs>
    </w:pPr>
  </w:style>
  <w:style w:type="character" w:customStyle="1" w:styleId="PieddepageCar">
    <w:name w:val="Pied de page Car"/>
    <w:link w:val="Pieddepage"/>
    <w:uiPriority w:val="99"/>
    <w:rsid w:val="00203618"/>
    <w:rPr>
      <w:rFonts w:ascii="Times New Roman" w:eastAsia="Times New Roman" w:hAnsi="Times New Roman" w:cs="Times New Roman"/>
      <w:sz w:val="24"/>
      <w:szCs w:val="24"/>
      <w:lang w:eastAsia="fr-FR"/>
    </w:rPr>
  </w:style>
  <w:style w:type="paragraph" w:customStyle="1" w:styleId="P0">
    <w:name w:val="P0"/>
    <w:basedOn w:val="Normal"/>
    <w:link w:val="P0Car"/>
    <w:rsid w:val="00204F52"/>
    <w:pPr>
      <w:ind w:left="1701" w:firstLine="0"/>
    </w:pPr>
  </w:style>
  <w:style w:type="character" w:customStyle="1" w:styleId="P0Car">
    <w:name w:val="P0 Car"/>
    <w:link w:val="P0"/>
    <w:rsid w:val="00204F52"/>
    <w:rPr>
      <w:rFonts w:ascii="Times New Roman" w:eastAsia="Times New Roman" w:hAnsi="Times New Roman" w:cs="Times New Roman"/>
      <w:sz w:val="24"/>
      <w:szCs w:val="24"/>
      <w:lang w:eastAsia="fr-FR"/>
    </w:rPr>
  </w:style>
  <w:style w:type="paragraph" w:styleId="Rvision">
    <w:name w:val="Revision"/>
    <w:hidden/>
    <w:uiPriority w:val="99"/>
    <w:semiHidden/>
    <w:rsid w:val="00C34724"/>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8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6708C-D5B8-4062-8E7C-C02C14445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1727</Words>
  <Characters>9503</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3</cp:revision>
  <cp:lastPrinted>2014-12-11T10:51:00Z</cp:lastPrinted>
  <dcterms:created xsi:type="dcterms:W3CDTF">2015-02-19T11:11:00Z</dcterms:created>
  <dcterms:modified xsi:type="dcterms:W3CDTF">2015-02-20T11:30:00Z</dcterms:modified>
</cp:coreProperties>
</file>