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55" w:rsidRDefault="003D7655" w:rsidP="007F2707"/>
    <w:p w:rsidR="00FA2EC4" w:rsidRPr="004A1A11" w:rsidRDefault="00FA2EC4" w:rsidP="004A1A11"/>
    <w:p w:rsidR="00FA2EC4" w:rsidRPr="004A1A11" w:rsidRDefault="00FA2EC4" w:rsidP="004A1A11"/>
    <w:p w:rsidR="00FA2EC4" w:rsidRPr="004A1A11" w:rsidRDefault="00FA2EC4" w:rsidP="004A1A11"/>
    <w:tbl>
      <w:tblPr>
        <w:tblW w:w="10490" w:type="dxa"/>
        <w:tblLook w:val="00A0" w:firstRow="1" w:lastRow="0" w:firstColumn="1" w:lastColumn="0" w:noHBand="0" w:noVBand="0"/>
      </w:tblPr>
      <w:tblGrid>
        <w:gridCol w:w="5103"/>
        <w:gridCol w:w="5387"/>
      </w:tblGrid>
      <w:tr w:rsidR="00DE665C" w:rsidRPr="00C13095" w:rsidTr="00DE665C">
        <w:tc>
          <w:tcPr>
            <w:tcW w:w="5103" w:type="dxa"/>
          </w:tcPr>
          <w:p w:rsidR="00DE665C" w:rsidRPr="00C13095" w:rsidRDefault="0060528A" w:rsidP="00E93E06">
            <w:pPr>
              <w:spacing w:line="240" w:lineRule="auto"/>
              <w:ind w:right="2760" w:firstLine="34"/>
              <w:jc w:val="center"/>
              <w:rPr>
                <w:rFonts w:eastAsia="Times New Roman" w:cs="Arial"/>
                <w:sz w:val="22"/>
                <w:lang w:eastAsia="fr-FR"/>
              </w:rPr>
            </w:pPr>
            <w:r>
              <w:rPr>
                <w:rFonts w:eastAsia="Times New Roman" w:cs="Arial"/>
                <w:sz w:val="22"/>
                <w:lang w:eastAsia="fr-FR"/>
              </w:rPr>
              <w:t>SIXIEME</w:t>
            </w:r>
            <w:r w:rsidR="00DE665C" w:rsidRPr="00C13095">
              <w:rPr>
                <w:rFonts w:eastAsia="Times New Roman" w:cs="Arial"/>
                <w:sz w:val="22"/>
                <w:lang w:eastAsia="fr-FR"/>
              </w:rPr>
              <w:t xml:space="preserve"> CHAMBRE</w:t>
            </w:r>
          </w:p>
          <w:p w:rsidR="00DE665C" w:rsidRPr="00C13095" w:rsidRDefault="00DE665C" w:rsidP="00E93E06">
            <w:pPr>
              <w:spacing w:line="240" w:lineRule="auto"/>
              <w:ind w:right="2760"/>
              <w:jc w:val="center"/>
              <w:rPr>
                <w:rFonts w:eastAsia="Times New Roman" w:cs="Arial"/>
                <w:b/>
                <w:sz w:val="22"/>
                <w:lang w:eastAsia="fr-FR"/>
              </w:rPr>
            </w:pPr>
            <w:r w:rsidRPr="00C13095">
              <w:rPr>
                <w:rFonts w:eastAsia="Times New Roman" w:cs="Arial"/>
                <w:b/>
                <w:sz w:val="22"/>
                <w:lang w:eastAsia="fr-FR"/>
              </w:rPr>
              <w:t>-------</w:t>
            </w:r>
          </w:p>
          <w:p w:rsidR="00DE665C" w:rsidRPr="00C13095" w:rsidRDefault="0060528A" w:rsidP="00E93E06">
            <w:pPr>
              <w:tabs>
                <w:tab w:val="center" w:pos="4819"/>
                <w:tab w:val="right" w:pos="9071"/>
              </w:tabs>
              <w:spacing w:line="240" w:lineRule="auto"/>
              <w:ind w:left="142" w:right="2760" w:hanging="142"/>
              <w:jc w:val="center"/>
              <w:rPr>
                <w:rFonts w:eastAsia="Times New Roman" w:cs="Arial"/>
                <w:sz w:val="22"/>
                <w:lang w:eastAsia="fr-FR"/>
              </w:rPr>
            </w:pPr>
            <w:r>
              <w:rPr>
                <w:rFonts w:eastAsia="Times New Roman" w:cs="Arial"/>
                <w:sz w:val="22"/>
                <w:lang w:eastAsia="fr-FR"/>
              </w:rPr>
              <w:t>Troisième se</w:t>
            </w:r>
            <w:r w:rsidR="00DE665C" w:rsidRPr="00C13095">
              <w:rPr>
                <w:rFonts w:eastAsia="Times New Roman" w:cs="Arial"/>
                <w:sz w:val="22"/>
                <w:lang w:eastAsia="fr-FR"/>
              </w:rPr>
              <w:t>ction</w:t>
            </w:r>
          </w:p>
          <w:p w:rsidR="00DE665C" w:rsidRPr="00C13095" w:rsidRDefault="00DE665C" w:rsidP="00E93E06">
            <w:pPr>
              <w:tabs>
                <w:tab w:val="right" w:pos="9071"/>
              </w:tabs>
              <w:spacing w:line="240" w:lineRule="auto"/>
              <w:ind w:right="2760"/>
              <w:jc w:val="center"/>
              <w:rPr>
                <w:rFonts w:eastAsia="Times New Roman" w:cs="Arial"/>
                <w:b/>
                <w:sz w:val="22"/>
                <w:lang w:eastAsia="fr-FR"/>
              </w:rPr>
            </w:pPr>
            <w:r w:rsidRPr="00C13095">
              <w:rPr>
                <w:rFonts w:eastAsia="Times New Roman" w:cs="Arial"/>
                <w:b/>
                <w:sz w:val="22"/>
                <w:lang w:eastAsia="fr-FR"/>
              </w:rPr>
              <w:t>-------</w:t>
            </w:r>
          </w:p>
          <w:p w:rsidR="00DE665C" w:rsidRPr="00C13095" w:rsidRDefault="00DE665C" w:rsidP="00E93E06">
            <w:pPr>
              <w:tabs>
                <w:tab w:val="center" w:pos="4819"/>
                <w:tab w:val="right" w:pos="9071"/>
              </w:tabs>
              <w:spacing w:line="240" w:lineRule="auto"/>
              <w:ind w:left="142" w:right="2760" w:hanging="142"/>
              <w:jc w:val="center"/>
              <w:rPr>
                <w:rFonts w:eastAsia="Times New Roman" w:cs="Arial"/>
                <w:sz w:val="22"/>
                <w:lang w:eastAsia="fr-FR"/>
              </w:rPr>
            </w:pPr>
            <w:r w:rsidRPr="00C13095">
              <w:rPr>
                <w:rFonts w:eastAsia="Times New Roman" w:cs="Arial"/>
                <w:sz w:val="22"/>
                <w:lang w:eastAsia="fr-FR"/>
              </w:rPr>
              <w:t xml:space="preserve">Arrêt n° </w:t>
            </w:r>
            <w:r w:rsidR="00293A6E">
              <w:rPr>
                <w:rFonts w:eastAsia="Times New Roman" w:cs="Arial"/>
                <w:sz w:val="22"/>
                <w:lang w:eastAsia="fr-FR"/>
              </w:rPr>
              <w:t>71792</w:t>
            </w:r>
          </w:p>
          <w:p w:rsidR="00DE665C" w:rsidRPr="00C13095" w:rsidRDefault="00DE665C" w:rsidP="00293A6E">
            <w:pPr>
              <w:tabs>
                <w:tab w:val="center" w:pos="4819"/>
                <w:tab w:val="right" w:pos="9071"/>
              </w:tabs>
              <w:spacing w:line="240" w:lineRule="auto"/>
              <w:ind w:left="142" w:firstLine="34"/>
              <w:rPr>
                <w:rFonts w:eastAsia="Times New Roman" w:cs="Arial"/>
                <w:sz w:val="22"/>
                <w:lang w:eastAsia="fr-FR"/>
              </w:rPr>
            </w:pPr>
          </w:p>
          <w:p w:rsidR="00DE665C" w:rsidRPr="00C13095" w:rsidRDefault="00DE665C" w:rsidP="00293A6E">
            <w:pPr>
              <w:spacing w:line="240" w:lineRule="auto"/>
              <w:rPr>
                <w:rFonts w:eastAsia="Times New Roman" w:cs="Arial"/>
                <w:sz w:val="22"/>
                <w:lang w:eastAsia="fr-FR"/>
              </w:rPr>
            </w:pPr>
            <w:r w:rsidRPr="00C13095">
              <w:rPr>
                <w:rFonts w:eastAsia="Times New Roman" w:cs="Arial"/>
                <w:sz w:val="22"/>
                <w:lang w:eastAsia="fr-FR"/>
              </w:rPr>
              <w:t xml:space="preserve">Audience publique </w:t>
            </w:r>
            <w:r w:rsidR="00E42F62">
              <w:rPr>
                <w:rFonts w:eastAsia="Times New Roman" w:cs="Arial"/>
                <w:sz w:val="22"/>
                <w:lang w:eastAsia="fr-FR"/>
              </w:rPr>
              <w:t xml:space="preserve">du </w:t>
            </w:r>
            <w:r w:rsidR="0060528A">
              <w:rPr>
                <w:rFonts w:eastAsia="Times New Roman" w:cs="Arial"/>
                <w:sz w:val="22"/>
                <w:lang w:eastAsia="fr-FR"/>
              </w:rPr>
              <w:t>12 janvier 2015</w:t>
            </w:r>
          </w:p>
          <w:p w:rsidR="00DE665C" w:rsidRPr="00C13095" w:rsidRDefault="00DE665C" w:rsidP="00293A6E">
            <w:pPr>
              <w:spacing w:line="240" w:lineRule="auto"/>
              <w:ind w:left="5670" w:hanging="4245"/>
              <w:rPr>
                <w:rFonts w:eastAsia="Times New Roman" w:cs="Arial"/>
                <w:sz w:val="22"/>
                <w:lang w:eastAsia="fr-FR"/>
              </w:rPr>
            </w:pPr>
          </w:p>
          <w:p w:rsidR="00DE665C" w:rsidRPr="00C13095" w:rsidRDefault="00DE665C" w:rsidP="00293A6E">
            <w:pPr>
              <w:spacing w:line="240" w:lineRule="auto"/>
              <w:rPr>
                <w:rFonts w:eastAsia="Times New Roman" w:cs="Arial"/>
                <w:i/>
                <w:sz w:val="22"/>
                <w:lang w:eastAsia="fr-FR"/>
              </w:rPr>
            </w:pPr>
            <w:r w:rsidRPr="00C13095">
              <w:rPr>
                <w:rFonts w:eastAsia="Times New Roman" w:cs="Arial"/>
                <w:sz w:val="22"/>
                <w:lang w:eastAsia="fr-FR"/>
              </w:rPr>
              <w:t>Lecture publique du</w:t>
            </w:r>
            <w:r w:rsidR="004C51CE">
              <w:rPr>
                <w:rFonts w:eastAsia="Times New Roman" w:cs="Arial"/>
                <w:sz w:val="22"/>
                <w:lang w:eastAsia="fr-FR"/>
              </w:rPr>
              <w:t xml:space="preserve"> 11 mars 2015</w:t>
            </w:r>
            <w:r w:rsidRPr="00C13095">
              <w:rPr>
                <w:rFonts w:eastAsia="Times New Roman" w:cs="Arial"/>
                <w:sz w:val="22"/>
                <w:lang w:eastAsia="fr-FR"/>
              </w:rPr>
              <w:t xml:space="preserve"> </w:t>
            </w:r>
          </w:p>
          <w:p w:rsidR="00DE665C" w:rsidRPr="00C13095" w:rsidRDefault="00DE665C" w:rsidP="00DE665C">
            <w:pPr>
              <w:spacing w:line="240" w:lineRule="auto"/>
              <w:ind w:firstLine="851"/>
              <w:rPr>
                <w:rFonts w:eastAsia="Times New Roman" w:cs="Arial"/>
                <w:sz w:val="22"/>
                <w:lang w:eastAsia="fr-FR"/>
              </w:rPr>
            </w:pPr>
          </w:p>
        </w:tc>
        <w:tc>
          <w:tcPr>
            <w:tcW w:w="5387" w:type="dxa"/>
          </w:tcPr>
          <w:p w:rsidR="00832984" w:rsidRDefault="0060528A" w:rsidP="00DE665C">
            <w:pPr>
              <w:spacing w:line="240" w:lineRule="auto"/>
              <w:jc w:val="both"/>
              <w:rPr>
                <w:rFonts w:eastAsia="Times New Roman" w:cs="Arial"/>
                <w:sz w:val="22"/>
                <w:lang w:eastAsia="fr-FR"/>
              </w:rPr>
            </w:pPr>
            <w:r>
              <w:rPr>
                <w:rFonts w:eastAsia="Times New Roman" w:cs="Arial"/>
                <w:sz w:val="22"/>
                <w:lang w:eastAsia="fr-FR"/>
              </w:rPr>
              <w:t xml:space="preserve">Institut National de Prévention et d’Education </w:t>
            </w:r>
          </w:p>
          <w:p w:rsidR="00DE665C" w:rsidRPr="00C13095" w:rsidRDefault="0060528A" w:rsidP="00DE665C">
            <w:pPr>
              <w:spacing w:line="240" w:lineRule="auto"/>
              <w:jc w:val="both"/>
              <w:rPr>
                <w:rFonts w:eastAsia="Times New Roman" w:cs="Arial"/>
                <w:sz w:val="22"/>
                <w:lang w:eastAsia="fr-FR"/>
              </w:rPr>
            </w:pPr>
            <w:r>
              <w:rPr>
                <w:rFonts w:eastAsia="Times New Roman" w:cs="Arial"/>
                <w:sz w:val="22"/>
                <w:lang w:eastAsia="fr-FR"/>
              </w:rPr>
              <w:t>à la Santé (INPES)</w:t>
            </w: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jc w:val="both"/>
              <w:rPr>
                <w:rFonts w:eastAsia="Times New Roman" w:cs="Arial"/>
                <w:i/>
                <w:noProof/>
                <w:color w:val="000000"/>
                <w:sz w:val="22"/>
                <w:lang w:eastAsia="fr-FR"/>
              </w:rPr>
            </w:pPr>
            <w:r w:rsidRPr="00C13095">
              <w:rPr>
                <w:rFonts w:eastAsia="Times New Roman" w:cs="Arial"/>
                <w:sz w:val="22"/>
                <w:lang w:eastAsia="fr-FR"/>
              </w:rPr>
              <w:t xml:space="preserve">Exercices </w:t>
            </w:r>
            <w:r w:rsidR="0060528A">
              <w:rPr>
                <w:rFonts w:eastAsia="Times New Roman" w:cs="Arial"/>
                <w:sz w:val="22"/>
                <w:lang w:eastAsia="fr-FR"/>
              </w:rPr>
              <w:t>2005 à 2011</w:t>
            </w:r>
          </w:p>
          <w:p w:rsidR="00DE665C" w:rsidRPr="00C13095" w:rsidRDefault="00DE665C" w:rsidP="00DE665C">
            <w:pPr>
              <w:spacing w:line="240" w:lineRule="auto"/>
              <w:jc w:val="both"/>
              <w:rPr>
                <w:rFonts w:eastAsia="Times New Roman" w:cs="Arial"/>
                <w:i/>
                <w:noProof/>
                <w:color w:val="000000"/>
                <w:sz w:val="22"/>
                <w:lang w:eastAsia="fr-FR"/>
              </w:rPr>
            </w:pPr>
          </w:p>
          <w:p w:rsidR="00DE665C" w:rsidRPr="00C13095" w:rsidRDefault="00DE665C" w:rsidP="00293A6E">
            <w:pPr>
              <w:spacing w:line="240" w:lineRule="auto"/>
              <w:rPr>
                <w:rFonts w:eastAsia="Times New Roman" w:cs="Arial"/>
                <w:sz w:val="22"/>
                <w:lang w:eastAsia="fr-FR"/>
              </w:rPr>
            </w:pPr>
            <w:r w:rsidRPr="00C13095">
              <w:rPr>
                <w:rFonts w:eastAsia="Times New Roman" w:cs="Arial"/>
                <w:noProof/>
                <w:color w:val="000000"/>
                <w:sz w:val="22"/>
                <w:lang w:eastAsia="fr-FR"/>
              </w:rPr>
              <w:t xml:space="preserve">Rapport n° </w:t>
            </w:r>
            <w:r w:rsidR="0060528A">
              <w:rPr>
                <w:rFonts w:eastAsia="Times New Roman" w:cs="Arial"/>
                <w:noProof/>
                <w:color w:val="000000"/>
                <w:sz w:val="22"/>
                <w:lang w:eastAsia="fr-FR"/>
              </w:rPr>
              <w:t>2014-785-0</w:t>
            </w: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rPr>
                <w:rFonts w:eastAsia="Times New Roman" w:cs="Arial"/>
                <w:sz w:val="22"/>
                <w:lang w:eastAsia="fr-FR"/>
              </w:rPr>
            </w:pPr>
          </w:p>
        </w:tc>
      </w:tr>
    </w:tbl>
    <w:p w:rsidR="00DE665C" w:rsidRDefault="00DE665C" w:rsidP="00DE665C">
      <w:pPr>
        <w:spacing w:line="240" w:lineRule="auto"/>
        <w:ind w:left="5670"/>
        <w:rPr>
          <w:rFonts w:eastAsia="Times New Roman" w:cs="Arial"/>
          <w:sz w:val="22"/>
          <w:lang w:eastAsia="fr-FR"/>
        </w:rPr>
      </w:pPr>
    </w:p>
    <w:p w:rsidR="00DE665C" w:rsidRPr="00C13095" w:rsidRDefault="00DE665C" w:rsidP="00DE665C">
      <w:pPr>
        <w:spacing w:line="240" w:lineRule="auto"/>
        <w:ind w:left="5670"/>
        <w:rPr>
          <w:rFonts w:eastAsia="Times New Roman" w:cs="Arial"/>
          <w:sz w:val="22"/>
          <w:lang w:eastAsia="fr-FR"/>
        </w:rPr>
      </w:pP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République Française,</w:t>
      </w: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DE665C" w:rsidRPr="00C13095" w:rsidRDefault="00DE665C" w:rsidP="00DE665C">
      <w:pPr>
        <w:tabs>
          <w:tab w:val="center" w:pos="9072"/>
        </w:tabs>
        <w:spacing w:line="240" w:lineRule="auto"/>
        <w:jc w:val="center"/>
        <w:rPr>
          <w:rFonts w:eastAsia="Times New Roman" w:cs="Arial"/>
          <w:sz w:val="22"/>
          <w:lang w:eastAsia="fr-FR"/>
        </w:rPr>
      </w:pP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DE665C" w:rsidRDefault="00DE665C" w:rsidP="00DE665C">
      <w:pPr>
        <w:tabs>
          <w:tab w:val="center" w:pos="4536"/>
          <w:tab w:val="right" w:pos="9072"/>
        </w:tabs>
        <w:spacing w:line="240" w:lineRule="auto"/>
        <w:ind w:left="-567"/>
        <w:jc w:val="both"/>
        <w:rPr>
          <w:rFonts w:eastAsia="Times New Roman" w:cs="Arial"/>
          <w:sz w:val="22"/>
          <w:lang w:eastAsia="fr-FR"/>
        </w:rPr>
      </w:pPr>
    </w:p>
    <w:p w:rsidR="00293A6E" w:rsidRDefault="00293A6E" w:rsidP="00DE665C">
      <w:pPr>
        <w:tabs>
          <w:tab w:val="center" w:pos="4536"/>
          <w:tab w:val="right" w:pos="9072"/>
        </w:tabs>
        <w:spacing w:line="240" w:lineRule="auto"/>
        <w:ind w:left="-567"/>
        <w:jc w:val="both"/>
        <w:rPr>
          <w:rFonts w:eastAsia="Times New Roman" w:cs="Arial"/>
          <w:sz w:val="22"/>
          <w:lang w:eastAsia="fr-FR"/>
        </w:rPr>
      </w:pPr>
    </w:p>
    <w:p w:rsidR="007F5ADE" w:rsidRDefault="007F5ADE"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réquisitoire en date du </w:t>
      </w:r>
      <w:r w:rsidR="00A92BA5">
        <w:rPr>
          <w:rFonts w:eastAsia="Times New Roman" w:cs="Arial"/>
          <w:sz w:val="22"/>
          <w:lang w:eastAsia="fr-FR"/>
        </w:rPr>
        <w:t>18 février 2014</w:t>
      </w:r>
      <w:r w:rsidRPr="00C13095">
        <w:rPr>
          <w:rFonts w:eastAsia="Times New Roman" w:cs="Arial"/>
          <w:sz w:val="22"/>
          <w:lang w:eastAsia="fr-FR"/>
        </w:rPr>
        <w:t xml:space="preserve">, par lequel le Procureur général de la République a saisi la </w:t>
      </w:r>
      <w:r w:rsidR="00A92BA5">
        <w:rPr>
          <w:rFonts w:eastAsia="Times New Roman" w:cs="Arial"/>
          <w:sz w:val="22"/>
          <w:lang w:eastAsia="fr-FR"/>
        </w:rPr>
        <w:t>sixième</w:t>
      </w:r>
      <w:r w:rsidRPr="00C13095">
        <w:rPr>
          <w:rFonts w:eastAsia="Times New Roman" w:cs="Arial"/>
          <w:sz w:val="22"/>
          <w:lang w:eastAsia="fr-FR"/>
        </w:rPr>
        <w:t xml:space="preserve"> chambre de la Cour des comptes de présomptions de charges, en vue de la mise en jeu de la responsabilité personnelle et pécuniaire de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X</w:t>
      </w:r>
      <w:r w:rsidR="00A92BA5">
        <w:rPr>
          <w:rFonts w:eastAsia="Times New Roman" w:cs="Arial"/>
          <w:sz w:val="22"/>
          <w:lang w:eastAsia="fr-FR"/>
        </w:rPr>
        <w:t>,</w:t>
      </w:r>
      <w:r w:rsidRPr="00C13095">
        <w:rPr>
          <w:rFonts w:eastAsia="Times New Roman" w:cs="Arial"/>
          <w:sz w:val="22"/>
          <w:lang w:eastAsia="fr-FR"/>
        </w:rPr>
        <w:t xml:space="preserve"> </w:t>
      </w:r>
      <w:r w:rsidR="00A92BA5">
        <w:rPr>
          <w:rFonts w:eastAsia="Times New Roman" w:cs="Arial"/>
          <w:sz w:val="22"/>
          <w:lang w:eastAsia="fr-FR"/>
        </w:rPr>
        <w:t>agent comptable de l’INPES</w:t>
      </w:r>
      <w:r w:rsidRPr="00C13095">
        <w:rPr>
          <w:rFonts w:eastAsia="Times New Roman" w:cs="Arial"/>
          <w:sz w:val="22"/>
          <w:lang w:eastAsia="fr-FR"/>
        </w:rPr>
        <w:t>, au titre d’opérations relatives aux exercice</w:t>
      </w:r>
      <w:r w:rsidR="00641E50">
        <w:rPr>
          <w:rFonts w:eastAsia="Times New Roman" w:cs="Arial"/>
          <w:sz w:val="22"/>
          <w:lang w:eastAsia="fr-FR"/>
        </w:rPr>
        <w:t>s 2009</w:t>
      </w:r>
      <w:r w:rsidRPr="00C13095">
        <w:rPr>
          <w:rFonts w:eastAsia="Times New Roman" w:cs="Arial"/>
          <w:sz w:val="22"/>
          <w:lang w:eastAsia="fr-FR"/>
        </w:rPr>
        <w:t xml:space="preserve"> à </w:t>
      </w:r>
      <w:r w:rsidR="00A92BA5">
        <w:rPr>
          <w:rFonts w:eastAsia="Times New Roman" w:cs="Arial"/>
          <w:sz w:val="22"/>
          <w:lang w:eastAsia="fr-FR"/>
        </w:rPr>
        <w:t>2011</w:t>
      </w:r>
      <w:r w:rsidRPr="00C13095">
        <w:rPr>
          <w:rFonts w:eastAsia="Times New Roman" w:cs="Arial"/>
          <w:sz w:val="22"/>
          <w:lang w:eastAsia="fr-FR"/>
        </w:rPr>
        <w:t>, notifié le</w:t>
      </w:r>
      <w:r w:rsidR="00A92BA5">
        <w:rPr>
          <w:rFonts w:eastAsia="Times New Roman" w:cs="Arial"/>
          <w:sz w:val="22"/>
          <w:lang w:eastAsia="fr-FR"/>
        </w:rPr>
        <w:t xml:space="preserve"> 3 mars 2014</w:t>
      </w:r>
      <w:r w:rsidR="00E93E06">
        <w:rPr>
          <w:rFonts w:eastAsia="Times New Roman" w:cs="Arial"/>
          <w:sz w:val="22"/>
          <w:lang w:eastAsia="fr-FR"/>
        </w:rPr>
        <w:t xml:space="preserve"> </w:t>
      </w:r>
      <w:r w:rsidR="00B220FB">
        <w:rPr>
          <w:rFonts w:eastAsia="Times New Roman" w:cs="Arial"/>
          <w:sz w:val="22"/>
          <w:lang w:eastAsia="fr-FR"/>
        </w:rPr>
        <w:t xml:space="preserve">et </w:t>
      </w:r>
      <w:r w:rsidR="00E42F62">
        <w:rPr>
          <w:rFonts w:eastAsia="Times New Roman" w:cs="Arial"/>
          <w:sz w:val="22"/>
          <w:lang w:eastAsia="fr-FR"/>
        </w:rPr>
        <w:t>dont</w:t>
      </w:r>
      <w:r w:rsidR="00A92BA5">
        <w:rPr>
          <w:rFonts w:eastAsia="Times New Roman" w:cs="Arial"/>
          <w:sz w:val="22"/>
          <w:lang w:eastAsia="fr-FR"/>
        </w:rPr>
        <w:t xml:space="preserve"> l’agent comptable concerné</w:t>
      </w:r>
      <w:r w:rsidR="00E42F62">
        <w:rPr>
          <w:rFonts w:eastAsia="Times New Roman" w:cs="Arial"/>
          <w:sz w:val="22"/>
          <w:lang w:eastAsia="fr-FR"/>
        </w:rPr>
        <w:t xml:space="preserve"> a accusé réception le </w:t>
      </w:r>
      <w:r w:rsidR="003D6175">
        <w:rPr>
          <w:rFonts w:eastAsia="Times New Roman" w:cs="Arial"/>
          <w:sz w:val="22"/>
          <w:lang w:eastAsia="fr-FR"/>
        </w:rPr>
        <w:t>4</w:t>
      </w:r>
      <w:r w:rsidR="00E42F62">
        <w:rPr>
          <w:rFonts w:eastAsia="Times New Roman" w:cs="Arial"/>
          <w:sz w:val="22"/>
          <w:lang w:eastAsia="fr-FR"/>
        </w:rPr>
        <w:t xml:space="preserve"> mars</w:t>
      </w:r>
      <w:r w:rsidR="00E93E06">
        <w:rPr>
          <w:rFonts w:eastAsia="Times New Roman" w:cs="Arial"/>
          <w:sz w:val="22"/>
          <w:lang w:eastAsia="fr-FR"/>
        </w:rPr>
        <w:t> ;</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comptes rendus en qualité de comptable de </w:t>
      </w:r>
      <w:r w:rsidR="00A92BA5">
        <w:rPr>
          <w:rFonts w:eastAsia="Times New Roman" w:cs="Arial"/>
          <w:sz w:val="22"/>
          <w:lang w:eastAsia="fr-FR"/>
        </w:rPr>
        <w:t>l’INPES</w:t>
      </w:r>
      <w:r w:rsidRPr="00C13095">
        <w:rPr>
          <w:rFonts w:eastAsia="Times New Roman" w:cs="Arial"/>
          <w:sz w:val="22"/>
          <w:lang w:eastAsia="fr-FR"/>
        </w:rPr>
        <w:t xml:space="preserve">, par </w:t>
      </w:r>
      <w:r w:rsidR="00AA72D9">
        <w:rPr>
          <w:rFonts w:eastAsia="Times New Roman" w:cs="Arial"/>
          <w:sz w:val="22"/>
          <w:lang w:eastAsia="fr-FR"/>
        </w:rPr>
        <w:t>M. Y</w:t>
      </w:r>
      <w:r w:rsidRPr="00C13095">
        <w:rPr>
          <w:rFonts w:eastAsia="Times New Roman" w:cs="Arial"/>
          <w:sz w:val="22"/>
          <w:lang w:eastAsia="fr-FR"/>
        </w:rPr>
        <w:t xml:space="preserve">, du </w:t>
      </w:r>
      <w:r w:rsidR="00A92BA5">
        <w:rPr>
          <w:rFonts w:eastAsia="Times New Roman" w:cs="Arial"/>
          <w:sz w:val="22"/>
          <w:lang w:eastAsia="fr-FR"/>
        </w:rPr>
        <w:t>1</w:t>
      </w:r>
      <w:r w:rsidR="00A92BA5" w:rsidRPr="00A92BA5">
        <w:rPr>
          <w:rFonts w:eastAsia="Times New Roman" w:cs="Arial"/>
          <w:sz w:val="22"/>
          <w:vertAlign w:val="superscript"/>
          <w:lang w:eastAsia="fr-FR"/>
        </w:rPr>
        <w:t>er</w:t>
      </w:r>
      <w:r w:rsidR="00A92BA5">
        <w:rPr>
          <w:rFonts w:eastAsia="Times New Roman" w:cs="Arial"/>
          <w:sz w:val="22"/>
          <w:lang w:eastAsia="fr-FR"/>
        </w:rPr>
        <w:t xml:space="preserve"> janvier</w:t>
      </w:r>
      <w:r w:rsidRPr="00C13095">
        <w:rPr>
          <w:rFonts w:eastAsia="Times New Roman" w:cs="Arial"/>
          <w:sz w:val="22"/>
          <w:lang w:eastAsia="fr-FR"/>
        </w:rPr>
        <w:t xml:space="preserve"> au </w:t>
      </w:r>
      <w:r w:rsidR="00A92BA5">
        <w:rPr>
          <w:rFonts w:eastAsia="Times New Roman" w:cs="Arial"/>
          <w:sz w:val="22"/>
          <w:lang w:eastAsia="fr-FR"/>
        </w:rPr>
        <w:t>8 mars 2005</w:t>
      </w:r>
      <w:r w:rsidRPr="00C13095">
        <w:rPr>
          <w:rFonts w:eastAsia="Times New Roman" w:cs="Arial"/>
          <w:sz w:val="22"/>
          <w:lang w:eastAsia="fr-FR"/>
        </w:rPr>
        <w:t xml:space="preserve">, et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X</w:t>
      </w:r>
      <w:r w:rsidRPr="00C13095">
        <w:rPr>
          <w:rFonts w:eastAsia="Times New Roman" w:cs="Arial"/>
          <w:sz w:val="22"/>
          <w:lang w:eastAsia="fr-FR"/>
        </w:rPr>
        <w:t>,</w:t>
      </w:r>
      <w:r w:rsidR="00A92BA5">
        <w:rPr>
          <w:rFonts w:eastAsia="Times New Roman" w:cs="Arial"/>
          <w:sz w:val="22"/>
          <w:lang w:eastAsia="fr-FR"/>
        </w:rPr>
        <w:t xml:space="preserve"> à compter du 9 mars 2005</w:t>
      </w:r>
      <w:r w:rsidR="00E93E06">
        <w:rPr>
          <w:rFonts w:eastAsia="Times New Roman" w:cs="Arial"/>
          <w:sz w:val="22"/>
          <w:lang w:eastAsia="fr-FR"/>
        </w:rPr>
        <w: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justificatio</w:t>
      </w:r>
      <w:r w:rsidR="00A92BA5">
        <w:rPr>
          <w:rFonts w:eastAsia="Times New Roman" w:cs="Arial"/>
          <w:sz w:val="22"/>
          <w:lang w:eastAsia="fr-FR"/>
        </w:rPr>
        <w:t xml:space="preserve">ns produites au soutien des comptes </w:t>
      </w:r>
      <w:r w:rsidR="00E93E06">
        <w:rPr>
          <w:rFonts w:eastAsia="Times New Roman" w:cs="Arial"/>
          <w:sz w:val="22"/>
          <w:lang w:eastAsia="fr-FR"/>
        </w:rPr>
        <w:t>en jugement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l’article 60 de la loi de finances n° 63-156 du 23 février 1963 ;</w:t>
      </w: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code des juridictions financières</w:t>
      </w:r>
      <w:r w:rsidR="00E93E06">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bCs/>
          <w:sz w:val="22"/>
          <w:lang w:eastAsia="fr-FR"/>
        </w:rPr>
        <w:t>V</w:t>
      </w:r>
      <w:r>
        <w:rPr>
          <w:rFonts w:eastAsia="Times New Roman" w:cs="Arial"/>
          <w:bCs/>
          <w:sz w:val="22"/>
          <w:lang w:eastAsia="fr-FR"/>
        </w:rPr>
        <w:t>u</w:t>
      </w:r>
      <w:r w:rsidRPr="00C13095">
        <w:rPr>
          <w:rFonts w:eastAsia="Times New Roman" w:cs="Arial"/>
          <w:bCs/>
          <w:sz w:val="22"/>
          <w:lang w:eastAsia="fr-FR"/>
        </w:rPr>
        <w:t xml:space="preserve"> </w:t>
      </w:r>
      <w:r w:rsidR="002F6A17">
        <w:rPr>
          <w:rFonts w:eastAsia="Times New Roman" w:cs="Arial"/>
          <w:bCs/>
          <w:sz w:val="22"/>
          <w:lang w:eastAsia="fr-FR"/>
        </w:rPr>
        <w:t>les articles L. 1417-1 et suivants du code de la santé publique</w:t>
      </w:r>
      <w:r w:rsidR="00E93E06">
        <w:rPr>
          <w:rFonts w:eastAsia="Times New Roman" w:cs="Arial"/>
          <w:bCs/>
          <w:sz w:val="22"/>
          <w:lang w:eastAsia="fr-FR"/>
        </w:rPr>
        <w:t> ;</w:t>
      </w:r>
    </w:p>
    <w:p w:rsidR="00DE665C" w:rsidRPr="00C13095" w:rsidRDefault="00DE665C" w:rsidP="00DE665C">
      <w:pPr>
        <w:spacing w:before="120" w:after="36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 62-1587 du 29 décembre 1962 portant règlement général sur la comptabilité publique alors en vigueur</w:t>
      </w:r>
      <w:r w:rsidR="00E93E06">
        <w:rPr>
          <w:rFonts w:eastAsia="Times New Roman" w:cs="Arial"/>
          <w:sz w:val="22"/>
          <w:lang w:eastAsia="fr-FR"/>
        </w:rPr>
        <w:t> ;</w:t>
      </w:r>
    </w:p>
    <w:p w:rsidR="00DE665C"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 2012-1386 du 10 décembre 2012 portant application du deuxième alinéa du VI de l’article 60 de la loi de finances de 1963 modifiée dans sa rédaction issue de l’article 90 de la loi n° 2011-1978 du 28 décembre 2011 de finances rectificatives pour 2011 ;</w:t>
      </w:r>
    </w:p>
    <w:p w:rsidR="00E42F62" w:rsidRPr="00C13095" w:rsidRDefault="00E42F62" w:rsidP="00DE665C">
      <w:pPr>
        <w:spacing w:before="120" w:after="240" w:line="240" w:lineRule="auto"/>
        <w:ind w:right="141"/>
        <w:jc w:val="both"/>
        <w:rPr>
          <w:rFonts w:eastAsia="Times New Roman" w:cs="Arial"/>
          <w:sz w:val="22"/>
          <w:lang w:eastAsia="fr-FR"/>
        </w:rPr>
      </w:pPr>
      <w:r>
        <w:rPr>
          <w:rFonts w:eastAsia="Times New Roman" w:cs="Arial"/>
          <w:sz w:val="22"/>
          <w:lang w:eastAsia="fr-FR"/>
        </w:rPr>
        <w:t>Vu l’arrêt de la Cour des comptes du 11 juillet 2007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rapport de </w:t>
      </w:r>
      <w:r w:rsidR="00A92BA5">
        <w:rPr>
          <w:rFonts w:eastAsia="Times New Roman" w:cs="Arial"/>
          <w:sz w:val="22"/>
          <w:lang w:eastAsia="fr-FR"/>
        </w:rPr>
        <w:t>M. Mathieu</w:t>
      </w:r>
      <w:r w:rsidR="003C5337">
        <w:rPr>
          <w:rFonts w:eastAsia="Times New Roman" w:cs="Arial"/>
          <w:sz w:val="22"/>
          <w:lang w:eastAsia="fr-FR"/>
        </w:rPr>
        <w:t xml:space="preserve"> GATINEAU</w:t>
      </w:r>
      <w:r w:rsidR="00A92BA5">
        <w:rPr>
          <w:rFonts w:eastAsia="Times New Roman" w:cs="Arial"/>
          <w:sz w:val="22"/>
          <w:lang w:eastAsia="fr-FR"/>
        </w:rPr>
        <w:t>, auditeur</w:t>
      </w:r>
      <w:r>
        <w:rPr>
          <w:rFonts w:eastAsia="Times New Roman" w:cs="Arial"/>
          <w:sz w:val="22"/>
          <w:lang w:eastAsia="fr-FR"/>
        </w:rPr>
        <w:t>, magistrat</w:t>
      </w:r>
      <w:r w:rsidRPr="00C13095">
        <w:rPr>
          <w:rFonts w:eastAsia="Times New Roman" w:cs="Arial"/>
          <w:sz w:val="22"/>
          <w:lang w:eastAsia="fr-FR"/>
        </w:rPr>
        <w:t xml:space="preserve"> chargé de l’instruction ;</w:t>
      </w:r>
    </w:p>
    <w:p w:rsidR="00DE665C"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conclusions du Procureur général de la République</w:t>
      </w:r>
      <w:r w:rsidR="00E93E06">
        <w:rPr>
          <w:rFonts w:eastAsia="Times New Roman" w:cs="Arial"/>
          <w:sz w:val="22"/>
          <w:lang w:eastAsia="fr-FR"/>
        </w:rPr>
        <w:t> ;</w:t>
      </w:r>
    </w:p>
    <w:p w:rsidR="00E42F62" w:rsidRDefault="00E42F62" w:rsidP="00DE665C">
      <w:pPr>
        <w:spacing w:before="120" w:after="240" w:line="240" w:lineRule="auto"/>
        <w:ind w:right="141"/>
        <w:jc w:val="both"/>
        <w:rPr>
          <w:rFonts w:eastAsia="Times New Roman" w:cs="Arial"/>
          <w:sz w:val="22"/>
          <w:lang w:eastAsia="fr-FR"/>
        </w:rPr>
      </w:pP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lastRenderedPageBreak/>
        <w:t>V</w:t>
      </w:r>
      <w:r>
        <w:rPr>
          <w:rFonts w:eastAsia="Times New Roman" w:cs="Arial"/>
          <w:sz w:val="22"/>
          <w:lang w:eastAsia="fr-FR"/>
        </w:rPr>
        <w:t>u</w:t>
      </w:r>
      <w:r w:rsidRPr="00C13095">
        <w:rPr>
          <w:rFonts w:eastAsia="Times New Roman" w:cs="Arial"/>
          <w:sz w:val="22"/>
          <w:lang w:eastAsia="fr-FR"/>
        </w:rPr>
        <w:t xml:space="preserve"> les pièces du dossier ; </w:t>
      </w:r>
    </w:p>
    <w:p w:rsidR="00DE665C" w:rsidRDefault="00DE665C" w:rsidP="00DE665C">
      <w:pPr>
        <w:spacing w:before="120" w:after="240" w:line="240" w:lineRule="auto"/>
        <w:ind w:right="141"/>
        <w:jc w:val="both"/>
        <w:rPr>
          <w:rFonts w:eastAsia="Times New Roman" w:cs="Arial"/>
          <w:sz w:val="22"/>
          <w:lang w:eastAsia="fr-FR"/>
        </w:rPr>
      </w:pPr>
      <w:r w:rsidRPr="002478DF">
        <w:rPr>
          <w:rFonts w:eastAsia="Times New Roman" w:cs="Arial"/>
          <w:sz w:val="22"/>
          <w:lang w:eastAsia="fr-FR"/>
        </w:rPr>
        <w:t>E</w:t>
      </w:r>
      <w:r>
        <w:rPr>
          <w:rFonts w:eastAsia="Times New Roman" w:cs="Arial"/>
          <w:sz w:val="22"/>
          <w:lang w:eastAsia="fr-FR"/>
        </w:rPr>
        <w:t>ntendu</w:t>
      </w:r>
      <w:r w:rsidRPr="002478DF">
        <w:rPr>
          <w:rFonts w:eastAsia="Times New Roman" w:cs="Arial"/>
          <w:sz w:val="22"/>
          <w:lang w:eastAsia="fr-FR"/>
        </w:rPr>
        <w:t xml:space="preserve"> lors de l’audience publique </w:t>
      </w:r>
      <w:r w:rsidR="002F6A17">
        <w:rPr>
          <w:rFonts w:eastAsia="Times New Roman" w:cs="Arial"/>
          <w:sz w:val="22"/>
          <w:lang w:eastAsia="fr-FR"/>
        </w:rPr>
        <w:t>du 12 janvier 201</w:t>
      </w:r>
      <w:r w:rsidR="000C147C">
        <w:rPr>
          <w:rFonts w:eastAsia="Times New Roman" w:cs="Arial"/>
          <w:sz w:val="22"/>
          <w:lang w:eastAsia="fr-FR"/>
        </w:rPr>
        <w:t>5</w:t>
      </w:r>
      <w:r w:rsidRPr="002478DF">
        <w:rPr>
          <w:rFonts w:eastAsia="Times New Roman" w:cs="Arial"/>
          <w:sz w:val="22"/>
          <w:lang w:eastAsia="fr-FR"/>
        </w:rPr>
        <w:t xml:space="preserve"> M. </w:t>
      </w:r>
      <w:r w:rsidR="002F6A17">
        <w:rPr>
          <w:rFonts w:eastAsia="Times New Roman" w:cs="Arial"/>
          <w:sz w:val="22"/>
          <w:lang w:eastAsia="fr-FR"/>
        </w:rPr>
        <w:t>Mathieu GATINEAU</w:t>
      </w:r>
      <w:r w:rsidRPr="002478DF">
        <w:rPr>
          <w:rFonts w:eastAsia="Times New Roman" w:cs="Arial"/>
          <w:sz w:val="22"/>
          <w:lang w:eastAsia="fr-FR"/>
        </w:rPr>
        <w:t xml:space="preserve">, </w:t>
      </w:r>
      <w:r w:rsidR="002F6A17">
        <w:rPr>
          <w:rFonts w:eastAsia="Times New Roman" w:cs="Arial"/>
          <w:sz w:val="22"/>
          <w:lang w:eastAsia="fr-FR"/>
        </w:rPr>
        <w:t>auditeur,</w:t>
      </w:r>
      <w:r w:rsidRPr="002478DF">
        <w:rPr>
          <w:rFonts w:eastAsia="Times New Roman" w:cs="Arial"/>
          <w:sz w:val="22"/>
          <w:lang w:eastAsia="fr-FR"/>
        </w:rPr>
        <w:t xml:space="preserve"> en son rapport, M. </w:t>
      </w:r>
      <w:r w:rsidR="002E3FDE">
        <w:rPr>
          <w:rFonts w:eastAsia="Times New Roman" w:cs="Arial"/>
          <w:sz w:val="22"/>
          <w:lang w:eastAsia="fr-FR"/>
        </w:rPr>
        <w:t>Bertrand DIRINGER</w:t>
      </w:r>
      <w:r w:rsidR="002F6A17">
        <w:rPr>
          <w:rFonts w:eastAsia="Times New Roman" w:cs="Arial"/>
          <w:sz w:val="22"/>
          <w:lang w:eastAsia="fr-FR"/>
        </w:rPr>
        <w:t>, avocat général,</w:t>
      </w:r>
      <w:r w:rsidRPr="002478DF">
        <w:rPr>
          <w:rFonts w:eastAsia="Times New Roman" w:cs="Arial"/>
          <w:sz w:val="22"/>
          <w:lang w:eastAsia="fr-FR"/>
        </w:rPr>
        <w:t xml:space="preserve"> en ses conclusions, </w:t>
      </w:r>
      <w:r w:rsidR="00AA72D9">
        <w:rPr>
          <w:rFonts w:eastAsia="Times New Roman" w:cs="Arial"/>
          <w:sz w:val="22"/>
          <w:lang w:eastAsia="fr-FR"/>
        </w:rPr>
        <w:t>M</w:t>
      </w:r>
      <w:r w:rsidR="00AA72D9" w:rsidRPr="00E93E06">
        <w:rPr>
          <w:rFonts w:eastAsia="Times New Roman" w:cs="Arial"/>
          <w:sz w:val="22"/>
          <w:vertAlign w:val="superscript"/>
          <w:lang w:eastAsia="fr-FR"/>
        </w:rPr>
        <w:t xml:space="preserve">me </w:t>
      </w:r>
      <w:r w:rsidR="00AA72D9">
        <w:rPr>
          <w:rFonts w:eastAsia="Times New Roman" w:cs="Arial"/>
          <w:sz w:val="22"/>
          <w:lang w:eastAsia="fr-FR"/>
        </w:rPr>
        <w:t>X</w:t>
      </w:r>
      <w:r w:rsidR="00E06650">
        <w:rPr>
          <w:rFonts w:eastAsia="Times New Roman" w:cs="Arial"/>
          <w:sz w:val="22"/>
          <w:lang w:eastAsia="fr-FR"/>
        </w:rPr>
        <w:t>,</w:t>
      </w:r>
      <w:r w:rsidR="00331818">
        <w:rPr>
          <w:rFonts w:eastAsia="Times New Roman" w:cs="Arial"/>
          <w:sz w:val="22"/>
          <w:lang w:eastAsia="fr-FR"/>
        </w:rPr>
        <w:t xml:space="preserve"> ainsi que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Z</w:t>
      </w:r>
      <w:r w:rsidR="00FA3203">
        <w:rPr>
          <w:rFonts w:eastAsia="Times New Roman" w:cs="Arial"/>
          <w:sz w:val="22"/>
          <w:lang w:eastAsia="fr-FR"/>
        </w:rPr>
        <w:t xml:space="preserve">, </w:t>
      </w:r>
      <w:r w:rsidR="00331818">
        <w:rPr>
          <w:rFonts w:eastAsia="Times New Roman" w:cs="Arial"/>
          <w:sz w:val="22"/>
          <w:lang w:eastAsia="fr-FR"/>
        </w:rPr>
        <w:t>directrice générale adjointe de l’INPES</w:t>
      </w:r>
      <w:r w:rsidR="00E93E06">
        <w:rPr>
          <w:rFonts w:eastAsia="Times New Roman" w:cs="Arial"/>
          <w:sz w:val="22"/>
          <w:lang w:eastAsia="fr-FR"/>
        </w:rPr>
        <w:t> ;</w:t>
      </w:r>
    </w:p>
    <w:p w:rsidR="00DE665C" w:rsidRPr="00E570A1" w:rsidRDefault="00DE665C" w:rsidP="00DE665C">
      <w:pPr>
        <w:spacing w:line="240" w:lineRule="auto"/>
        <w:ind w:right="141"/>
        <w:jc w:val="both"/>
        <w:rPr>
          <w:rFonts w:eastAsia="Times New Roman" w:cs="Arial"/>
          <w:sz w:val="22"/>
          <w:lang w:eastAsia="fr-FR"/>
        </w:rPr>
      </w:pPr>
      <w:r w:rsidRPr="00E570A1">
        <w:rPr>
          <w:rFonts w:eastAsia="Times New Roman" w:cs="Arial"/>
          <w:sz w:val="22"/>
          <w:lang w:eastAsia="fr-FR"/>
        </w:rPr>
        <w:t>E</w:t>
      </w:r>
      <w:r>
        <w:rPr>
          <w:rFonts w:eastAsia="Times New Roman" w:cs="Arial"/>
          <w:sz w:val="22"/>
          <w:lang w:eastAsia="fr-FR"/>
        </w:rPr>
        <w:t>ntendu</w:t>
      </w:r>
      <w:r w:rsidRPr="00E570A1">
        <w:rPr>
          <w:rFonts w:eastAsia="Times New Roman" w:cs="Arial"/>
          <w:sz w:val="22"/>
          <w:lang w:eastAsia="fr-FR"/>
        </w:rPr>
        <w:t xml:space="preserve"> en délibéré M. </w:t>
      </w:r>
      <w:r w:rsidR="002F6A17">
        <w:rPr>
          <w:rFonts w:eastAsia="Times New Roman" w:cs="Arial"/>
          <w:sz w:val="22"/>
          <w:lang w:eastAsia="fr-FR"/>
        </w:rPr>
        <w:t>Nicolas BRUNNER, conseiller maître</w:t>
      </w:r>
      <w:r w:rsidR="000974A4">
        <w:rPr>
          <w:rFonts w:eastAsia="Times New Roman" w:cs="Arial"/>
          <w:sz w:val="22"/>
          <w:lang w:eastAsia="fr-FR"/>
        </w:rPr>
        <w:t>, réviseur</w:t>
      </w:r>
      <w:r w:rsidRPr="00E570A1">
        <w:rPr>
          <w:rFonts w:eastAsia="Times New Roman" w:cs="Arial"/>
          <w:sz w:val="22"/>
          <w:lang w:eastAsia="fr-FR"/>
        </w:rPr>
        <w:t>, en ses observations ;</w:t>
      </w:r>
    </w:p>
    <w:p w:rsidR="00DE665C" w:rsidRPr="00E570A1" w:rsidRDefault="00DE665C" w:rsidP="00DE665C">
      <w:pPr>
        <w:spacing w:line="240" w:lineRule="auto"/>
        <w:ind w:right="141"/>
        <w:jc w:val="both"/>
        <w:rPr>
          <w:rFonts w:ascii="Times New Roman" w:eastAsia="Times New Roman" w:hAnsi="Times New Roman"/>
          <w:sz w:val="24"/>
          <w:szCs w:val="20"/>
          <w:lang w:eastAsia="fr-FR"/>
        </w:rPr>
      </w:pPr>
    </w:p>
    <w:p w:rsidR="00DE665C" w:rsidRPr="00E570A1" w:rsidRDefault="00DE665C" w:rsidP="00DE665C">
      <w:pPr>
        <w:tabs>
          <w:tab w:val="center" w:pos="4536"/>
          <w:tab w:val="right" w:pos="9072"/>
        </w:tabs>
        <w:spacing w:line="240" w:lineRule="auto"/>
        <w:jc w:val="both"/>
        <w:rPr>
          <w:rFonts w:eastAsia="Times New Roman" w:cs="Arial"/>
          <w:b/>
          <w:i/>
          <w:sz w:val="22"/>
          <w:lang w:eastAsia="fr-FR"/>
        </w:rPr>
      </w:pPr>
      <w:r w:rsidRPr="00E570A1">
        <w:rPr>
          <w:rFonts w:eastAsia="Times New Roman" w:cs="Arial"/>
          <w:b/>
          <w:i/>
          <w:sz w:val="22"/>
          <w:lang w:eastAsia="fr-FR"/>
        </w:rPr>
        <w:t xml:space="preserve">Sur la présomption de charge n° 1, soulevée à l’encontre de </w:t>
      </w:r>
      <w:r w:rsidR="00AA72D9">
        <w:rPr>
          <w:rFonts w:eastAsia="Times New Roman" w:cs="Arial"/>
          <w:b/>
          <w:i/>
          <w:sz w:val="22"/>
          <w:lang w:eastAsia="fr-FR"/>
        </w:rPr>
        <w:t>M</w:t>
      </w:r>
      <w:r w:rsidR="00AA72D9" w:rsidRPr="00E93E06">
        <w:rPr>
          <w:rFonts w:eastAsia="Times New Roman" w:cs="Arial"/>
          <w:b/>
          <w:i/>
          <w:sz w:val="22"/>
          <w:vertAlign w:val="superscript"/>
          <w:lang w:eastAsia="fr-FR"/>
        </w:rPr>
        <w:t>me</w:t>
      </w:r>
      <w:r w:rsidR="00AA72D9">
        <w:rPr>
          <w:rFonts w:eastAsia="Times New Roman" w:cs="Arial"/>
          <w:b/>
          <w:i/>
          <w:sz w:val="22"/>
          <w:lang w:eastAsia="fr-FR"/>
        </w:rPr>
        <w:t xml:space="preserve"> X</w:t>
      </w:r>
      <w:r w:rsidRPr="00E570A1">
        <w:rPr>
          <w:rFonts w:eastAsia="Times New Roman" w:cs="Arial"/>
          <w:b/>
          <w:i/>
          <w:sz w:val="22"/>
          <w:lang w:eastAsia="fr-FR"/>
        </w:rPr>
        <w:t xml:space="preserve">, au titre de l’exercice </w:t>
      </w:r>
      <w:r w:rsidR="002F6A17">
        <w:rPr>
          <w:rFonts w:eastAsia="Times New Roman" w:cs="Arial"/>
          <w:b/>
          <w:i/>
          <w:sz w:val="22"/>
          <w:lang w:eastAsia="fr-FR"/>
        </w:rPr>
        <w:t>2011</w:t>
      </w:r>
      <w:r w:rsidR="00E93E06">
        <w:rPr>
          <w:rFonts w:eastAsia="Times New Roman" w:cs="Arial"/>
          <w:b/>
          <w:i/>
          <w:sz w:val="22"/>
          <w:lang w:eastAsia="fr-FR"/>
        </w:rPr>
        <w:t> :</w:t>
      </w:r>
    </w:p>
    <w:p w:rsidR="00DE665C" w:rsidRPr="002478DF" w:rsidRDefault="00DE665C" w:rsidP="00DE665C">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par le réquisitoire susvisé, le Procureur général de la République a saisi </w:t>
      </w:r>
      <w:r>
        <w:rPr>
          <w:rFonts w:eastAsia="Times New Roman" w:cs="Arial"/>
          <w:sz w:val="22"/>
          <w:lang w:eastAsia="fr-FR"/>
        </w:rPr>
        <w:br/>
      </w:r>
      <w:r w:rsidRPr="002478DF">
        <w:rPr>
          <w:rFonts w:eastAsia="Times New Roman" w:cs="Arial"/>
          <w:sz w:val="22"/>
          <w:lang w:eastAsia="fr-FR"/>
        </w:rPr>
        <w:t xml:space="preserve">la </w:t>
      </w:r>
      <w:r w:rsidR="002F6A17">
        <w:rPr>
          <w:rFonts w:eastAsia="Times New Roman" w:cs="Arial"/>
          <w:sz w:val="22"/>
          <w:lang w:eastAsia="fr-FR"/>
        </w:rPr>
        <w:t>sixième</w:t>
      </w:r>
      <w:r w:rsidRPr="002478DF">
        <w:rPr>
          <w:rFonts w:eastAsia="Times New Roman" w:cs="Arial"/>
          <w:sz w:val="22"/>
          <w:lang w:eastAsia="fr-FR"/>
        </w:rPr>
        <w:t xml:space="preserve"> chambre de la Cour des comptes de la</w:t>
      </w:r>
      <w:r w:rsidR="002F6A17">
        <w:rPr>
          <w:rFonts w:eastAsia="Times New Roman" w:cs="Arial"/>
          <w:sz w:val="22"/>
          <w:lang w:eastAsia="fr-FR"/>
        </w:rPr>
        <w:t xml:space="preserve"> responsabilité encourue par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X</w:t>
      </w:r>
      <w:r w:rsidR="002F6A17">
        <w:rPr>
          <w:rFonts w:eastAsia="Times New Roman" w:cs="Arial"/>
          <w:sz w:val="22"/>
          <w:lang w:eastAsia="fr-FR"/>
        </w:rPr>
        <w:t xml:space="preserve"> </w:t>
      </w:r>
      <w:r w:rsidRPr="002478DF">
        <w:rPr>
          <w:rFonts w:eastAsia="Times New Roman" w:cs="Arial"/>
          <w:sz w:val="22"/>
          <w:lang w:eastAsia="fr-FR"/>
        </w:rPr>
        <w:t xml:space="preserve">à raison de </w:t>
      </w:r>
      <w:r w:rsidR="002F6A17">
        <w:rPr>
          <w:rFonts w:eastAsia="Times New Roman" w:cs="Arial"/>
          <w:sz w:val="22"/>
          <w:lang w:eastAsia="fr-FR"/>
        </w:rPr>
        <w:t>l’annulation, par mandat du 31 décem</w:t>
      </w:r>
      <w:r w:rsidR="000C147C">
        <w:rPr>
          <w:rFonts w:eastAsia="Times New Roman" w:cs="Arial"/>
          <w:sz w:val="22"/>
          <w:lang w:eastAsia="fr-FR"/>
        </w:rPr>
        <w:t>bre 2011, d’un titre émis le 12</w:t>
      </w:r>
      <w:r w:rsidR="00E93E06">
        <w:rPr>
          <w:rFonts w:eastAsia="Times New Roman" w:cs="Arial"/>
          <w:sz w:val="22"/>
          <w:lang w:eastAsia="fr-FR"/>
        </w:rPr>
        <w:t xml:space="preserve"> </w:t>
      </w:r>
      <w:r w:rsidR="002F6A17">
        <w:rPr>
          <w:rFonts w:eastAsia="Times New Roman" w:cs="Arial"/>
          <w:sz w:val="22"/>
          <w:lang w:eastAsia="fr-FR"/>
        </w:rPr>
        <w:t xml:space="preserve">février 2009 à l’encontre de l’association « Entraide </w:t>
      </w:r>
      <w:proofErr w:type="spellStart"/>
      <w:r w:rsidR="002F6A17">
        <w:rPr>
          <w:rFonts w:eastAsia="Times New Roman" w:cs="Arial"/>
          <w:sz w:val="22"/>
          <w:lang w:eastAsia="fr-FR"/>
        </w:rPr>
        <w:t>Gwadeloup</w:t>
      </w:r>
      <w:proofErr w:type="spellEnd"/>
      <w:r w:rsidR="002F6A17">
        <w:rPr>
          <w:rFonts w:eastAsia="Times New Roman" w:cs="Arial"/>
          <w:sz w:val="22"/>
          <w:lang w:eastAsia="fr-FR"/>
        </w:rPr>
        <w:t> »</w:t>
      </w:r>
      <w:r w:rsidR="00403FE3">
        <w:rPr>
          <w:rFonts w:eastAsia="Times New Roman" w:cs="Arial"/>
          <w:sz w:val="22"/>
          <w:lang w:eastAsia="fr-FR"/>
        </w:rPr>
        <w:t>, pour un montant de 6</w:t>
      </w:r>
      <w:r w:rsidR="000C147C">
        <w:rPr>
          <w:rFonts w:eastAsia="Times New Roman" w:cs="Arial"/>
          <w:sz w:val="22"/>
          <w:lang w:eastAsia="fr-FR"/>
        </w:rPr>
        <w:t> </w:t>
      </w:r>
      <w:r w:rsidR="00403FE3">
        <w:rPr>
          <w:rFonts w:eastAsia="Times New Roman" w:cs="Arial"/>
          <w:sz w:val="22"/>
          <w:lang w:eastAsia="fr-FR"/>
        </w:rPr>
        <w:t>376,80</w:t>
      </w:r>
      <w:r w:rsidR="00E93E06">
        <w:rPr>
          <w:rFonts w:eastAsia="Times New Roman" w:cs="Arial"/>
          <w:sz w:val="22"/>
          <w:lang w:eastAsia="fr-FR"/>
        </w:rPr>
        <w:t> </w:t>
      </w:r>
      <w:r w:rsidR="00403FE3">
        <w:rPr>
          <w:rFonts w:eastAsia="Times New Roman" w:cs="Arial"/>
          <w:sz w:val="22"/>
          <w:lang w:eastAsia="fr-FR"/>
        </w:rPr>
        <w:t>€</w:t>
      </w:r>
      <w:r w:rsidR="00AB29D9">
        <w:rPr>
          <w:rFonts w:eastAsia="Times New Roman" w:cs="Arial"/>
          <w:sz w:val="22"/>
          <w:lang w:eastAsia="fr-FR"/>
        </w:rPr>
        <w:t>, correspondant au remboursement de sommes versées à l’association pour la réalisation, non attestée, d’actions de sensibilisation aux risques du VIH</w:t>
      </w:r>
      <w:r w:rsidR="00E93E06">
        <w:rPr>
          <w:rFonts w:eastAsia="Times New Roman" w:cs="Arial"/>
          <w:sz w:val="22"/>
          <w:lang w:eastAsia="fr-FR"/>
        </w:rPr>
        <w:t> ;</w:t>
      </w:r>
    </w:p>
    <w:p w:rsidR="000B46DE" w:rsidRDefault="000B46DE" w:rsidP="00DE665C">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que </w:t>
      </w:r>
      <w:r>
        <w:rPr>
          <w:rFonts w:eastAsia="Times New Roman" w:cs="Arial"/>
          <w:sz w:val="22"/>
          <w:lang w:eastAsia="fr-FR"/>
        </w:rPr>
        <w:t>la comptable fait valoir que l’annulation du titre de recette avait fait l’objet, sur sa demande, d’une décision administrative d’annulation par la directrice générale de l’INPES, à titre exceptionnel</w:t>
      </w:r>
      <w:r w:rsidR="000543A4">
        <w:rPr>
          <w:rFonts w:eastAsia="Times New Roman" w:cs="Arial"/>
          <w:sz w:val="22"/>
          <w:lang w:eastAsia="fr-FR"/>
        </w:rPr>
        <w:t>,</w:t>
      </w:r>
      <w:r>
        <w:rPr>
          <w:rFonts w:eastAsia="Times New Roman" w:cs="Arial"/>
          <w:sz w:val="22"/>
          <w:lang w:eastAsia="fr-FR"/>
        </w:rPr>
        <w:t xml:space="preserve"> motivée par un vol commis dans les locaux de l’association débitrice à l’égard de l’INPES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Pr="002478DF"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que </w:t>
      </w:r>
      <w:r>
        <w:rPr>
          <w:rFonts w:eastAsia="Times New Roman" w:cs="Arial"/>
          <w:sz w:val="22"/>
          <w:lang w:eastAsia="fr-FR"/>
        </w:rPr>
        <w:t xml:space="preserve">la comptable se prévaut de l’existence d’un doute raisonnable sur le fondement et partant, sur l’exacte liquidation de la créance de l’INPES à l’égard de l’association Entraide </w:t>
      </w:r>
      <w:proofErr w:type="spellStart"/>
      <w:r>
        <w:rPr>
          <w:rFonts w:eastAsia="Times New Roman" w:cs="Arial"/>
          <w:sz w:val="22"/>
          <w:lang w:eastAsia="fr-FR"/>
        </w:rPr>
        <w:t>Gwadeloup</w:t>
      </w:r>
      <w:proofErr w:type="spellEnd"/>
      <w:r>
        <w:rPr>
          <w:rFonts w:eastAsia="Times New Roman" w:cs="Arial"/>
          <w:sz w:val="22"/>
          <w:lang w:eastAsia="fr-FR"/>
        </w:rPr>
        <w:t>, au motif de l’apparente bonne foi du président de l’association</w:t>
      </w:r>
      <w:r w:rsidR="00741521">
        <w:rPr>
          <w:rFonts w:eastAsia="Times New Roman" w:cs="Arial"/>
          <w:sz w:val="22"/>
          <w:lang w:eastAsia="fr-FR"/>
        </w:rPr>
        <w:t>,</w:t>
      </w:r>
      <w:r>
        <w:rPr>
          <w:rFonts w:eastAsia="Times New Roman" w:cs="Arial"/>
          <w:sz w:val="22"/>
          <w:lang w:eastAsia="fr-FR"/>
        </w:rPr>
        <w:t xml:space="preserve"> ne pouvant produire l’ensemble des documents prouvant la réalisation des actions</w:t>
      </w:r>
      <w:r w:rsidR="00E93E06">
        <w:rPr>
          <w:rFonts w:eastAsia="Times New Roman" w:cs="Arial"/>
          <w:sz w:val="22"/>
          <w:lang w:eastAsia="fr-FR"/>
        </w:rPr>
        <w:t> ;</w:t>
      </w:r>
    </w:p>
    <w:p w:rsidR="000B46DE" w:rsidRPr="002478DF" w:rsidRDefault="000B46DE" w:rsidP="000B46DE">
      <w:pPr>
        <w:tabs>
          <w:tab w:val="left" w:pos="4069"/>
        </w:tabs>
        <w:spacing w:line="240" w:lineRule="auto"/>
        <w:jc w:val="both"/>
        <w:rPr>
          <w:rFonts w:eastAsia="Times New Roman" w:cs="Arial"/>
          <w:sz w:val="22"/>
          <w:lang w:eastAsia="fr-FR"/>
        </w:rPr>
      </w:pPr>
      <w:r>
        <w:rPr>
          <w:rFonts w:eastAsia="Times New Roman" w:cs="Arial"/>
          <w:sz w:val="22"/>
          <w:lang w:eastAsia="fr-FR"/>
        </w:rPr>
        <w:tab/>
      </w: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que</w:t>
      </w:r>
      <w:r>
        <w:rPr>
          <w:rFonts w:eastAsia="Times New Roman" w:cs="Arial"/>
          <w:sz w:val="22"/>
          <w:lang w:eastAsia="fr-FR"/>
        </w:rPr>
        <w:t xml:space="preserve"> la comptable entend justifier sa prise en charge de l’annulation du titre de créance par l’existence d’une « coutume » </w:t>
      </w:r>
      <w:r w:rsidR="003C5337">
        <w:rPr>
          <w:rFonts w:eastAsia="Times New Roman" w:cs="Arial"/>
          <w:sz w:val="22"/>
          <w:lang w:eastAsia="fr-FR"/>
        </w:rPr>
        <w:t xml:space="preserve">de l’établissement </w:t>
      </w:r>
      <w:r>
        <w:rPr>
          <w:rFonts w:eastAsia="Times New Roman" w:cs="Arial"/>
          <w:sz w:val="22"/>
          <w:lang w:eastAsia="fr-FR"/>
        </w:rPr>
        <w:t xml:space="preserve">consistant, en cas d’incapacité pour </w:t>
      </w:r>
      <w:r w:rsidR="003C5337">
        <w:rPr>
          <w:rFonts w:eastAsia="Times New Roman" w:cs="Arial"/>
          <w:sz w:val="22"/>
          <w:lang w:eastAsia="fr-FR"/>
        </w:rPr>
        <w:t>une</w:t>
      </w:r>
      <w:r w:rsidR="000543A4">
        <w:rPr>
          <w:rFonts w:eastAsia="Times New Roman" w:cs="Arial"/>
          <w:sz w:val="22"/>
          <w:lang w:eastAsia="fr-FR"/>
        </w:rPr>
        <w:t xml:space="preserve"> </w:t>
      </w:r>
      <w:r>
        <w:rPr>
          <w:rFonts w:eastAsia="Times New Roman" w:cs="Arial"/>
          <w:sz w:val="22"/>
          <w:lang w:eastAsia="fr-FR"/>
        </w:rPr>
        <w:t>association de produire les documents comptables et financiers adéquats, à ne pas réclamer l’avance déjà versée à celle-ci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Attendu que la comptable </w:t>
      </w:r>
      <w:r w:rsidR="000543A4">
        <w:rPr>
          <w:rFonts w:eastAsia="Times New Roman" w:cs="Arial"/>
          <w:sz w:val="22"/>
          <w:lang w:eastAsia="fr-FR"/>
        </w:rPr>
        <w:t>invoque pour</w:t>
      </w:r>
      <w:r>
        <w:rPr>
          <w:rFonts w:eastAsia="Times New Roman" w:cs="Arial"/>
          <w:sz w:val="22"/>
          <w:lang w:eastAsia="fr-FR"/>
        </w:rPr>
        <w:t xml:space="preserve"> justifier la prise en charge de l’annulation une volonté de transparence consistant à rattacher la dépense résultant de ladite annulation au titre initial plutôt q</w:t>
      </w:r>
      <w:r w:rsidR="00E93E06">
        <w:rPr>
          <w:rFonts w:eastAsia="Times New Roman" w:cs="Arial"/>
          <w:sz w:val="22"/>
          <w:lang w:eastAsia="fr-FR"/>
        </w:rPr>
        <w:t>u’à une charge exceptionnelle ;</w:t>
      </w:r>
    </w:p>
    <w:p w:rsidR="000B46DE" w:rsidRDefault="000B46DE" w:rsidP="000B46DE">
      <w:pPr>
        <w:tabs>
          <w:tab w:val="center" w:pos="4536"/>
          <w:tab w:val="right" w:pos="9072"/>
        </w:tabs>
        <w:spacing w:line="240" w:lineRule="auto"/>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w:t>
      </w:r>
      <w:r>
        <w:rPr>
          <w:rFonts w:eastAsia="Times New Roman" w:cs="Arial"/>
          <w:sz w:val="22"/>
          <w:lang w:eastAsia="fr-FR"/>
        </w:rPr>
        <w:t>fait valoir qu’il appartient à la comptable de réaliser l’ensemble des contrôles de la régularité des mandats d’annulation qui lui sont présentés</w:t>
      </w:r>
      <w:r w:rsidR="000543A4">
        <w:rPr>
          <w:rFonts w:eastAsia="Times New Roman" w:cs="Arial"/>
          <w:sz w:val="22"/>
          <w:lang w:eastAsia="fr-FR"/>
        </w:rPr>
        <w:t> ;</w:t>
      </w:r>
      <w:r>
        <w:rPr>
          <w:rFonts w:eastAsia="Times New Roman" w:cs="Arial"/>
          <w:sz w:val="22"/>
          <w:lang w:eastAsia="fr-FR"/>
        </w:rPr>
        <w:t xml:space="preserve"> qu’en l’espèce, les motifs figurant sur le mandat ne sont pas cohérents avec ceux justifiant la prise en charge d’une annulation de titre de recette</w:t>
      </w:r>
      <w:r w:rsidR="00E93E06">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fait valoir </w:t>
      </w:r>
      <w:r>
        <w:rPr>
          <w:rFonts w:eastAsia="Times New Roman" w:cs="Arial"/>
          <w:sz w:val="22"/>
          <w:lang w:eastAsia="fr-FR"/>
        </w:rPr>
        <w:t>qu’il appartient à la comptable de contrôler la régularité du mandat d’annulation sur la base des pièces produites par l’ordonnateur</w:t>
      </w:r>
      <w:r w:rsidR="000543A4">
        <w:rPr>
          <w:rFonts w:eastAsia="Times New Roman" w:cs="Arial"/>
          <w:sz w:val="22"/>
          <w:lang w:eastAsia="fr-FR"/>
        </w:rPr>
        <w:t> ;</w:t>
      </w:r>
      <w:r>
        <w:rPr>
          <w:rFonts w:eastAsia="Times New Roman" w:cs="Arial"/>
          <w:sz w:val="22"/>
          <w:lang w:eastAsia="fr-FR"/>
        </w:rPr>
        <w:t xml:space="preserve"> </w:t>
      </w:r>
      <w:r w:rsidRPr="002478DF">
        <w:rPr>
          <w:rFonts w:eastAsia="Times New Roman" w:cs="Arial"/>
          <w:sz w:val="22"/>
          <w:lang w:eastAsia="fr-FR"/>
        </w:rPr>
        <w:t>que</w:t>
      </w:r>
      <w:r>
        <w:rPr>
          <w:rFonts w:eastAsia="Times New Roman" w:cs="Arial"/>
          <w:sz w:val="22"/>
          <w:lang w:eastAsia="fr-FR"/>
        </w:rPr>
        <w:t xml:space="preserve"> par ailleurs le fondement ou l’exactitude du montant de la créance ne peuvent être mises en doute par la simple existence d’une présomption ou d’une conviction de la comptable</w:t>
      </w:r>
      <w:r w:rsidR="00E93E06">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Pr="002478DF"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w:t>
      </w:r>
      <w:r>
        <w:rPr>
          <w:rFonts w:eastAsia="Times New Roman" w:cs="Arial"/>
          <w:sz w:val="22"/>
          <w:lang w:eastAsia="fr-FR"/>
        </w:rPr>
        <w:t xml:space="preserve">rappelle que l’existence d’une « coutume », au demeurant peu solidement établie, consistant à ne pas demander le remboursement des avances déjà versées ne saurait s’opposer au principe législatif selon lequel une dépense irrégulière entraîne l’engagement de la responsabilité personnelle et pécuniaire du comptable </w:t>
      </w:r>
      <w:r w:rsidRPr="002478DF">
        <w:rPr>
          <w:rFonts w:eastAsia="Times New Roman" w:cs="Arial"/>
          <w:sz w:val="22"/>
          <w:lang w:eastAsia="fr-FR"/>
        </w:rPr>
        <w:t>;</w:t>
      </w:r>
    </w:p>
    <w:p w:rsidR="000B46DE" w:rsidRDefault="000B46DE" w:rsidP="008B5793">
      <w:pPr>
        <w:tabs>
          <w:tab w:val="center" w:pos="4536"/>
          <w:tab w:val="right" w:pos="9072"/>
        </w:tabs>
        <w:spacing w:line="240" w:lineRule="auto"/>
        <w:rPr>
          <w:rFonts w:eastAsia="Times New Roman" w:cs="Arial"/>
          <w:sz w:val="22"/>
          <w:lang w:eastAsia="fr-FR"/>
        </w:rPr>
      </w:pPr>
    </w:p>
    <w:p w:rsidR="000B46DE" w:rsidRPr="002478DF" w:rsidRDefault="000B46DE" w:rsidP="000B46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lastRenderedPageBreak/>
        <w:t>Attendu que,</w:t>
      </w:r>
      <w:r w:rsidRPr="002478DF">
        <w:rPr>
          <w:rFonts w:eastAsia="Times New Roman" w:cs="Arial"/>
          <w:sz w:val="22"/>
          <w:lang w:eastAsia="fr-FR"/>
        </w:rPr>
        <w:t xml:space="preserve"> dans ses conclusions, le Procureur général, </w:t>
      </w:r>
      <w:r>
        <w:rPr>
          <w:rFonts w:eastAsia="Times New Roman" w:cs="Arial"/>
          <w:sz w:val="22"/>
          <w:lang w:eastAsia="fr-FR"/>
        </w:rPr>
        <w:t>estime que l’exigence de transparence ne peut être invoquée en l’espèce, la décision d’avoir recours à une annulation ayant notamment permis de faire l’économie d’une délibération du conseil d’administration de l’établissement</w:t>
      </w:r>
      <w:r w:rsidR="00E93E06">
        <w:rPr>
          <w:rFonts w:eastAsia="Times New Roman" w:cs="Arial"/>
          <w:sz w:val="22"/>
          <w:lang w:eastAsia="fr-FR"/>
        </w:rPr>
        <w:t> ;</w:t>
      </w:r>
    </w:p>
    <w:p w:rsidR="008B5793" w:rsidRDefault="008B5793"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w:t>
      </w:r>
      <w:r>
        <w:rPr>
          <w:rFonts w:eastAsia="Times New Roman" w:cs="Arial"/>
          <w:sz w:val="22"/>
          <w:lang w:eastAsia="fr-FR"/>
        </w:rPr>
        <w:t xml:space="preserve">la comptable n’a pas produit de pièces de l’ordonnateur à l’appui de ses affirmations justifiant l’absence de fondement ou l’erreur de liquidation dans la créance de l’INPES à l’égard de l’association Entraide </w:t>
      </w:r>
      <w:proofErr w:type="spellStart"/>
      <w:r>
        <w:rPr>
          <w:rFonts w:eastAsia="Times New Roman" w:cs="Arial"/>
          <w:sz w:val="22"/>
          <w:lang w:eastAsia="fr-FR"/>
        </w:rPr>
        <w:t>Gwadeloup</w:t>
      </w:r>
      <w:proofErr w:type="spellEnd"/>
      <w:r w:rsidR="000543A4">
        <w:rPr>
          <w:rFonts w:eastAsia="Times New Roman" w:cs="Arial"/>
          <w:sz w:val="22"/>
          <w:lang w:eastAsia="fr-FR"/>
        </w:rPr>
        <w:t> ;</w:t>
      </w:r>
      <w:r>
        <w:rPr>
          <w:rFonts w:eastAsia="Times New Roman" w:cs="Arial"/>
          <w:sz w:val="22"/>
          <w:lang w:eastAsia="fr-FR"/>
        </w:rPr>
        <w:t xml:space="preserve"> que dès lors</w:t>
      </w:r>
      <w:r w:rsidR="00C34D0E">
        <w:rPr>
          <w:rFonts w:eastAsia="Times New Roman" w:cs="Arial"/>
          <w:sz w:val="22"/>
          <w:lang w:eastAsia="fr-FR"/>
        </w:rPr>
        <w:t>,</w:t>
      </w:r>
      <w:r>
        <w:rPr>
          <w:rFonts w:eastAsia="Times New Roman" w:cs="Arial"/>
          <w:sz w:val="22"/>
          <w:lang w:eastAsia="fr-FR"/>
        </w:rPr>
        <w:t xml:space="preserve"> les motifs présentés à l’appui de la décision administrative d’annulation du titre de créance ne correspond</w:t>
      </w:r>
      <w:r w:rsidR="00C34D0E">
        <w:rPr>
          <w:rFonts w:eastAsia="Times New Roman" w:cs="Arial"/>
          <w:sz w:val="22"/>
          <w:lang w:eastAsia="fr-FR"/>
        </w:rPr>
        <w:t>a</w:t>
      </w:r>
      <w:r>
        <w:rPr>
          <w:rFonts w:eastAsia="Times New Roman" w:cs="Arial"/>
          <w:sz w:val="22"/>
          <w:lang w:eastAsia="fr-FR"/>
        </w:rPr>
        <w:t>nt pas aux cas prévus par l’instruction codificatrice n°10-031-M91 du 31 décembre 2010</w:t>
      </w:r>
      <w:r w:rsidR="00C34D0E">
        <w:rPr>
          <w:rFonts w:eastAsia="Times New Roman" w:cs="Arial"/>
          <w:sz w:val="22"/>
          <w:lang w:eastAsia="fr-FR"/>
        </w:rPr>
        <w:t xml:space="preserve">, cette décision doit être regardée comme </w:t>
      </w:r>
      <w:r>
        <w:rPr>
          <w:rFonts w:eastAsia="Times New Roman" w:cs="Arial"/>
          <w:sz w:val="22"/>
          <w:lang w:eastAsia="fr-FR"/>
        </w:rPr>
        <w:t>irrégulière</w:t>
      </w:r>
      <w:r w:rsidR="00C34D0E">
        <w:rPr>
          <w:rFonts w:eastAsia="Times New Roman" w:cs="Arial"/>
          <w:sz w:val="22"/>
          <w:lang w:eastAsia="fr-FR"/>
        </w:rPr>
        <w:t xml:space="preserve"> et que la comptable, en acceptant de la prendre en charge, ne peut être regardée comme ayant</w:t>
      </w:r>
      <w:r>
        <w:rPr>
          <w:rFonts w:eastAsia="Times New Roman" w:cs="Arial"/>
          <w:sz w:val="22"/>
          <w:lang w:eastAsia="fr-FR"/>
        </w:rPr>
        <w:t xml:space="preserve"> réalisé les contrôles de régularité des mandats d’annulation des titres de recettes qu’elle était tenue d’exercer aux termes de l’article 12-A du décret du 29 décembre 1962 portant règlement général de la comptabilité publique</w:t>
      </w:r>
      <w:r w:rsidR="00FB00BA">
        <w:rPr>
          <w:rFonts w:eastAsia="Times New Roman" w:cs="Arial"/>
          <w:sz w:val="22"/>
          <w:lang w:eastAsia="fr-FR"/>
        </w:rPr>
        <w:t>,</w:t>
      </w:r>
      <w:r>
        <w:rPr>
          <w:rFonts w:eastAsia="Times New Roman" w:cs="Arial"/>
          <w:sz w:val="22"/>
          <w:lang w:eastAsia="fr-FR"/>
        </w:rPr>
        <w:t xml:space="preserve"> en acceptant de prendre en charge cette annulation irrégulière</w:t>
      </w:r>
      <w:r w:rsidR="00E93E06">
        <w:rPr>
          <w:rFonts w:eastAsia="Times New Roman" w:cs="Arial"/>
          <w:sz w:val="22"/>
          <w:lang w:eastAsia="fr-FR"/>
        </w:rPr>
        <w:t> ;</w:t>
      </w:r>
    </w:p>
    <w:p w:rsidR="000B46DE" w:rsidRDefault="000B46DE"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des dispositions du paragraphe </w:t>
      </w:r>
      <w:r>
        <w:rPr>
          <w:rFonts w:eastAsia="Times New Roman" w:cs="Arial"/>
          <w:sz w:val="22"/>
          <w:lang w:eastAsia="fr-FR"/>
        </w:rPr>
        <w:t xml:space="preserve">I </w:t>
      </w:r>
      <w:r w:rsidRPr="002478DF">
        <w:rPr>
          <w:rFonts w:eastAsia="Times New Roman" w:cs="Arial"/>
          <w:sz w:val="22"/>
          <w:lang w:eastAsia="fr-FR"/>
        </w:rPr>
        <w:t xml:space="preserve">de l’article 60 de la loi du 23 février 1963 susvisée, </w:t>
      </w:r>
      <w:r>
        <w:rPr>
          <w:rFonts w:eastAsia="Times New Roman" w:cs="Arial"/>
          <w:sz w:val="22"/>
          <w:lang w:eastAsia="fr-FR"/>
        </w:rPr>
        <w:t xml:space="preserve">les comptables publics sont responsables personnellement et pécuniairement </w:t>
      </w:r>
      <w:r w:rsidRPr="002478DF">
        <w:rPr>
          <w:rFonts w:eastAsia="Times New Roman" w:cs="Arial"/>
          <w:sz w:val="22"/>
          <w:lang w:eastAsia="fr-FR"/>
        </w:rPr>
        <w:t>« </w:t>
      </w:r>
      <w:r w:rsidRPr="000B46DE">
        <w:rPr>
          <w:rFonts w:eastAsia="Times New Roman" w:cs="Arial"/>
          <w:sz w:val="22"/>
          <w:lang w:eastAsia="fr-FR"/>
        </w:rPr>
        <w:t>des contrôles qu’ils sont tenus d’assurer en matière de recettes, de dépenses et de patrimoine dans les conditions prévues par le règlement général sur la comptabilité publique</w:t>
      </w:r>
      <w:r w:rsidR="00E93E06">
        <w:rPr>
          <w:rFonts w:eastAsia="Times New Roman" w:cs="Arial"/>
          <w:i/>
          <w:sz w:val="22"/>
          <w:lang w:eastAsia="fr-FR"/>
        </w:rPr>
        <w:t> </w:t>
      </w:r>
      <w:r w:rsidRPr="002478DF">
        <w:rPr>
          <w:rFonts w:eastAsia="Times New Roman" w:cs="Arial"/>
          <w:sz w:val="22"/>
          <w:lang w:eastAsia="fr-FR"/>
        </w:rPr>
        <w:t>»</w:t>
      </w:r>
      <w:r>
        <w:rPr>
          <w:rFonts w:eastAsia="Times New Roman" w:cs="Arial"/>
          <w:sz w:val="22"/>
          <w:lang w:eastAsia="fr-FR"/>
        </w:rPr>
        <w:t> ;</w:t>
      </w:r>
    </w:p>
    <w:p w:rsidR="000543A4" w:rsidRDefault="000543A4" w:rsidP="000B46DE">
      <w:pPr>
        <w:tabs>
          <w:tab w:val="center" w:pos="4536"/>
          <w:tab w:val="right" w:pos="9072"/>
        </w:tabs>
        <w:spacing w:line="240" w:lineRule="auto"/>
        <w:jc w:val="both"/>
        <w:rPr>
          <w:rFonts w:eastAsia="Times New Roman" w:cs="Arial"/>
          <w:sz w:val="22"/>
          <w:lang w:eastAsia="fr-FR"/>
        </w:rPr>
      </w:pPr>
    </w:p>
    <w:p w:rsidR="000B46DE"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que la</w:t>
      </w:r>
      <w:r>
        <w:rPr>
          <w:rFonts w:eastAsia="Times New Roman" w:cs="Arial"/>
          <w:sz w:val="22"/>
          <w:lang w:eastAsia="fr-FR"/>
        </w:rPr>
        <w:t xml:space="preserve"> comptable se prévaut de la volonté manifeste de la directrice générale de l’é</w:t>
      </w:r>
      <w:r w:rsidR="00FB00BA">
        <w:rPr>
          <w:rFonts w:eastAsia="Times New Roman" w:cs="Arial"/>
          <w:sz w:val="22"/>
          <w:lang w:eastAsia="fr-FR"/>
        </w:rPr>
        <w:t>tablissement de ne pas recouvrer</w:t>
      </w:r>
      <w:r>
        <w:rPr>
          <w:rFonts w:eastAsia="Times New Roman" w:cs="Arial"/>
          <w:sz w:val="22"/>
          <w:lang w:eastAsia="fr-FR"/>
        </w:rPr>
        <w:t xml:space="preserve"> la créance envers l’association Entraide </w:t>
      </w:r>
      <w:proofErr w:type="spellStart"/>
      <w:r>
        <w:rPr>
          <w:rFonts w:eastAsia="Times New Roman" w:cs="Arial"/>
          <w:sz w:val="22"/>
          <w:lang w:eastAsia="fr-FR"/>
        </w:rPr>
        <w:t>Gwadeloup</w:t>
      </w:r>
      <w:proofErr w:type="spellEnd"/>
      <w:r>
        <w:rPr>
          <w:rFonts w:eastAsia="Times New Roman" w:cs="Arial"/>
          <w:sz w:val="22"/>
          <w:lang w:eastAsia="fr-FR"/>
        </w:rPr>
        <w:t xml:space="preserve"> pour justifier l’absence de préjudice financier pour l’INPES</w:t>
      </w:r>
      <w:r w:rsidR="00E93E06">
        <w:rPr>
          <w:rFonts w:eastAsia="Times New Roman" w:cs="Arial"/>
          <w:sz w:val="22"/>
          <w:lang w:eastAsia="fr-FR"/>
        </w:rPr>
        <w:t> ;</w:t>
      </w:r>
    </w:p>
    <w:p w:rsidR="000B46DE" w:rsidRPr="002478DF" w:rsidRDefault="000B46DE" w:rsidP="000B46DE">
      <w:pPr>
        <w:tabs>
          <w:tab w:val="center" w:pos="4536"/>
          <w:tab w:val="right" w:pos="9072"/>
        </w:tabs>
        <w:spacing w:line="240" w:lineRule="auto"/>
        <w:jc w:val="both"/>
        <w:rPr>
          <w:rFonts w:eastAsia="Times New Roman" w:cs="Arial"/>
          <w:sz w:val="22"/>
          <w:lang w:eastAsia="fr-FR"/>
        </w:rPr>
      </w:pPr>
    </w:p>
    <w:p w:rsidR="000B46DE" w:rsidRPr="002478DF" w:rsidRDefault="000B46DE" w:rsidP="000B46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i/>
          <w:sz w:val="22"/>
          <w:lang w:eastAsia="fr-FR"/>
        </w:rPr>
        <w:t xml:space="preserve"> </w:t>
      </w:r>
      <w:r w:rsidRPr="002478DF">
        <w:rPr>
          <w:rFonts w:eastAsia="Times New Roman" w:cs="Arial"/>
          <w:sz w:val="22"/>
          <w:lang w:eastAsia="fr-FR"/>
        </w:rPr>
        <w:t>que, dans ses conclusions, le Pr</w:t>
      </w:r>
      <w:r>
        <w:rPr>
          <w:rFonts w:eastAsia="Times New Roman" w:cs="Arial"/>
          <w:sz w:val="22"/>
          <w:lang w:eastAsia="fr-FR"/>
        </w:rPr>
        <w:t>ocureur général fait valoir qu’une annulation irrégulière d’un titre de créance en lieu et place d’une admission en non-valeur ou d’une remise</w:t>
      </w:r>
      <w:r w:rsidR="00FB00BA">
        <w:rPr>
          <w:rFonts w:eastAsia="Times New Roman" w:cs="Arial"/>
          <w:sz w:val="22"/>
          <w:lang w:eastAsia="fr-FR"/>
        </w:rPr>
        <w:t>,</w:t>
      </w:r>
      <w:r>
        <w:rPr>
          <w:rFonts w:eastAsia="Times New Roman" w:cs="Arial"/>
          <w:sz w:val="22"/>
          <w:lang w:eastAsia="fr-FR"/>
        </w:rPr>
        <w:t xml:space="preserve"> entraîne un préjudice financier (CC 13 mars 2014, </w:t>
      </w:r>
      <w:r w:rsidRPr="0005637C">
        <w:rPr>
          <w:rFonts w:eastAsia="Times New Roman" w:cs="Arial"/>
          <w:i/>
          <w:sz w:val="22"/>
          <w:lang w:eastAsia="fr-FR"/>
        </w:rPr>
        <w:t>Commune de Rivière-Pilote</w:t>
      </w:r>
      <w:r>
        <w:rPr>
          <w:rFonts w:eastAsia="Times New Roman" w:cs="Arial"/>
          <w:i/>
          <w:sz w:val="22"/>
          <w:lang w:eastAsia="fr-FR"/>
        </w:rPr>
        <w:t> </w:t>
      </w:r>
      <w:r>
        <w:rPr>
          <w:rFonts w:eastAsia="Times New Roman" w:cs="Arial"/>
          <w:sz w:val="22"/>
          <w:lang w:eastAsia="fr-FR"/>
        </w:rPr>
        <w:t xml:space="preserve">; 10 avril 2014, </w:t>
      </w:r>
      <w:r w:rsidRPr="0005637C">
        <w:rPr>
          <w:rFonts w:eastAsia="Times New Roman" w:cs="Arial"/>
          <w:i/>
          <w:sz w:val="22"/>
          <w:lang w:eastAsia="fr-FR"/>
        </w:rPr>
        <w:t>Communauté de communes d</w:t>
      </w:r>
      <w:r w:rsidR="00E93E06">
        <w:rPr>
          <w:rFonts w:eastAsia="Times New Roman" w:cs="Arial"/>
          <w:i/>
          <w:sz w:val="22"/>
          <w:lang w:eastAsia="fr-FR"/>
        </w:rPr>
        <w:t>u</w:t>
      </w:r>
      <w:r w:rsidRPr="0005637C">
        <w:rPr>
          <w:rFonts w:eastAsia="Times New Roman" w:cs="Arial"/>
          <w:i/>
          <w:sz w:val="22"/>
          <w:lang w:eastAsia="fr-FR"/>
        </w:rPr>
        <w:t xml:space="preserve"> Saint-Affricain</w:t>
      </w:r>
      <w:r>
        <w:rPr>
          <w:rFonts w:eastAsia="Times New Roman" w:cs="Arial"/>
          <w:sz w:val="22"/>
          <w:lang w:eastAsia="fr-FR"/>
        </w:rPr>
        <w:t>)</w:t>
      </w:r>
      <w:r w:rsidR="00E93E06">
        <w:rPr>
          <w:rFonts w:eastAsia="Times New Roman" w:cs="Arial"/>
          <w:sz w:val="22"/>
          <w:lang w:eastAsia="fr-FR"/>
        </w:rPr>
        <w:t> ;</w:t>
      </w:r>
    </w:p>
    <w:p w:rsidR="000B46DE" w:rsidRPr="002478DF" w:rsidRDefault="000B46DE" w:rsidP="000B46DE">
      <w:pPr>
        <w:tabs>
          <w:tab w:val="center" w:pos="4536"/>
          <w:tab w:val="right" w:pos="9072"/>
        </w:tabs>
        <w:spacing w:line="240" w:lineRule="auto"/>
        <w:jc w:val="both"/>
        <w:rPr>
          <w:rFonts w:eastAsia="Times New Roman" w:cs="Arial"/>
          <w:sz w:val="22"/>
          <w:lang w:eastAsia="fr-FR"/>
        </w:rPr>
      </w:pPr>
    </w:p>
    <w:p w:rsidR="000B46DE" w:rsidRPr="00C13095" w:rsidRDefault="000B46DE" w:rsidP="00DE665C">
      <w:pPr>
        <w:tabs>
          <w:tab w:val="center" w:pos="4536"/>
          <w:tab w:val="right" w:pos="9072"/>
        </w:tabs>
        <w:spacing w:line="240" w:lineRule="auto"/>
        <w:jc w:val="both"/>
        <w:rPr>
          <w:rFonts w:eastAsia="Times New Roman" w:cs="Arial"/>
          <w:sz w:val="22"/>
          <w:lang w:eastAsia="fr-FR"/>
        </w:rPr>
      </w:pPr>
      <w:r w:rsidRPr="00F70CB0">
        <w:rPr>
          <w:rFonts w:eastAsia="Times New Roman" w:cs="Arial"/>
          <w:sz w:val="22"/>
          <w:lang w:eastAsia="fr-FR"/>
        </w:rPr>
        <w:t xml:space="preserve">Attendu que, la prise en charge d’une annulation irrégulière du titre de recette a </w:t>
      </w:r>
      <w:r w:rsidR="009B6D50" w:rsidRPr="00F70CB0">
        <w:rPr>
          <w:rFonts w:eastAsia="Times New Roman" w:cs="Arial"/>
          <w:sz w:val="22"/>
          <w:lang w:eastAsia="fr-FR"/>
        </w:rPr>
        <w:t>mis une fin définitive</w:t>
      </w:r>
      <w:r w:rsidR="000B54EB" w:rsidRPr="00F70CB0">
        <w:rPr>
          <w:rFonts w:eastAsia="Times New Roman" w:cs="Arial"/>
          <w:sz w:val="22"/>
          <w:lang w:eastAsia="fr-FR"/>
        </w:rPr>
        <w:t>, en déchargeant le comptable de ses obligations de contrôle,</w:t>
      </w:r>
      <w:r w:rsidR="009B6D50" w:rsidRPr="00F70CB0">
        <w:rPr>
          <w:rFonts w:eastAsia="Times New Roman" w:cs="Arial"/>
          <w:sz w:val="22"/>
          <w:lang w:eastAsia="fr-FR"/>
        </w:rPr>
        <w:t xml:space="preserve"> à toute possibilité de recouvrement de la</w:t>
      </w:r>
      <w:r w:rsidRPr="00F70CB0">
        <w:rPr>
          <w:rFonts w:eastAsia="Times New Roman" w:cs="Arial"/>
          <w:sz w:val="22"/>
          <w:lang w:eastAsia="fr-FR"/>
        </w:rPr>
        <w:t xml:space="preserve"> créance </w:t>
      </w:r>
      <w:r w:rsidR="000B54EB" w:rsidRPr="00F70CB0">
        <w:rPr>
          <w:rFonts w:eastAsia="Times New Roman" w:cs="Arial"/>
          <w:sz w:val="22"/>
          <w:lang w:eastAsia="fr-FR"/>
        </w:rPr>
        <w:t>de</w:t>
      </w:r>
      <w:r w:rsidR="009B6D50" w:rsidRPr="00F70CB0">
        <w:rPr>
          <w:rFonts w:eastAsia="Times New Roman" w:cs="Arial"/>
          <w:sz w:val="22"/>
          <w:lang w:eastAsia="fr-FR"/>
        </w:rPr>
        <w:t xml:space="preserve"> l’établissement </w:t>
      </w:r>
      <w:r w:rsidRPr="00F70CB0">
        <w:rPr>
          <w:rFonts w:eastAsia="Times New Roman" w:cs="Arial"/>
          <w:sz w:val="22"/>
          <w:lang w:eastAsia="fr-FR"/>
        </w:rPr>
        <w:t xml:space="preserve">à l’égard de l’association Entraide </w:t>
      </w:r>
      <w:proofErr w:type="spellStart"/>
      <w:r w:rsidRPr="00F70CB0">
        <w:rPr>
          <w:rFonts w:eastAsia="Times New Roman" w:cs="Arial"/>
          <w:sz w:val="22"/>
          <w:lang w:eastAsia="fr-FR"/>
        </w:rPr>
        <w:t>Gwadeloup</w:t>
      </w:r>
      <w:proofErr w:type="spellEnd"/>
      <w:r w:rsidR="000B54EB" w:rsidRPr="00F70CB0">
        <w:rPr>
          <w:rFonts w:eastAsia="Times New Roman" w:cs="Arial"/>
          <w:sz w:val="22"/>
          <w:lang w:eastAsia="fr-FR"/>
        </w:rPr>
        <w:t xml:space="preserve"> </w:t>
      </w:r>
      <w:r w:rsidRPr="00F70CB0">
        <w:rPr>
          <w:rFonts w:eastAsia="Times New Roman" w:cs="Arial"/>
          <w:sz w:val="22"/>
          <w:lang w:eastAsia="fr-FR"/>
        </w:rPr>
        <w:t>causant ainsi un préjudice financier pour l’INPES</w:t>
      </w:r>
      <w:r w:rsidR="000B54EB">
        <w:rPr>
          <w:rFonts w:eastAsia="Times New Roman" w:cs="Arial"/>
          <w:sz w:val="22"/>
          <w:lang w:eastAsia="fr-FR"/>
        </w:rPr>
        <w:t xml:space="preserve"> ; </w:t>
      </w:r>
      <w:r>
        <w:rPr>
          <w:rFonts w:eastAsia="Times New Roman" w:cs="Arial"/>
          <w:sz w:val="22"/>
          <w:lang w:eastAsia="fr-FR"/>
        </w:rPr>
        <w:t>que par ailleurs l’existence d’une intention libérale de l’ordonnateur, soulevée par la comptable, ne peut s’opposer ni à l’obligation légale de contrôle pour la comptable, ni à l’existence de ce préjudice financier</w:t>
      </w:r>
      <w:r w:rsidR="00E93E06">
        <w:rPr>
          <w:rFonts w:eastAsia="Times New Roman" w:cs="Arial"/>
          <w:sz w:val="22"/>
          <w:lang w:eastAsia="fr-FR"/>
        </w:rPr>
        <w:t> ;</w:t>
      </w:r>
      <w:r w:rsidR="000B54EB">
        <w:rPr>
          <w:rFonts w:eastAsia="Times New Roman" w:cs="Arial"/>
          <w:sz w:val="22"/>
          <w:lang w:eastAsia="fr-FR"/>
        </w:rPr>
        <w:t xml:space="preserve"> que</w:t>
      </w:r>
      <w:r w:rsidR="00E93E06">
        <w:rPr>
          <w:rFonts w:eastAsia="Times New Roman" w:cs="Arial"/>
          <w:sz w:val="22"/>
          <w:lang w:eastAsia="fr-FR"/>
        </w:rPr>
        <w:t>,</w:t>
      </w:r>
      <w:r w:rsidR="000B54EB">
        <w:rPr>
          <w:rFonts w:eastAsia="Times New Roman" w:cs="Arial"/>
          <w:sz w:val="22"/>
          <w:lang w:eastAsia="fr-FR"/>
        </w:rPr>
        <w:t xml:space="preserve"> dès lors, la responsabilité personnelle et pécuniaire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X</w:t>
      </w:r>
      <w:r w:rsidR="000B54EB">
        <w:rPr>
          <w:rFonts w:eastAsia="Times New Roman" w:cs="Arial"/>
          <w:sz w:val="22"/>
          <w:lang w:eastAsia="fr-FR"/>
        </w:rPr>
        <w:t xml:space="preserve"> est engagée au titre de ce premier manquement ;</w:t>
      </w:r>
    </w:p>
    <w:p w:rsidR="000B46DE" w:rsidRPr="002478DF" w:rsidRDefault="000B46DE" w:rsidP="000B46DE">
      <w:pPr>
        <w:tabs>
          <w:tab w:val="center" w:pos="4536"/>
          <w:tab w:val="right" w:pos="9072"/>
        </w:tabs>
        <w:spacing w:line="240" w:lineRule="auto"/>
        <w:jc w:val="both"/>
        <w:rPr>
          <w:rFonts w:eastAsia="Times New Roman" w:cs="Arial"/>
          <w:sz w:val="22"/>
          <w:lang w:eastAsia="fr-FR"/>
        </w:rPr>
      </w:pPr>
    </w:p>
    <w:p w:rsidR="00095B01" w:rsidRDefault="000B46DE" w:rsidP="00DE665C">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qu’aux termes,</w:t>
      </w:r>
      <w:r w:rsidR="00CA5A34" w:rsidRPr="00CA5A34">
        <w:rPr>
          <w:rFonts w:eastAsia="Times New Roman" w:cs="Arial"/>
          <w:sz w:val="22"/>
          <w:lang w:eastAsia="fr-FR"/>
        </w:rPr>
        <w:t xml:space="preserve"> </w:t>
      </w:r>
      <w:r w:rsidR="00CA5A34" w:rsidRPr="002478DF">
        <w:rPr>
          <w:rFonts w:eastAsia="Times New Roman" w:cs="Arial"/>
          <w:sz w:val="22"/>
          <w:lang w:eastAsia="fr-FR"/>
        </w:rPr>
        <w:t>de l’article 60 de l</w:t>
      </w:r>
      <w:r w:rsidR="00CA5A34">
        <w:rPr>
          <w:rFonts w:eastAsia="Times New Roman" w:cs="Arial"/>
          <w:sz w:val="22"/>
          <w:lang w:eastAsia="fr-FR"/>
        </w:rPr>
        <w:t xml:space="preserve">a loi du 23 février susvisée, </w:t>
      </w:r>
      <w:r w:rsidRPr="002478DF">
        <w:rPr>
          <w:rFonts w:eastAsia="Times New Roman" w:cs="Arial"/>
          <w:sz w:val="22"/>
          <w:lang w:eastAsia="fr-FR"/>
        </w:rPr>
        <w:t>« lorsque le manquement du comptable […] a causé un préjudice financier à l’organisme public concerné (ou l’État) […],</w:t>
      </w:r>
      <w:r>
        <w:rPr>
          <w:rFonts w:eastAsia="Times New Roman" w:cs="Arial"/>
          <w:sz w:val="22"/>
          <w:lang w:eastAsia="fr-FR"/>
        </w:rPr>
        <w:t xml:space="preserve"> </w:t>
      </w:r>
      <w:r w:rsidRPr="002478DF">
        <w:rPr>
          <w:rFonts w:eastAsia="Times New Roman" w:cs="Arial"/>
          <w:sz w:val="22"/>
          <w:lang w:eastAsia="fr-FR"/>
        </w:rPr>
        <w:t>le comptable a l’obligation de verser immédiatement de ses deniers perso</w:t>
      </w:r>
      <w:r w:rsidR="00A35A07">
        <w:rPr>
          <w:rFonts w:eastAsia="Times New Roman" w:cs="Arial"/>
          <w:sz w:val="22"/>
          <w:lang w:eastAsia="fr-FR"/>
        </w:rPr>
        <w:t>nnels la somme correspondante » </w:t>
      </w:r>
      <w:r w:rsidRPr="002478DF">
        <w:rPr>
          <w:rFonts w:eastAsia="Times New Roman" w:cs="Arial"/>
          <w:sz w:val="22"/>
          <w:lang w:eastAsia="fr-FR"/>
        </w:rPr>
        <w:t>;</w:t>
      </w:r>
    </w:p>
    <w:p w:rsidR="00095B01" w:rsidRDefault="00095B01" w:rsidP="00DE665C">
      <w:pPr>
        <w:tabs>
          <w:tab w:val="center" w:pos="4536"/>
          <w:tab w:val="right" w:pos="9072"/>
        </w:tabs>
        <w:spacing w:line="240" w:lineRule="auto"/>
        <w:jc w:val="both"/>
        <w:rPr>
          <w:rFonts w:eastAsia="Times New Roman" w:cs="Arial"/>
          <w:sz w:val="22"/>
          <w:lang w:eastAsia="fr-FR"/>
        </w:rPr>
      </w:pPr>
    </w:p>
    <w:p w:rsidR="00095B01" w:rsidRDefault="00095B01" w:rsidP="00DE665C">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 xml:space="preserve">Sur la présomption de charge n° 2, soulevée à l’encontre de </w:t>
      </w:r>
      <w:r w:rsidR="00AA72D9">
        <w:rPr>
          <w:rFonts w:eastAsia="Times New Roman" w:cs="Arial"/>
          <w:b/>
          <w:i/>
          <w:sz w:val="22"/>
          <w:lang w:eastAsia="fr-FR"/>
        </w:rPr>
        <w:t>M</w:t>
      </w:r>
      <w:r w:rsidR="00AA72D9" w:rsidRPr="00E93E06">
        <w:rPr>
          <w:rFonts w:eastAsia="Times New Roman" w:cs="Arial"/>
          <w:b/>
          <w:i/>
          <w:sz w:val="22"/>
          <w:vertAlign w:val="superscript"/>
          <w:lang w:eastAsia="fr-FR"/>
        </w:rPr>
        <w:t>me</w:t>
      </w:r>
      <w:r w:rsidR="00AA72D9">
        <w:rPr>
          <w:rFonts w:eastAsia="Times New Roman" w:cs="Arial"/>
          <w:b/>
          <w:i/>
          <w:sz w:val="22"/>
          <w:lang w:eastAsia="fr-FR"/>
        </w:rPr>
        <w:t xml:space="preserve"> X</w:t>
      </w:r>
      <w:r w:rsidRPr="002478DF">
        <w:rPr>
          <w:rFonts w:eastAsia="Times New Roman" w:cs="Arial"/>
          <w:b/>
          <w:i/>
          <w:sz w:val="22"/>
          <w:lang w:eastAsia="fr-FR"/>
        </w:rPr>
        <w:t xml:space="preserve">, au titre </w:t>
      </w:r>
      <w:r>
        <w:rPr>
          <w:rFonts w:eastAsia="Times New Roman" w:cs="Arial"/>
          <w:b/>
          <w:i/>
          <w:sz w:val="22"/>
          <w:lang w:eastAsia="fr-FR"/>
        </w:rPr>
        <w:t>de l’exercice 2011</w:t>
      </w:r>
      <w:r w:rsidRPr="002478DF">
        <w:rPr>
          <w:rFonts w:eastAsia="Times New Roman" w:cs="Arial"/>
          <w:b/>
          <w:i/>
          <w:sz w:val="22"/>
          <w:lang w:eastAsia="fr-FR"/>
        </w:rPr>
        <w:t xml:space="preserve"> :</w:t>
      </w:r>
    </w:p>
    <w:p w:rsidR="00DE665C" w:rsidRDefault="00DE665C" w:rsidP="00DE665C">
      <w:pPr>
        <w:tabs>
          <w:tab w:val="center" w:pos="4536"/>
          <w:tab w:val="right" w:pos="9072"/>
        </w:tabs>
        <w:spacing w:line="240" w:lineRule="auto"/>
        <w:jc w:val="both"/>
        <w:rPr>
          <w:rFonts w:eastAsia="Times New Roman" w:cs="Arial"/>
          <w:b/>
          <w:i/>
          <w:sz w:val="22"/>
          <w:lang w:eastAsia="fr-FR"/>
        </w:rPr>
      </w:pPr>
    </w:p>
    <w:p w:rsidR="00DE665C" w:rsidRDefault="00DE665C" w:rsidP="008B5793">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par le réquisitoire susvisé, le Procureur général de la République a saisi </w:t>
      </w:r>
      <w:r>
        <w:rPr>
          <w:rFonts w:eastAsia="Times New Roman" w:cs="Arial"/>
          <w:sz w:val="22"/>
          <w:lang w:eastAsia="fr-FR"/>
        </w:rPr>
        <w:br/>
      </w:r>
      <w:r w:rsidRPr="002478DF">
        <w:rPr>
          <w:rFonts w:eastAsia="Times New Roman" w:cs="Arial"/>
          <w:sz w:val="22"/>
          <w:lang w:eastAsia="fr-FR"/>
        </w:rPr>
        <w:t xml:space="preserve">la </w:t>
      </w:r>
      <w:r>
        <w:rPr>
          <w:rFonts w:eastAsia="Times New Roman" w:cs="Arial"/>
          <w:sz w:val="22"/>
          <w:lang w:eastAsia="fr-FR"/>
        </w:rPr>
        <w:t>sixième</w:t>
      </w:r>
      <w:r w:rsidRPr="002478DF">
        <w:rPr>
          <w:rFonts w:eastAsia="Times New Roman" w:cs="Arial"/>
          <w:sz w:val="22"/>
          <w:lang w:eastAsia="fr-FR"/>
        </w:rPr>
        <w:t xml:space="preserve"> chambre de la Cour des comptes de la</w:t>
      </w:r>
      <w:r>
        <w:rPr>
          <w:rFonts w:eastAsia="Times New Roman" w:cs="Arial"/>
          <w:sz w:val="22"/>
          <w:lang w:eastAsia="fr-FR"/>
        </w:rPr>
        <w:t xml:space="preserve"> responsabilité encourue par </w:t>
      </w:r>
      <w:r w:rsidR="00AA72D9">
        <w:rPr>
          <w:rFonts w:eastAsia="Times New Roman" w:cs="Arial"/>
          <w:sz w:val="22"/>
          <w:lang w:eastAsia="fr-FR"/>
        </w:rPr>
        <w:t>M</w:t>
      </w:r>
      <w:r w:rsidR="00AA72D9" w:rsidRPr="00E93E06">
        <w:rPr>
          <w:rFonts w:eastAsia="Times New Roman" w:cs="Arial"/>
          <w:sz w:val="22"/>
          <w:vertAlign w:val="superscript"/>
          <w:lang w:eastAsia="fr-FR"/>
        </w:rPr>
        <w:t>me</w:t>
      </w:r>
      <w:r w:rsidR="00AA72D9">
        <w:rPr>
          <w:rFonts w:eastAsia="Times New Roman" w:cs="Arial"/>
          <w:sz w:val="22"/>
          <w:lang w:eastAsia="fr-FR"/>
        </w:rPr>
        <w:t xml:space="preserve"> X</w:t>
      </w:r>
      <w:r>
        <w:rPr>
          <w:rFonts w:eastAsia="Times New Roman" w:cs="Arial"/>
          <w:sz w:val="22"/>
          <w:lang w:eastAsia="fr-FR"/>
        </w:rPr>
        <w:t xml:space="preserve"> </w:t>
      </w:r>
      <w:r w:rsidRPr="002478DF">
        <w:rPr>
          <w:rFonts w:eastAsia="Times New Roman" w:cs="Arial"/>
          <w:sz w:val="22"/>
          <w:lang w:eastAsia="fr-FR"/>
        </w:rPr>
        <w:t xml:space="preserve">à raison de </w:t>
      </w:r>
      <w:r>
        <w:rPr>
          <w:rFonts w:eastAsia="Times New Roman" w:cs="Arial"/>
          <w:sz w:val="22"/>
          <w:lang w:eastAsia="fr-FR"/>
        </w:rPr>
        <w:t xml:space="preserve">l’absence de diligence de la comptable entre la prise en charge du titre de recette du 12 février 2009 dont l’annulation a fait l’objet de la première présomption de charge et cette annulation </w:t>
      </w:r>
      <w:r w:rsidR="000E0EC4">
        <w:rPr>
          <w:rFonts w:eastAsia="Times New Roman" w:cs="Arial"/>
          <w:sz w:val="22"/>
          <w:lang w:eastAsia="fr-FR"/>
        </w:rPr>
        <w:t>le 31 décembre 2011</w:t>
      </w:r>
      <w:r w:rsidR="00E93E06">
        <w:rPr>
          <w:rFonts w:eastAsia="Times New Roman" w:cs="Arial"/>
          <w:sz w:val="22"/>
          <w:lang w:eastAsia="fr-FR"/>
        </w:rPr>
        <w:t> ;</w:t>
      </w:r>
    </w:p>
    <w:p w:rsidR="000B46DE" w:rsidRDefault="000B46DE" w:rsidP="008B5793">
      <w:pPr>
        <w:tabs>
          <w:tab w:val="center" w:pos="4536"/>
          <w:tab w:val="right" w:pos="9072"/>
        </w:tabs>
        <w:spacing w:before="120" w:after="120" w:line="240" w:lineRule="auto"/>
        <w:jc w:val="both"/>
        <w:rPr>
          <w:rFonts w:eastAsia="Times New Roman" w:cs="Arial"/>
          <w:sz w:val="22"/>
          <w:lang w:eastAsia="fr-FR"/>
        </w:rPr>
      </w:pPr>
      <w:r w:rsidRPr="00DA18C5">
        <w:rPr>
          <w:rFonts w:eastAsia="Times New Roman" w:cs="Arial"/>
          <w:sz w:val="22"/>
          <w:lang w:eastAsia="fr-FR"/>
        </w:rPr>
        <w:lastRenderedPageBreak/>
        <w:t>Attendu</w:t>
      </w:r>
      <w:r w:rsidRPr="002478DF">
        <w:rPr>
          <w:rFonts w:eastAsia="Times New Roman" w:cs="Arial"/>
          <w:sz w:val="22"/>
          <w:lang w:eastAsia="fr-FR"/>
        </w:rPr>
        <w:t xml:space="preserve"> que </w:t>
      </w:r>
      <w:r>
        <w:rPr>
          <w:rFonts w:eastAsia="Times New Roman" w:cs="Arial"/>
          <w:sz w:val="22"/>
          <w:lang w:eastAsia="fr-FR"/>
        </w:rPr>
        <w:t>la comptable indique avoir adressé au long de l’exercice 2009 plusieurs courriels de relance et rencontré à plusieurs reprises le président de l’association</w:t>
      </w:r>
      <w:r w:rsidR="00FB00BA">
        <w:rPr>
          <w:rFonts w:eastAsia="Times New Roman" w:cs="Arial"/>
          <w:sz w:val="22"/>
          <w:lang w:eastAsia="fr-FR"/>
        </w:rPr>
        <w:t>,</w:t>
      </w:r>
      <w:r>
        <w:rPr>
          <w:rFonts w:eastAsia="Times New Roman" w:cs="Arial"/>
          <w:sz w:val="22"/>
          <w:lang w:eastAsia="fr-FR"/>
        </w:rPr>
        <w:t xml:space="preserve"> et justifie l’absence de diligences ultérieures, au cours des exercices 2010 et 2011, par l’attente causée par l’instruction du dossier de l’association par les services de l’ordonnateur</w:t>
      </w:r>
      <w:r w:rsidR="004B39B0">
        <w:rPr>
          <w:rFonts w:eastAsia="Times New Roman" w:cs="Arial"/>
          <w:sz w:val="22"/>
          <w:lang w:eastAsia="fr-FR"/>
        </w:rPr>
        <w:t> ;</w:t>
      </w:r>
    </w:p>
    <w:p w:rsidR="000B46DE" w:rsidRDefault="000B46DE" w:rsidP="008B5793">
      <w:pPr>
        <w:tabs>
          <w:tab w:val="center" w:pos="4536"/>
          <w:tab w:val="right" w:pos="9072"/>
        </w:tabs>
        <w:spacing w:before="120" w:after="120"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fait valoir </w:t>
      </w:r>
      <w:r>
        <w:rPr>
          <w:rFonts w:eastAsia="Times New Roman" w:cs="Arial"/>
          <w:sz w:val="22"/>
          <w:lang w:eastAsia="fr-FR"/>
        </w:rPr>
        <w:t>que ces initiatives, rares, peu énergiques, et mêmes inexistantes à partir de novembre 2009, n’ont pas permis de préserver les droits de l’établissement ni d’interrompre la prescription de la créance de l’établissement</w:t>
      </w:r>
      <w:r w:rsidR="004B39B0">
        <w:rPr>
          <w:rFonts w:eastAsia="Times New Roman" w:cs="Arial"/>
          <w:sz w:val="22"/>
          <w:lang w:eastAsia="fr-FR"/>
        </w:rPr>
        <w:t> ;</w:t>
      </w:r>
    </w:p>
    <w:p w:rsidR="004B39B0" w:rsidRDefault="000B46DE" w:rsidP="004B39B0">
      <w:pPr>
        <w:tabs>
          <w:tab w:val="center" w:pos="4536"/>
          <w:tab w:val="right" w:pos="9072"/>
        </w:tabs>
        <w:spacing w:before="120" w:after="120" w:line="240" w:lineRule="auto"/>
        <w:jc w:val="both"/>
        <w:rPr>
          <w:rFonts w:eastAsia="Times New Roman" w:cs="Arial"/>
          <w:sz w:val="22"/>
          <w:lang w:eastAsia="fr-FR"/>
        </w:rPr>
      </w:pPr>
      <w:r>
        <w:rPr>
          <w:rFonts w:eastAsia="Times New Roman" w:cs="Arial"/>
          <w:sz w:val="22"/>
          <w:lang w:eastAsia="fr-FR"/>
        </w:rPr>
        <w:t>Attendu qu’il ressort des pièces fournies à l’appui de la réponse de la comptable qu’aucun</w:t>
      </w:r>
      <w:r w:rsidR="00FB00BA">
        <w:rPr>
          <w:rFonts w:eastAsia="Times New Roman" w:cs="Arial"/>
          <w:sz w:val="22"/>
          <w:lang w:eastAsia="fr-FR"/>
        </w:rPr>
        <w:t>e</w:t>
      </w:r>
      <w:r>
        <w:rPr>
          <w:rFonts w:eastAsia="Times New Roman" w:cs="Arial"/>
          <w:sz w:val="22"/>
          <w:lang w:eastAsia="fr-FR"/>
        </w:rPr>
        <w:t xml:space="preserve"> relance ou mise en demeure n’ait été effectuée entre novembre 2009 et novembre 2011 par la comptable, ni aucun avertissement donné aux services de l’ordonnateur, mettant ainsi en péril le recouvrement de la créance de l’établissement</w:t>
      </w:r>
      <w:r w:rsidR="004B39B0">
        <w:rPr>
          <w:rFonts w:eastAsia="Times New Roman" w:cs="Arial"/>
          <w:sz w:val="22"/>
          <w:lang w:eastAsia="fr-FR"/>
        </w:rPr>
        <w:t> ;</w:t>
      </w:r>
      <w:r>
        <w:rPr>
          <w:rFonts w:eastAsia="Times New Roman" w:cs="Arial"/>
          <w:sz w:val="22"/>
          <w:lang w:eastAsia="fr-FR"/>
        </w:rPr>
        <w:t xml:space="preserve"> que dès lors, la comptable n</w:t>
      </w:r>
      <w:r w:rsidR="00FB00BA">
        <w:rPr>
          <w:rFonts w:eastAsia="Times New Roman" w:cs="Arial"/>
          <w:sz w:val="22"/>
          <w:lang w:eastAsia="fr-FR"/>
        </w:rPr>
        <w:t>e peut</w:t>
      </w:r>
      <w:r>
        <w:rPr>
          <w:rFonts w:eastAsia="Times New Roman" w:cs="Arial"/>
          <w:sz w:val="22"/>
          <w:lang w:eastAsia="fr-FR"/>
        </w:rPr>
        <w:t xml:space="preserve"> être considérée comme ayant accompli les diligences adéquates, complètes et rapides en vue du recouvrement de la créance ;</w:t>
      </w:r>
    </w:p>
    <w:p w:rsidR="004B39B0" w:rsidRDefault="000B46DE" w:rsidP="004B39B0">
      <w:pPr>
        <w:tabs>
          <w:tab w:val="center" w:pos="4536"/>
          <w:tab w:val="right" w:pos="9072"/>
        </w:tabs>
        <w:spacing w:after="120"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w:t>
      </w:r>
      <w:r>
        <w:rPr>
          <w:rFonts w:eastAsia="Times New Roman" w:cs="Arial"/>
          <w:sz w:val="22"/>
          <w:lang w:eastAsia="fr-FR"/>
        </w:rPr>
        <w:t xml:space="preserve">’aux termes de l’article 12-A du décret du 29 décembre 1962 portant règlement général </w:t>
      </w:r>
      <w:r w:rsidR="004B39B0">
        <w:rPr>
          <w:rFonts w:eastAsia="Times New Roman" w:cs="Arial"/>
          <w:sz w:val="22"/>
          <w:lang w:eastAsia="fr-FR"/>
        </w:rPr>
        <w:t>sur</w:t>
      </w:r>
      <w:r>
        <w:rPr>
          <w:rFonts w:eastAsia="Times New Roman" w:cs="Arial"/>
          <w:sz w:val="22"/>
          <w:lang w:eastAsia="fr-FR"/>
        </w:rPr>
        <w:t xml:space="preserve"> la comptabilité publique, les comptables publics sont tenus d’exercer, « </w:t>
      </w:r>
      <w:r w:rsidRPr="002A615A">
        <w:rPr>
          <w:rFonts w:eastAsia="Times New Roman" w:cs="Arial"/>
          <w:i/>
          <w:sz w:val="22"/>
          <w:lang w:eastAsia="fr-FR"/>
        </w:rPr>
        <w:t>en matière de recettes, le contrôle :</w:t>
      </w:r>
      <w:r>
        <w:rPr>
          <w:rFonts w:eastAsia="Times New Roman" w:cs="Arial"/>
          <w:sz w:val="22"/>
          <w:lang w:eastAsia="fr-FR"/>
        </w:rPr>
        <w:t xml:space="preserve"> </w:t>
      </w:r>
      <w:r>
        <w:rPr>
          <w:rFonts w:eastAsia="Times New Roman" w:cs="Arial"/>
          <w:i/>
          <w:sz w:val="22"/>
          <w:lang w:eastAsia="fr-FR"/>
        </w:rPr>
        <w:t>[…] dans la limite des éléments dont ils disposent, de la mise en recouvrement des créances de l’organisme public »</w:t>
      </w:r>
      <w:r w:rsidR="00AC461E">
        <w:rPr>
          <w:rFonts w:eastAsia="Times New Roman" w:cs="Arial"/>
          <w:i/>
          <w:sz w:val="22"/>
          <w:lang w:eastAsia="fr-FR"/>
        </w:rPr>
        <w:t xml:space="preserve"> </w:t>
      </w:r>
      <w:r w:rsidRPr="002478DF">
        <w:rPr>
          <w:rFonts w:eastAsia="Times New Roman" w:cs="Arial"/>
          <w:sz w:val="22"/>
          <w:lang w:eastAsia="fr-FR"/>
        </w:rPr>
        <w:t>;</w:t>
      </w:r>
    </w:p>
    <w:p w:rsidR="00E42F62" w:rsidRDefault="000B46DE" w:rsidP="00AC461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sz w:val="22"/>
          <w:lang w:eastAsia="fr-FR"/>
        </w:rPr>
        <w:t xml:space="preserve"> qu’aux termes des dispositions du paragraphe </w:t>
      </w:r>
      <w:r>
        <w:rPr>
          <w:rFonts w:eastAsia="Times New Roman" w:cs="Arial"/>
          <w:sz w:val="22"/>
          <w:lang w:eastAsia="fr-FR"/>
        </w:rPr>
        <w:t xml:space="preserve">I </w:t>
      </w:r>
      <w:r w:rsidRPr="002478DF">
        <w:rPr>
          <w:rFonts w:eastAsia="Times New Roman" w:cs="Arial"/>
          <w:sz w:val="22"/>
          <w:lang w:eastAsia="fr-FR"/>
        </w:rPr>
        <w:t xml:space="preserve">de l’article 60 de la loi du 23 février 1963 susvisée, </w:t>
      </w:r>
      <w:r>
        <w:rPr>
          <w:rFonts w:eastAsia="Times New Roman" w:cs="Arial"/>
          <w:sz w:val="22"/>
          <w:lang w:eastAsia="fr-FR"/>
        </w:rPr>
        <w:t xml:space="preserve">les comptables publics sont responsables personnellement et pécuniairement </w:t>
      </w:r>
      <w:r w:rsidRPr="002478DF">
        <w:rPr>
          <w:rFonts w:eastAsia="Times New Roman" w:cs="Arial"/>
          <w:sz w:val="22"/>
          <w:lang w:eastAsia="fr-FR"/>
        </w:rPr>
        <w:t>« </w:t>
      </w:r>
      <w:r w:rsidRPr="000B46DE">
        <w:rPr>
          <w:rFonts w:eastAsia="Times New Roman" w:cs="Arial"/>
          <w:sz w:val="22"/>
          <w:lang w:eastAsia="fr-FR"/>
        </w:rPr>
        <w:t>des contrôles qu’ils sont tenus d’assurer en matière de recettes, de dépenses et de patrimoine dans les conditions prévues par le règlement général sur la comptabilité publique</w:t>
      </w:r>
      <w:r w:rsidR="004B39B0">
        <w:rPr>
          <w:rFonts w:eastAsia="Times New Roman" w:cs="Arial"/>
          <w:sz w:val="22"/>
          <w:lang w:eastAsia="fr-FR"/>
        </w:rPr>
        <w:t> </w:t>
      </w:r>
      <w:r w:rsidRPr="002478DF">
        <w:rPr>
          <w:rFonts w:eastAsia="Times New Roman" w:cs="Arial"/>
          <w:sz w:val="22"/>
          <w:lang w:eastAsia="fr-FR"/>
        </w:rPr>
        <w:t>»</w:t>
      </w:r>
      <w:r w:rsidR="00E42F62">
        <w:rPr>
          <w:rFonts w:eastAsia="Times New Roman" w:cs="Arial"/>
          <w:sz w:val="22"/>
          <w:lang w:eastAsia="fr-FR"/>
        </w:rPr>
        <w:t> ;</w:t>
      </w:r>
    </w:p>
    <w:p w:rsidR="00095B01" w:rsidRDefault="00095B01" w:rsidP="00AC461E">
      <w:pPr>
        <w:tabs>
          <w:tab w:val="center" w:pos="4536"/>
          <w:tab w:val="right" w:pos="9072"/>
        </w:tabs>
        <w:spacing w:line="240" w:lineRule="auto"/>
        <w:jc w:val="both"/>
        <w:rPr>
          <w:rFonts w:eastAsia="Times New Roman" w:cs="Arial"/>
          <w:sz w:val="22"/>
          <w:lang w:eastAsia="fr-FR"/>
        </w:rPr>
      </w:pPr>
    </w:p>
    <w:p w:rsidR="000B46DE" w:rsidRDefault="000B46DE" w:rsidP="008B5793">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Attendu</w:t>
      </w:r>
      <w:r w:rsidRPr="002478DF">
        <w:rPr>
          <w:rFonts w:eastAsia="Times New Roman" w:cs="Arial"/>
          <w:i/>
          <w:sz w:val="22"/>
          <w:lang w:eastAsia="fr-FR"/>
        </w:rPr>
        <w:t xml:space="preserve"> </w:t>
      </w:r>
      <w:r w:rsidRPr="002478DF">
        <w:rPr>
          <w:rFonts w:eastAsia="Times New Roman" w:cs="Arial"/>
          <w:sz w:val="22"/>
          <w:lang w:eastAsia="fr-FR"/>
        </w:rPr>
        <w:t>que, dans ses conclusions, le Pr</w:t>
      </w:r>
      <w:r>
        <w:rPr>
          <w:rFonts w:eastAsia="Times New Roman" w:cs="Arial"/>
          <w:sz w:val="22"/>
          <w:lang w:eastAsia="fr-FR"/>
        </w:rPr>
        <w:t xml:space="preserve">ocureur général estime que </w:t>
      </w:r>
      <w:r w:rsidR="00C34D0E">
        <w:rPr>
          <w:rFonts w:eastAsia="Times New Roman" w:cs="Arial"/>
          <w:sz w:val="22"/>
          <w:lang w:eastAsia="fr-FR"/>
        </w:rPr>
        <w:t>l’</w:t>
      </w:r>
      <w:r>
        <w:rPr>
          <w:rFonts w:eastAsia="Times New Roman" w:cs="Arial"/>
          <w:sz w:val="22"/>
          <w:lang w:eastAsia="fr-FR"/>
        </w:rPr>
        <w:t>intention</w:t>
      </w:r>
      <w:r w:rsidR="00C34D0E">
        <w:rPr>
          <w:rFonts w:eastAsia="Times New Roman" w:cs="Arial"/>
          <w:sz w:val="22"/>
          <w:lang w:eastAsia="fr-FR"/>
        </w:rPr>
        <w:t xml:space="preserve">, dont se prévaut la comptable, de la directrice </w:t>
      </w:r>
      <w:r w:rsidR="004D3C27">
        <w:rPr>
          <w:rFonts w:eastAsia="Times New Roman" w:cs="Arial"/>
          <w:sz w:val="22"/>
          <w:lang w:eastAsia="fr-FR"/>
        </w:rPr>
        <w:t>générale de ne pas recouvrer</w:t>
      </w:r>
      <w:r w:rsidR="00C34D0E">
        <w:rPr>
          <w:rFonts w:eastAsia="Times New Roman" w:cs="Arial"/>
          <w:sz w:val="22"/>
          <w:lang w:eastAsia="fr-FR"/>
        </w:rPr>
        <w:t xml:space="preserve"> la créance</w:t>
      </w:r>
      <w:r>
        <w:rPr>
          <w:rFonts w:eastAsia="Times New Roman" w:cs="Arial"/>
          <w:sz w:val="22"/>
          <w:lang w:eastAsia="fr-FR"/>
        </w:rPr>
        <w:t xml:space="preserve"> est inopérante pour caractériser le préjudice financier</w:t>
      </w:r>
      <w:r w:rsidR="004B39B0">
        <w:rPr>
          <w:rFonts w:eastAsia="Times New Roman" w:cs="Arial"/>
          <w:sz w:val="22"/>
          <w:lang w:eastAsia="fr-FR"/>
        </w:rPr>
        <w:t> ;</w:t>
      </w:r>
    </w:p>
    <w:p w:rsidR="008B5793" w:rsidRPr="002478DF" w:rsidRDefault="008B5793" w:rsidP="008B5793">
      <w:pPr>
        <w:tabs>
          <w:tab w:val="center" w:pos="4536"/>
          <w:tab w:val="right" w:pos="9072"/>
        </w:tabs>
        <w:spacing w:line="240" w:lineRule="auto"/>
        <w:jc w:val="both"/>
        <w:rPr>
          <w:rFonts w:eastAsia="Times New Roman" w:cs="Arial"/>
          <w:sz w:val="22"/>
          <w:lang w:eastAsia="fr-FR"/>
        </w:rPr>
      </w:pPr>
    </w:p>
    <w:p w:rsidR="004B39B0" w:rsidRDefault="000B46DE" w:rsidP="004B39B0">
      <w:pPr>
        <w:tabs>
          <w:tab w:val="center" w:pos="4536"/>
          <w:tab w:val="right" w:pos="9072"/>
        </w:tabs>
        <w:spacing w:after="120" w:line="240" w:lineRule="auto"/>
        <w:jc w:val="both"/>
        <w:rPr>
          <w:rFonts w:eastAsia="Times New Roman" w:cs="Arial"/>
          <w:sz w:val="22"/>
          <w:lang w:eastAsia="fr-FR"/>
        </w:rPr>
      </w:pPr>
      <w:r w:rsidRPr="00F70CB0">
        <w:rPr>
          <w:rFonts w:eastAsia="Times New Roman" w:cs="Arial"/>
          <w:sz w:val="22"/>
          <w:lang w:eastAsia="fr-FR"/>
        </w:rPr>
        <w:t>Attendu que l’absence de diligences de recouvrement</w:t>
      </w:r>
      <w:r w:rsidR="007B0E18" w:rsidRPr="00F70CB0">
        <w:rPr>
          <w:rFonts w:eastAsia="Times New Roman" w:cs="Arial"/>
          <w:sz w:val="22"/>
          <w:lang w:eastAsia="fr-FR"/>
        </w:rPr>
        <w:t xml:space="preserve"> </w:t>
      </w:r>
      <w:r w:rsidRPr="00F70CB0">
        <w:rPr>
          <w:rFonts w:eastAsia="Times New Roman" w:cs="Arial"/>
          <w:sz w:val="22"/>
          <w:lang w:eastAsia="fr-FR"/>
        </w:rPr>
        <w:t>doit être regardée</w:t>
      </w:r>
      <w:r w:rsidR="009B6D50" w:rsidRPr="00F70CB0">
        <w:rPr>
          <w:rFonts w:eastAsia="Times New Roman" w:cs="Arial"/>
          <w:sz w:val="22"/>
          <w:lang w:eastAsia="fr-FR"/>
        </w:rPr>
        <w:t xml:space="preserve"> comme n’ayant pas pu prévenir la survenance du préjudice financier</w:t>
      </w:r>
      <w:r w:rsidR="000B54EB" w:rsidRPr="00F70CB0">
        <w:rPr>
          <w:rFonts w:eastAsia="Times New Roman" w:cs="Arial"/>
          <w:sz w:val="22"/>
          <w:lang w:eastAsia="fr-FR"/>
        </w:rPr>
        <w:t xml:space="preserve"> consistant en la perte en recettes du montant de la créance de l’établissement à l’égard de l’association et rendu définitif par la prise en charge irrégulière de son mandat d’annulation</w:t>
      </w:r>
      <w:r w:rsidR="004B39B0">
        <w:rPr>
          <w:rFonts w:eastAsia="Times New Roman" w:cs="Arial"/>
          <w:sz w:val="22"/>
          <w:lang w:eastAsia="fr-FR"/>
        </w:rPr>
        <w:t> ;</w:t>
      </w:r>
      <w:r w:rsidR="009B6D50" w:rsidRPr="00F70CB0">
        <w:rPr>
          <w:rFonts w:eastAsia="Times New Roman" w:cs="Arial"/>
          <w:sz w:val="22"/>
          <w:lang w:eastAsia="fr-FR"/>
        </w:rPr>
        <w:t xml:space="preserve"> que dès lors, la responsabilité personnelle et pécuniaire de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sidR="009B6D50" w:rsidRPr="00F70CB0">
        <w:rPr>
          <w:rFonts w:eastAsia="Times New Roman" w:cs="Arial"/>
          <w:sz w:val="22"/>
          <w:lang w:eastAsia="fr-FR"/>
        </w:rPr>
        <w:t xml:space="preserve"> </w:t>
      </w:r>
      <w:r w:rsidR="000B54EB" w:rsidRPr="00F70CB0">
        <w:rPr>
          <w:rFonts w:eastAsia="Times New Roman" w:cs="Arial"/>
          <w:sz w:val="22"/>
          <w:lang w:eastAsia="fr-FR"/>
        </w:rPr>
        <w:t>est</w:t>
      </w:r>
      <w:r w:rsidR="009B6D50" w:rsidRPr="00F70CB0">
        <w:rPr>
          <w:rFonts w:eastAsia="Times New Roman" w:cs="Arial"/>
          <w:sz w:val="22"/>
          <w:lang w:eastAsia="fr-FR"/>
        </w:rPr>
        <w:t xml:space="preserve"> engagée du fait de ce</w:t>
      </w:r>
      <w:r w:rsidR="000B54EB" w:rsidRPr="00F70CB0">
        <w:rPr>
          <w:rFonts w:eastAsia="Times New Roman" w:cs="Arial"/>
          <w:sz w:val="22"/>
          <w:lang w:eastAsia="fr-FR"/>
        </w:rPr>
        <w:t>tte absence de diligences ;</w:t>
      </w:r>
    </w:p>
    <w:p w:rsidR="007B0E18" w:rsidRPr="002478DF" w:rsidRDefault="007B0E18" w:rsidP="004B39B0">
      <w:pPr>
        <w:tabs>
          <w:tab w:val="center" w:pos="4536"/>
          <w:tab w:val="right" w:pos="9072"/>
        </w:tabs>
        <w:spacing w:after="120"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w:t>
      </w:r>
      <w:r w:rsidR="000B54EB">
        <w:rPr>
          <w:rFonts w:eastAsia="Times New Roman" w:cs="Arial"/>
          <w:sz w:val="22"/>
          <w:lang w:eastAsia="fr-FR"/>
        </w:rPr>
        <w:t>ce</w:t>
      </w:r>
      <w:r w:rsidR="000B54EB" w:rsidRPr="002478DF">
        <w:rPr>
          <w:rFonts w:eastAsia="Times New Roman" w:cs="Arial"/>
          <w:sz w:val="22"/>
          <w:lang w:eastAsia="fr-FR"/>
        </w:rPr>
        <w:t xml:space="preserve"> </w:t>
      </w:r>
      <w:r w:rsidRPr="002478DF">
        <w:rPr>
          <w:rFonts w:eastAsia="Times New Roman" w:cs="Arial"/>
          <w:sz w:val="22"/>
          <w:lang w:eastAsia="fr-FR"/>
        </w:rPr>
        <w:t>manquement d</w:t>
      </w:r>
      <w:r>
        <w:rPr>
          <w:rFonts w:eastAsia="Times New Roman" w:cs="Arial"/>
          <w:sz w:val="22"/>
          <w:lang w:eastAsia="fr-FR"/>
        </w:rPr>
        <w:t>e la</w:t>
      </w:r>
      <w:r w:rsidRPr="002478DF">
        <w:rPr>
          <w:rFonts w:eastAsia="Times New Roman" w:cs="Arial"/>
          <w:sz w:val="22"/>
          <w:lang w:eastAsia="fr-FR"/>
        </w:rPr>
        <w:t xml:space="preserve"> comptable </w:t>
      </w:r>
      <w:r>
        <w:rPr>
          <w:rFonts w:eastAsia="Times New Roman" w:cs="Arial"/>
          <w:sz w:val="22"/>
          <w:lang w:eastAsia="fr-FR"/>
        </w:rPr>
        <w:t>a ainsi</w:t>
      </w:r>
      <w:r w:rsidRPr="002478DF">
        <w:rPr>
          <w:rFonts w:eastAsia="Times New Roman" w:cs="Arial"/>
          <w:sz w:val="22"/>
          <w:lang w:eastAsia="fr-FR"/>
        </w:rPr>
        <w:t xml:space="preserve"> causé un préjudice financier, au sens des dispositions du troisième alinéa du paragraphe VI de l’article 60 de la loi du 23 février susvisée, à </w:t>
      </w:r>
      <w:r>
        <w:rPr>
          <w:rFonts w:eastAsia="Times New Roman" w:cs="Arial"/>
          <w:sz w:val="22"/>
          <w:lang w:eastAsia="fr-FR"/>
        </w:rPr>
        <w:t>l’INPES</w:t>
      </w:r>
      <w:r w:rsidR="004B39B0">
        <w:rPr>
          <w:rFonts w:eastAsia="Times New Roman" w:cs="Arial"/>
          <w:sz w:val="22"/>
          <w:lang w:eastAsia="fr-FR"/>
        </w:rPr>
        <w:t> ;</w:t>
      </w:r>
    </w:p>
    <w:p w:rsidR="007B0E18" w:rsidRDefault="007B0E18" w:rsidP="00AC461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qu’aux termes du même article, «</w:t>
      </w:r>
      <w:r w:rsidR="004B39B0">
        <w:rPr>
          <w:rFonts w:eastAsia="Times New Roman" w:cs="Arial"/>
          <w:sz w:val="22"/>
          <w:lang w:eastAsia="fr-FR"/>
        </w:rPr>
        <w:t> </w:t>
      </w:r>
      <w:r w:rsidRPr="002478DF">
        <w:rPr>
          <w:rFonts w:eastAsia="Times New Roman" w:cs="Arial"/>
          <w:sz w:val="22"/>
          <w:lang w:eastAsia="fr-FR"/>
        </w:rPr>
        <w:t>lorsque le manquement du comptable […] a causé un préjudice financier à l’organisme public concerné (ou l’État) […],</w:t>
      </w:r>
      <w:r>
        <w:rPr>
          <w:rFonts w:eastAsia="Times New Roman" w:cs="Arial"/>
          <w:sz w:val="22"/>
          <w:lang w:eastAsia="fr-FR"/>
        </w:rPr>
        <w:t xml:space="preserve"> </w:t>
      </w:r>
      <w:r w:rsidRPr="002478DF">
        <w:rPr>
          <w:rFonts w:eastAsia="Times New Roman" w:cs="Arial"/>
          <w:sz w:val="22"/>
          <w:lang w:eastAsia="fr-FR"/>
        </w:rPr>
        <w:t>le comptable a l’obligation de verser immédiatement de ses deniers perso</w:t>
      </w:r>
      <w:r>
        <w:rPr>
          <w:rFonts w:eastAsia="Times New Roman" w:cs="Arial"/>
          <w:sz w:val="22"/>
          <w:lang w:eastAsia="fr-FR"/>
        </w:rPr>
        <w:t>nnels la somme correspondante » ;</w:t>
      </w:r>
    </w:p>
    <w:p w:rsidR="007B0E18" w:rsidRDefault="007B0E18" w:rsidP="007B0E18">
      <w:pPr>
        <w:tabs>
          <w:tab w:val="center" w:pos="4536"/>
          <w:tab w:val="right" w:pos="9072"/>
        </w:tabs>
        <w:spacing w:line="240" w:lineRule="auto"/>
        <w:jc w:val="both"/>
        <w:rPr>
          <w:rFonts w:eastAsia="Times New Roman" w:cs="Arial"/>
          <w:sz w:val="22"/>
          <w:lang w:eastAsia="fr-FR"/>
        </w:rPr>
      </w:pPr>
    </w:p>
    <w:p w:rsidR="000B54EB" w:rsidRDefault="000B54EB" w:rsidP="007B0E18">
      <w:pPr>
        <w:tabs>
          <w:tab w:val="center" w:pos="4536"/>
          <w:tab w:val="right" w:pos="9072"/>
        </w:tabs>
        <w:spacing w:line="240" w:lineRule="auto"/>
        <w:jc w:val="both"/>
        <w:rPr>
          <w:rFonts w:eastAsia="Times New Roman" w:cs="Arial"/>
          <w:sz w:val="22"/>
          <w:lang w:eastAsia="fr-FR"/>
        </w:rPr>
      </w:pPr>
    </w:p>
    <w:p w:rsidR="000B54EB" w:rsidRDefault="000B54EB" w:rsidP="000B54EB">
      <w:pPr>
        <w:tabs>
          <w:tab w:val="center" w:pos="4536"/>
          <w:tab w:val="right" w:pos="9072"/>
        </w:tabs>
        <w:spacing w:line="240" w:lineRule="auto"/>
        <w:jc w:val="both"/>
        <w:rPr>
          <w:rFonts w:eastAsia="Times New Roman" w:cs="Arial"/>
          <w:b/>
          <w:i/>
          <w:sz w:val="22"/>
          <w:lang w:eastAsia="fr-FR"/>
        </w:rPr>
      </w:pPr>
      <w:r w:rsidRPr="002478DF">
        <w:rPr>
          <w:rFonts w:eastAsia="Times New Roman" w:cs="Arial"/>
          <w:b/>
          <w:i/>
          <w:sz w:val="22"/>
          <w:lang w:eastAsia="fr-FR"/>
        </w:rPr>
        <w:t xml:space="preserve">Sur la </w:t>
      </w:r>
      <w:r>
        <w:rPr>
          <w:rFonts w:eastAsia="Times New Roman" w:cs="Arial"/>
          <w:b/>
          <w:i/>
          <w:sz w:val="22"/>
          <w:lang w:eastAsia="fr-FR"/>
        </w:rPr>
        <w:t xml:space="preserve">responsabilité personnelle et pécuniaire de l’agent comptable au titre des deux </w:t>
      </w:r>
      <w:r w:rsidRPr="002478DF">
        <w:rPr>
          <w:rFonts w:eastAsia="Times New Roman" w:cs="Arial"/>
          <w:b/>
          <w:i/>
          <w:sz w:val="22"/>
          <w:lang w:eastAsia="fr-FR"/>
        </w:rPr>
        <w:t>présomption</w:t>
      </w:r>
      <w:r>
        <w:rPr>
          <w:rFonts w:eastAsia="Times New Roman" w:cs="Arial"/>
          <w:b/>
          <w:i/>
          <w:sz w:val="22"/>
          <w:lang w:eastAsia="fr-FR"/>
        </w:rPr>
        <w:t xml:space="preserve">s de charges </w:t>
      </w:r>
      <w:r w:rsidRPr="002478DF">
        <w:rPr>
          <w:rFonts w:eastAsia="Times New Roman" w:cs="Arial"/>
          <w:b/>
          <w:i/>
          <w:sz w:val="22"/>
          <w:lang w:eastAsia="fr-FR"/>
        </w:rPr>
        <w:t>:</w:t>
      </w:r>
    </w:p>
    <w:p w:rsidR="00AC461E" w:rsidRDefault="00AC461E" w:rsidP="000B54EB">
      <w:pPr>
        <w:tabs>
          <w:tab w:val="center" w:pos="4536"/>
          <w:tab w:val="right" w:pos="9072"/>
        </w:tabs>
        <w:spacing w:line="240" w:lineRule="auto"/>
        <w:jc w:val="both"/>
        <w:rPr>
          <w:rFonts w:eastAsia="Times New Roman" w:cs="Arial"/>
          <w:b/>
          <w:i/>
          <w:sz w:val="22"/>
          <w:lang w:eastAsia="fr-FR"/>
        </w:rPr>
      </w:pPr>
    </w:p>
    <w:p w:rsidR="000B54EB" w:rsidRPr="00C13095" w:rsidRDefault="000B54EB" w:rsidP="00E42F62">
      <w:pPr>
        <w:tabs>
          <w:tab w:val="center" w:pos="4536"/>
          <w:tab w:val="right" w:pos="9072"/>
        </w:tabs>
        <w:spacing w:before="120" w:line="240" w:lineRule="auto"/>
        <w:jc w:val="both"/>
        <w:rPr>
          <w:rFonts w:eastAsia="Times New Roman" w:cs="Arial"/>
          <w:sz w:val="22"/>
          <w:lang w:eastAsia="fr-FR"/>
        </w:rPr>
      </w:pPr>
      <w:r w:rsidRPr="00F70CB0">
        <w:rPr>
          <w:rFonts w:eastAsia="Times New Roman" w:cs="Arial"/>
          <w:sz w:val="22"/>
          <w:lang w:eastAsia="fr-FR"/>
        </w:rPr>
        <w:t xml:space="preserve">Attendu que l’absence de diligences de recouvrement et la prise en charge de l’annulation irrégulière du même titre de créance constituent, en l’espèce, deux manquements ayant causé un même préjudice financier ; qu’il n’y a pas lieu de condamner deux fois l’agent comptable pour un même préjudice financier, celui-ci étant réputé réparé dès lors qu’un débet unique serait apuré ; qu’il y a dès lors lieu de confondre les deux débets en constituant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sidRPr="00F70CB0">
        <w:rPr>
          <w:rFonts w:eastAsia="Times New Roman" w:cs="Arial"/>
          <w:sz w:val="22"/>
          <w:lang w:eastAsia="fr-FR"/>
        </w:rPr>
        <w:t xml:space="preserve"> débitrice </w:t>
      </w:r>
      <w:r w:rsidR="003C5337" w:rsidRPr="00F70CB0">
        <w:rPr>
          <w:rFonts w:eastAsia="Times New Roman" w:cs="Arial"/>
          <w:sz w:val="22"/>
          <w:lang w:eastAsia="fr-FR"/>
        </w:rPr>
        <w:t xml:space="preserve">de </w:t>
      </w:r>
      <w:r w:rsidRPr="00F70CB0">
        <w:rPr>
          <w:rFonts w:eastAsia="Times New Roman" w:cs="Arial"/>
          <w:sz w:val="22"/>
          <w:lang w:eastAsia="fr-FR"/>
        </w:rPr>
        <w:t>l’INPES pour la somme de 6</w:t>
      </w:r>
      <w:r w:rsidR="00CA5A34" w:rsidRPr="00F70CB0">
        <w:rPr>
          <w:rFonts w:eastAsia="Times New Roman" w:cs="Arial"/>
          <w:sz w:val="22"/>
          <w:lang w:eastAsia="fr-FR"/>
        </w:rPr>
        <w:t xml:space="preserve"> </w:t>
      </w:r>
      <w:r w:rsidRPr="00F70CB0">
        <w:rPr>
          <w:rFonts w:eastAsia="Times New Roman" w:cs="Arial"/>
          <w:sz w:val="22"/>
          <w:lang w:eastAsia="fr-FR"/>
        </w:rPr>
        <w:t>376,80 € ;</w:t>
      </w:r>
    </w:p>
    <w:p w:rsidR="000C147C" w:rsidRDefault="000C147C" w:rsidP="00DE665C">
      <w:pPr>
        <w:tabs>
          <w:tab w:val="center" w:pos="4536"/>
          <w:tab w:val="right" w:pos="9072"/>
        </w:tabs>
        <w:spacing w:line="240" w:lineRule="auto"/>
        <w:jc w:val="both"/>
        <w:rPr>
          <w:rFonts w:eastAsia="Times New Roman" w:cs="Arial"/>
          <w:sz w:val="22"/>
          <w:lang w:eastAsia="fr-FR"/>
        </w:rPr>
      </w:pPr>
    </w:p>
    <w:p w:rsidR="00475B74" w:rsidRDefault="00475B74" w:rsidP="004B39B0">
      <w:pPr>
        <w:tabs>
          <w:tab w:val="center" w:pos="4536"/>
          <w:tab w:val="right" w:pos="9072"/>
        </w:tabs>
        <w:spacing w:after="120" w:line="240" w:lineRule="auto"/>
        <w:jc w:val="both"/>
        <w:rPr>
          <w:rFonts w:eastAsia="Times New Roman" w:cs="Arial"/>
          <w:sz w:val="22"/>
          <w:lang w:eastAsia="fr-FR"/>
        </w:rPr>
      </w:pPr>
      <w:r w:rsidRPr="00DA18C5">
        <w:rPr>
          <w:rFonts w:eastAsia="Times New Roman" w:cs="Arial"/>
          <w:sz w:val="22"/>
          <w:lang w:eastAsia="fr-FR"/>
        </w:rPr>
        <w:lastRenderedPageBreak/>
        <w:t>Attendu</w:t>
      </w:r>
      <w:r w:rsidRPr="002478DF">
        <w:rPr>
          <w:rFonts w:eastAsia="Times New Roman" w:cs="Arial"/>
          <w:sz w:val="22"/>
          <w:lang w:eastAsia="fr-FR"/>
        </w:rPr>
        <w:t xml:space="preserve"> qu’aux termes du paragraphe VIII de l’article 60 de la loi du 23 février 1963 précitée, «</w:t>
      </w:r>
      <w:r w:rsidR="004B39B0">
        <w:rPr>
          <w:rFonts w:eastAsia="Times New Roman" w:cs="Arial"/>
          <w:sz w:val="22"/>
          <w:lang w:eastAsia="fr-FR"/>
        </w:rPr>
        <w:t> </w:t>
      </w:r>
      <w:r w:rsidRPr="002478DF">
        <w:rPr>
          <w:rFonts w:eastAsia="Times New Roman" w:cs="Arial"/>
          <w:sz w:val="22"/>
          <w:lang w:eastAsia="fr-FR"/>
        </w:rPr>
        <w:t>les débets portent intérêt au taux légal à compter du premier acte de la mise en jeu de la responsabilité personnelle et pécuniaire des comptables publics</w:t>
      </w:r>
      <w:r w:rsidR="004B39B0">
        <w:rPr>
          <w:rFonts w:eastAsia="Times New Roman" w:cs="Arial"/>
          <w:sz w:val="22"/>
          <w:lang w:eastAsia="fr-FR"/>
        </w:rPr>
        <w:t> </w:t>
      </w:r>
      <w:r w:rsidRPr="002478DF">
        <w:rPr>
          <w:rFonts w:eastAsia="Times New Roman" w:cs="Arial"/>
          <w:sz w:val="22"/>
          <w:lang w:eastAsia="fr-FR"/>
        </w:rPr>
        <w:t>»</w:t>
      </w:r>
      <w:r w:rsidR="004B39B0">
        <w:rPr>
          <w:rFonts w:eastAsia="Times New Roman" w:cs="Arial"/>
          <w:sz w:val="22"/>
          <w:lang w:eastAsia="fr-FR"/>
        </w:rPr>
        <w:t> </w:t>
      </w:r>
      <w:r w:rsidRPr="002478DF">
        <w:rPr>
          <w:rFonts w:eastAsia="Times New Roman" w:cs="Arial"/>
          <w:sz w:val="22"/>
          <w:lang w:eastAsia="fr-FR"/>
        </w:rPr>
        <w:t xml:space="preserve">; qu’en l’espèce, </w:t>
      </w:r>
      <w:r w:rsidR="00AC461E">
        <w:rPr>
          <w:rFonts w:eastAsia="Times New Roman" w:cs="Arial"/>
          <w:sz w:val="22"/>
          <w:lang w:eastAsia="fr-FR"/>
        </w:rPr>
        <w:t xml:space="preserve">cette date est le </w:t>
      </w:r>
      <w:r w:rsidR="00B220FB">
        <w:rPr>
          <w:rFonts w:eastAsia="Times New Roman" w:cs="Arial"/>
          <w:sz w:val="22"/>
          <w:lang w:eastAsia="fr-FR"/>
        </w:rPr>
        <w:t>4</w:t>
      </w:r>
      <w:r w:rsidR="00AC461E">
        <w:rPr>
          <w:rFonts w:eastAsia="Times New Roman" w:cs="Arial"/>
          <w:sz w:val="22"/>
          <w:lang w:eastAsia="fr-FR"/>
        </w:rPr>
        <w:t xml:space="preserve"> mars 2014</w:t>
      </w:r>
      <w:r>
        <w:rPr>
          <w:rFonts w:eastAsia="Times New Roman" w:cs="Arial"/>
          <w:sz w:val="22"/>
          <w:lang w:eastAsia="fr-FR"/>
        </w:rPr>
        <w:t xml:space="preserve">, date de réception du réquisitoire par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sidR="000B54EB">
        <w:rPr>
          <w:rFonts w:eastAsia="Times New Roman" w:cs="Arial"/>
          <w:sz w:val="22"/>
          <w:lang w:eastAsia="fr-FR"/>
        </w:rPr>
        <w:t>;</w:t>
      </w:r>
    </w:p>
    <w:p w:rsidR="00AC461E" w:rsidRDefault="00095B01" w:rsidP="00DE665C">
      <w:pPr>
        <w:tabs>
          <w:tab w:val="center" w:pos="4536"/>
          <w:tab w:val="right" w:pos="9072"/>
        </w:tabs>
        <w:spacing w:line="240" w:lineRule="auto"/>
        <w:jc w:val="both"/>
        <w:rPr>
          <w:rFonts w:eastAsia="Times New Roman" w:cs="Arial"/>
          <w:sz w:val="22"/>
          <w:lang w:eastAsia="fr-FR"/>
        </w:rPr>
      </w:pPr>
      <w:r w:rsidRPr="00095B01">
        <w:rPr>
          <w:rFonts w:eastAsia="Times New Roman" w:cs="Arial"/>
          <w:bCs/>
          <w:sz w:val="22"/>
          <w:lang w:eastAsia="fr-FR"/>
        </w:rPr>
        <w:t xml:space="preserve">Attendu que, par l’effet de la prescription édictée par l’article 60 de la loi du 23 février 1963 susvisée, la responsabilité du comptable ne peut plus être recherchée au titre des exercices </w:t>
      </w:r>
      <w:r>
        <w:rPr>
          <w:rFonts w:eastAsia="Times New Roman" w:cs="Arial"/>
          <w:bCs/>
          <w:sz w:val="22"/>
          <w:lang w:eastAsia="fr-FR"/>
        </w:rPr>
        <w:t>2005</w:t>
      </w:r>
      <w:r w:rsidRPr="00095B01">
        <w:rPr>
          <w:rFonts w:eastAsia="Times New Roman" w:cs="Arial"/>
          <w:bCs/>
          <w:sz w:val="22"/>
          <w:lang w:eastAsia="fr-FR"/>
        </w:rPr>
        <w:t xml:space="preserve"> à</w:t>
      </w:r>
      <w:r>
        <w:rPr>
          <w:rFonts w:eastAsia="Times New Roman" w:cs="Arial"/>
          <w:bCs/>
          <w:sz w:val="22"/>
          <w:lang w:eastAsia="fr-FR"/>
        </w:rPr>
        <w:t xml:space="preserve"> 2007</w:t>
      </w:r>
      <w:r w:rsidRPr="00095B01">
        <w:rPr>
          <w:rFonts w:eastAsia="Times New Roman" w:cs="Arial"/>
          <w:bCs/>
          <w:sz w:val="22"/>
          <w:lang w:eastAsia="fr-FR"/>
        </w:rPr>
        <w:t>, produits à la Cour avant le 1</w:t>
      </w:r>
      <w:r w:rsidRPr="004B39B0">
        <w:rPr>
          <w:rFonts w:eastAsia="Times New Roman" w:cs="Arial"/>
          <w:bCs/>
          <w:sz w:val="22"/>
          <w:vertAlign w:val="superscript"/>
          <w:lang w:eastAsia="fr-FR"/>
        </w:rPr>
        <w:t>er</w:t>
      </w:r>
      <w:r w:rsidRPr="00095B01">
        <w:rPr>
          <w:rFonts w:eastAsia="Times New Roman" w:cs="Arial"/>
          <w:bCs/>
          <w:sz w:val="22"/>
          <w:lang w:eastAsia="fr-FR"/>
        </w:rPr>
        <w:t xml:space="preserve"> janvier</w:t>
      </w:r>
      <w:r>
        <w:rPr>
          <w:rFonts w:eastAsia="Times New Roman" w:cs="Arial"/>
          <w:bCs/>
          <w:sz w:val="22"/>
          <w:lang w:eastAsia="fr-FR"/>
        </w:rPr>
        <w:t xml:space="preserve"> 2015</w:t>
      </w:r>
      <w:r w:rsidRPr="00095B01">
        <w:rPr>
          <w:rFonts w:eastAsia="Times New Roman" w:cs="Arial"/>
          <w:bCs/>
          <w:sz w:val="22"/>
          <w:lang w:eastAsia="fr-FR"/>
        </w:rPr>
        <w:t xml:space="preserve"> ; </w:t>
      </w:r>
    </w:p>
    <w:p w:rsidR="004B39B0" w:rsidRDefault="004B39B0" w:rsidP="004B39B0">
      <w:pPr>
        <w:tabs>
          <w:tab w:val="center" w:pos="4536"/>
          <w:tab w:val="right" w:pos="9072"/>
        </w:tabs>
        <w:spacing w:line="240" w:lineRule="auto"/>
        <w:jc w:val="center"/>
        <w:rPr>
          <w:rFonts w:eastAsia="Times New Roman" w:cs="Arial"/>
          <w:sz w:val="22"/>
          <w:lang w:eastAsia="fr-FR"/>
        </w:rPr>
      </w:pPr>
    </w:p>
    <w:p w:rsidR="004B39B0" w:rsidRDefault="004B39B0" w:rsidP="004B39B0">
      <w:pPr>
        <w:tabs>
          <w:tab w:val="center" w:pos="4536"/>
          <w:tab w:val="right" w:pos="9072"/>
        </w:tabs>
        <w:spacing w:line="240" w:lineRule="auto"/>
        <w:jc w:val="center"/>
        <w:rPr>
          <w:rFonts w:eastAsia="Times New Roman" w:cs="Arial"/>
          <w:sz w:val="22"/>
          <w:lang w:eastAsia="fr-FR"/>
        </w:rPr>
      </w:pPr>
    </w:p>
    <w:p w:rsidR="004B39B0" w:rsidRDefault="004B39B0" w:rsidP="004B39B0">
      <w:pPr>
        <w:tabs>
          <w:tab w:val="center" w:pos="4536"/>
          <w:tab w:val="right" w:pos="9072"/>
        </w:tabs>
        <w:spacing w:line="240" w:lineRule="auto"/>
        <w:jc w:val="center"/>
        <w:rPr>
          <w:rFonts w:eastAsia="Times New Roman" w:cs="Arial"/>
          <w:sz w:val="22"/>
          <w:lang w:eastAsia="fr-FR"/>
        </w:rPr>
      </w:pPr>
      <w:r w:rsidRPr="00C13095">
        <w:rPr>
          <w:rFonts w:eastAsia="Times New Roman" w:cs="Arial"/>
          <w:sz w:val="22"/>
          <w:lang w:eastAsia="fr-FR"/>
        </w:rPr>
        <w:t>DÉCIDE :</w:t>
      </w:r>
    </w:p>
    <w:p w:rsidR="00AC461E" w:rsidRPr="00C13095" w:rsidRDefault="00AC461E" w:rsidP="00DE665C">
      <w:pPr>
        <w:tabs>
          <w:tab w:val="center" w:pos="4536"/>
          <w:tab w:val="right" w:pos="9072"/>
        </w:tabs>
        <w:spacing w:line="240" w:lineRule="auto"/>
        <w:jc w:val="both"/>
        <w:rPr>
          <w:rFonts w:eastAsia="Times New Roman" w:cs="Arial"/>
          <w:sz w:val="22"/>
          <w:lang w:eastAsia="fr-FR"/>
        </w:rPr>
      </w:pPr>
    </w:p>
    <w:p w:rsidR="008B5793" w:rsidRDefault="008B5793" w:rsidP="004E5FBB">
      <w:pPr>
        <w:tabs>
          <w:tab w:val="center" w:pos="4536"/>
          <w:tab w:val="right" w:pos="9072"/>
        </w:tabs>
        <w:spacing w:line="240" w:lineRule="auto"/>
        <w:jc w:val="both"/>
        <w:rPr>
          <w:rFonts w:eastAsia="Times New Roman" w:cs="Arial"/>
          <w:sz w:val="22"/>
          <w:lang w:eastAsia="fr-FR"/>
        </w:rPr>
      </w:pPr>
    </w:p>
    <w:p w:rsidR="004E5FBB" w:rsidRPr="002478DF" w:rsidRDefault="004E5FBB" w:rsidP="004E5FBB">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Article 1</w:t>
      </w:r>
      <w:r w:rsidRPr="004B39B0">
        <w:rPr>
          <w:rFonts w:eastAsia="Times New Roman" w:cs="Arial"/>
          <w:b/>
          <w:sz w:val="22"/>
          <w:u w:val="single"/>
          <w:vertAlign w:val="superscript"/>
          <w:lang w:eastAsia="fr-FR"/>
        </w:rPr>
        <w:t>er</w:t>
      </w:r>
      <w:r w:rsidRPr="002478DF">
        <w:rPr>
          <w:rFonts w:eastAsia="Times New Roman" w:cs="Arial"/>
          <w:sz w:val="22"/>
          <w:lang w:eastAsia="fr-FR"/>
        </w:rPr>
        <w:t xml:space="preserve"> : En ce qui concerne </w:t>
      </w:r>
      <w:r w:rsidR="00AA72D9">
        <w:rPr>
          <w:rFonts w:eastAsia="Times New Roman" w:cs="Arial"/>
          <w:sz w:val="22"/>
          <w:lang w:eastAsia="fr-FR"/>
        </w:rPr>
        <w:t>M. Y</w:t>
      </w:r>
    </w:p>
    <w:p w:rsidR="004E5FBB" w:rsidRDefault="004E5FBB" w:rsidP="004E5FBB">
      <w:pPr>
        <w:tabs>
          <w:tab w:val="center" w:pos="4536"/>
          <w:tab w:val="right" w:pos="9072"/>
        </w:tabs>
        <w:spacing w:line="240" w:lineRule="auto"/>
        <w:jc w:val="both"/>
        <w:rPr>
          <w:rFonts w:eastAsia="Times New Roman" w:cs="Arial"/>
          <w:sz w:val="22"/>
          <w:lang w:eastAsia="fr-FR"/>
        </w:rPr>
      </w:pPr>
    </w:p>
    <w:p w:rsidR="004E5FBB" w:rsidRPr="002478DF" w:rsidRDefault="00AA72D9" w:rsidP="004E5FBB">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M. Y</w:t>
      </w:r>
      <w:r w:rsidR="004E5FBB" w:rsidRPr="002478DF">
        <w:rPr>
          <w:rFonts w:eastAsia="Times New Roman" w:cs="Arial"/>
          <w:sz w:val="22"/>
          <w:lang w:eastAsia="fr-FR"/>
        </w:rPr>
        <w:t xml:space="preserve"> est </w:t>
      </w:r>
      <w:r w:rsidR="00095B01">
        <w:rPr>
          <w:rFonts w:eastAsia="Times New Roman" w:cs="Arial"/>
          <w:sz w:val="22"/>
          <w:lang w:eastAsia="fr-FR"/>
        </w:rPr>
        <w:t xml:space="preserve">déchargé, par l’effet de la loi, de sa gestion pour l’exercice 2005 et </w:t>
      </w:r>
      <w:r w:rsidR="004E5FBB" w:rsidRPr="002478DF">
        <w:rPr>
          <w:rFonts w:eastAsia="Times New Roman" w:cs="Arial"/>
          <w:sz w:val="22"/>
          <w:lang w:eastAsia="fr-FR"/>
        </w:rPr>
        <w:t>déclaré quitte et li</w:t>
      </w:r>
      <w:r w:rsidR="004D3C27">
        <w:rPr>
          <w:rFonts w:eastAsia="Times New Roman" w:cs="Arial"/>
          <w:sz w:val="22"/>
          <w:lang w:eastAsia="fr-FR"/>
        </w:rPr>
        <w:t>béré de sa gestion terminée au 8 mars 2005</w:t>
      </w:r>
      <w:r w:rsidR="004E5FBB" w:rsidRPr="002478DF">
        <w:rPr>
          <w:rFonts w:eastAsia="Times New Roman" w:cs="Arial"/>
          <w:sz w:val="22"/>
          <w:lang w:eastAsia="fr-FR"/>
        </w:rPr>
        <w:t xml:space="preserve">. </w:t>
      </w:r>
    </w:p>
    <w:p w:rsidR="004E5FBB" w:rsidRPr="002478DF" w:rsidRDefault="004E5FBB" w:rsidP="004E5FBB">
      <w:pPr>
        <w:tabs>
          <w:tab w:val="center" w:pos="4536"/>
          <w:tab w:val="right" w:pos="9072"/>
        </w:tabs>
        <w:spacing w:line="240" w:lineRule="auto"/>
        <w:jc w:val="both"/>
        <w:rPr>
          <w:rFonts w:eastAsia="Times New Roman" w:cs="Arial"/>
          <w:sz w:val="22"/>
          <w:lang w:eastAsia="fr-FR"/>
        </w:rPr>
      </w:pPr>
    </w:p>
    <w:p w:rsidR="004E5FBB" w:rsidRPr="002478DF" w:rsidRDefault="004E5FBB" w:rsidP="004E5FBB">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4E5FBB" w:rsidRDefault="004E5FBB" w:rsidP="00DE665C">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 xml:space="preserve">Article </w:t>
      </w:r>
      <w:r w:rsidR="004E5FBB" w:rsidRPr="004B39B0">
        <w:rPr>
          <w:rFonts w:eastAsia="Times New Roman" w:cs="Arial"/>
          <w:b/>
          <w:sz w:val="22"/>
          <w:u w:val="single"/>
          <w:lang w:eastAsia="fr-FR"/>
        </w:rPr>
        <w:t>2</w:t>
      </w:r>
      <w:r w:rsidRPr="002478DF">
        <w:rPr>
          <w:rFonts w:eastAsia="Times New Roman" w:cs="Arial"/>
          <w:sz w:val="22"/>
          <w:lang w:eastAsia="fr-FR"/>
        </w:rPr>
        <w:t xml:space="preserve"> : En ce qui concerne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sidRPr="002478DF">
        <w:rPr>
          <w:rFonts w:eastAsia="Times New Roman" w:cs="Arial"/>
          <w:sz w:val="22"/>
          <w:lang w:eastAsia="fr-FR"/>
        </w:rPr>
        <w:t xml:space="preserve"> </w:t>
      </w:r>
    </w:p>
    <w:p w:rsidR="004E5FBB" w:rsidRPr="002478DF" w:rsidRDefault="004E5FBB" w:rsidP="004E5FBB">
      <w:pPr>
        <w:tabs>
          <w:tab w:val="center" w:pos="4536"/>
          <w:tab w:val="right" w:pos="9072"/>
        </w:tabs>
        <w:spacing w:line="240" w:lineRule="auto"/>
        <w:jc w:val="both"/>
        <w:rPr>
          <w:rFonts w:eastAsia="Times New Roman" w:cs="Arial"/>
          <w:sz w:val="22"/>
          <w:lang w:eastAsia="fr-FR"/>
        </w:rPr>
      </w:pPr>
    </w:p>
    <w:p w:rsidR="004E5FBB" w:rsidRDefault="00AA72D9" w:rsidP="00DE665C">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M</w:t>
      </w:r>
      <w:r w:rsidRPr="004B39B0">
        <w:rPr>
          <w:rFonts w:eastAsia="Times New Roman" w:cs="Arial"/>
          <w:sz w:val="22"/>
          <w:vertAlign w:val="superscript"/>
          <w:lang w:eastAsia="fr-FR"/>
        </w:rPr>
        <w:t>me</w:t>
      </w:r>
      <w:r>
        <w:rPr>
          <w:rFonts w:eastAsia="Times New Roman" w:cs="Arial"/>
          <w:sz w:val="22"/>
          <w:lang w:eastAsia="fr-FR"/>
        </w:rPr>
        <w:t xml:space="preserve"> X</w:t>
      </w:r>
      <w:r w:rsidR="004E5FBB">
        <w:rPr>
          <w:rFonts w:eastAsia="Times New Roman" w:cs="Arial"/>
          <w:sz w:val="22"/>
          <w:lang w:eastAsia="fr-FR"/>
        </w:rPr>
        <w:t xml:space="preserve"> </w:t>
      </w:r>
      <w:r w:rsidR="004E5FBB" w:rsidRPr="002478DF">
        <w:rPr>
          <w:rFonts w:eastAsia="Times New Roman" w:cs="Arial"/>
          <w:sz w:val="22"/>
          <w:lang w:eastAsia="fr-FR"/>
        </w:rPr>
        <w:t>est déchargé</w:t>
      </w:r>
      <w:r w:rsidR="004E5FBB">
        <w:rPr>
          <w:rFonts w:eastAsia="Times New Roman" w:cs="Arial"/>
          <w:sz w:val="22"/>
          <w:lang w:eastAsia="fr-FR"/>
        </w:rPr>
        <w:t xml:space="preserve">e, par l’effet de la loi, </w:t>
      </w:r>
      <w:r w:rsidR="004E5FBB" w:rsidRPr="002478DF">
        <w:rPr>
          <w:rFonts w:eastAsia="Times New Roman" w:cs="Arial"/>
          <w:sz w:val="22"/>
          <w:lang w:eastAsia="fr-FR"/>
        </w:rPr>
        <w:t>de sa gestion</w:t>
      </w:r>
      <w:r w:rsidR="004E5FBB">
        <w:rPr>
          <w:rFonts w:eastAsia="Times New Roman" w:cs="Arial"/>
          <w:sz w:val="22"/>
          <w:lang w:eastAsia="fr-FR"/>
        </w:rPr>
        <w:t xml:space="preserve"> </w:t>
      </w:r>
      <w:r w:rsidR="004E5FBB" w:rsidRPr="002478DF">
        <w:rPr>
          <w:rFonts w:eastAsia="Times New Roman" w:cs="Arial"/>
          <w:sz w:val="22"/>
          <w:lang w:eastAsia="fr-FR"/>
        </w:rPr>
        <w:t xml:space="preserve">pour </w:t>
      </w:r>
      <w:r w:rsidR="004E5FBB">
        <w:rPr>
          <w:rFonts w:eastAsia="Times New Roman" w:cs="Arial"/>
          <w:sz w:val="22"/>
          <w:lang w:eastAsia="fr-FR"/>
        </w:rPr>
        <w:t>l’exercice 2005, à compter du 9 mars, et pour les exercices 2006 et 2007</w:t>
      </w:r>
      <w:r w:rsidR="004E5FBB" w:rsidRPr="002478DF">
        <w:rPr>
          <w:rFonts w:eastAsia="Times New Roman" w:cs="Arial"/>
          <w:sz w:val="22"/>
          <w:lang w:eastAsia="fr-FR"/>
        </w:rPr>
        <w:t xml:space="preserve">. </w:t>
      </w:r>
    </w:p>
    <w:p w:rsidR="007F5ADE" w:rsidRDefault="007F5ADE" w:rsidP="00DE665C">
      <w:pPr>
        <w:tabs>
          <w:tab w:val="center" w:pos="4536"/>
          <w:tab w:val="right" w:pos="9072"/>
        </w:tabs>
        <w:spacing w:line="240" w:lineRule="auto"/>
        <w:jc w:val="both"/>
        <w:rPr>
          <w:rFonts w:eastAsia="Times New Roman" w:cs="Arial"/>
          <w:sz w:val="22"/>
          <w:lang w:eastAsia="fr-FR"/>
        </w:rPr>
      </w:pPr>
    </w:p>
    <w:p w:rsidR="007F5ADE" w:rsidRDefault="007F5ADE" w:rsidP="007F5ADE">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Article 3</w:t>
      </w:r>
      <w:r w:rsidR="004B39B0">
        <w:rPr>
          <w:rFonts w:eastAsia="Times New Roman" w:cs="Arial"/>
          <w:b/>
          <w:sz w:val="22"/>
          <w:u w:val="single"/>
          <w:lang w:eastAsia="fr-FR"/>
        </w:rPr>
        <w:t> </w:t>
      </w:r>
      <w:r w:rsidR="004B39B0">
        <w:rPr>
          <w:rFonts w:eastAsia="Times New Roman" w:cs="Arial"/>
          <w:sz w:val="22"/>
          <w:lang w:eastAsia="fr-FR"/>
        </w:rPr>
        <w:t>:</w:t>
      </w:r>
      <w:r w:rsidR="00D77DC0">
        <w:rPr>
          <w:rFonts w:eastAsia="Times New Roman" w:cs="Arial"/>
          <w:sz w:val="22"/>
          <w:lang w:eastAsia="fr-FR"/>
        </w:rPr>
        <w:t xml:space="preserve">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Pr>
          <w:rFonts w:eastAsia="Times New Roman" w:cs="Arial"/>
          <w:sz w:val="22"/>
          <w:lang w:eastAsia="fr-FR"/>
        </w:rPr>
        <w:t xml:space="preserve"> </w:t>
      </w:r>
      <w:r w:rsidRPr="002478DF">
        <w:rPr>
          <w:rFonts w:eastAsia="Times New Roman" w:cs="Arial"/>
          <w:sz w:val="22"/>
          <w:lang w:eastAsia="fr-FR"/>
        </w:rPr>
        <w:t>est déchargé</w:t>
      </w:r>
      <w:r>
        <w:rPr>
          <w:rFonts w:eastAsia="Times New Roman" w:cs="Arial"/>
          <w:sz w:val="22"/>
          <w:lang w:eastAsia="fr-FR"/>
        </w:rPr>
        <w:t xml:space="preserve">e </w:t>
      </w:r>
      <w:r w:rsidRPr="002478DF">
        <w:rPr>
          <w:rFonts w:eastAsia="Times New Roman" w:cs="Arial"/>
          <w:sz w:val="22"/>
          <w:lang w:eastAsia="fr-FR"/>
        </w:rPr>
        <w:t>de sa gestion</w:t>
      </w:r>
      <w:r>
        <w:rPr>
          <w:rFonts w:eastAsia="Times New Roman" w:cs="Arial"/>
          <w:sz w:val="22"/>
          <w:lang w:eastAsia="fr-FR"/>
        </w:rPr>
        <w:t xml:space="preserve"> </w:t>
      </w:r>
      <w:r w:rsidRPr="002478DF">
        <w:rPr>
          <w:rFonts w:eastAsia="Times New Roman" w:cs="Arial"/>
          <w:sz w:val="22"/>
          <w:lang w:eastAsia="fr-FR"/>
        </w:rPr>
        <w:t xml:space="preserve">pour </w:t>
      </w:r>
      <w:r>
        <w:rPr>
          <w:rFonts w:eastAsia="Times New Roman" w:cs="Arial"/>
          <w:sz w:val="22"/>
          <w:lang w:eastAsia="fr-FR"/>
        </w:rPr>
        <w:t>l’exercice 2008</w:t>
      </w:r>
      <w:r w:rsidRPr="002478DF">
        <w:rPr>
          <w:rFonts w:eastAsia="Times New Roman" w:cs="Arial"/>
          <w:sz w:val="22"/>
          <w:lang w:eastAsia="fr-FR"/>
        </w:rPr>
        <w:t xml:space="preserve">. </w:t>
      </w:r>
    </w:p>
    <w:p w:rsidR="007F5ADE" w:rsidRDefault="007F5ADE" w:rsidP="007F5ADE">
      <w:pPr>
        <w:tabs>
          <w:tab w:val="center" w:pos="4536"/>
          <w:tab w:val="right" w:pos="9072"/>
        </w:tabs>
        <w:spacing w:line="240" w:lineRule="auto"/>
        <w:jc w:val="both"/>
        <w:rPr>
          <w:rFonts w:eastAsia="Times New Roman" w:cs="Arial"/>
          <w:sz w:val="22"/>
          <w:lang w:eastAsia="fr-FR"/>
        </w:rPr>
      </w:pPr>
    </w:p>
    <w:p w:rsidR="007F5ADE" w:rsidRDefault="007F5ADE" w:rsidP="00DE665C">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 xml:space="preserve">Article </w:t>
      </w:r>
      <w:r w:rsidR="002E3FDE" w:rsidRPr="004B39B0">
        <w:rPr>
          <w:rFonts w:eastAsia="Times New Roman" w:cs="Arial"/>
          <w:b/>
          <w:sz w:val="22"/>
          <w:u w:val="single"/>
          <w:lang w:eastAsia="fr-FR"/>
        </w:rPr>
        <w:t>4</w:t>
      </w:r>
      <w:r w:rsidR="004B39B0">
        <w:rPr>
          <w:rFonts w:eastAsia="Times New Roman" w:cs="Arial"/>
          <w:b/>
          <w:sz w:val="22"/>
          <w:u w:val="single"/>
          <w:lang w:eastAsia="fr-FR"/>
        </w:rPr>
        <w:t> </w:t>
      </w:r>
      <w:r w:rsidR="004B39B0">
        <w:rPr>
          <w:rFonts w:eastAsia="Times New Roman" w:cs="Arial"/>
          <w:sz w:val="22"/>
          <w:lang w:eastAsia="fr-FR"/>
        </w:rPr>
        <w:t>:</w:t>
      </w:r>
      <w:r w:rsidR="00D77DC0">
        <w:rPr>
          <w:rFonts w:eastAsia="Times New Roman" w:cs="Arial"/>
          <w:sz w:val="22"/>
          <w:lang w:eastAsia="fr-FR"/>
        </w:rPr>
        <w:t xml:space="preserve">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Pr>
          <w:rFonts w:eastAsia="Times New Roman" w:cs="Arial"/>
          <w:sz w:val="22"/>
          <w:lang w:eastAsia="fr-FR"/>
        </w:rPr>
        <w:t xml:space="preserve"> </w:t>
      </w:r>
      <w:r w:rsidRPr="002478DF">
        <w:rPr>
          <w:rFonts w:eastAsia="Times New Roman" w:cs="Arial"/>
          <w:sz w:val="22"/>
          <w:lang w:eastAsia="fr-FR"/>
        </w:rPr>
        <w:t>est déchargé</w:t>
      </w:r>
      <w:r>
        <w:rPr>
          <w:rFonts w:eastAsia="Times New Roman" w:cs="Arial"/>
          <w:sz w:val="22"/>
          <w:lang w:eastAsia="fr-FR"/>
        </w:rPr>
        <w:t xml:space="preserve">e </w:t>
      </w:r>
      <w:r w:rsidRPr="002478DF">
        <w:rPr>
          <w:rFonts w:eastAsia="Times New Roman" w:cs="Arial"/>
          <w:sz w:val="22"/>
          <w:lang w:eastAsia="fr-FR"/>
        </w:rPr>
        <w:t>de sa gestion</w:t>
      </w:r>
      <w:r>
        <w:rPr>
          <w:rFonts w:eastAsia="Times New Roman" w:cs="Arial"/>
          <w:sz w:val="22"/>
          <w:lang w:eastAsia="fr-FR"/>
        </w:rPr>
        <w:t xml:space="preserve"> </w:t>
      </w:r>
      <w:r w:rsidRPr="002478DF">
        <w:rPr>
          <w:rFonts w:eastAsia="Times New Roman" w:cs="Arial"/>
          <w:sz w:val="22"/>
          <w:lang w:eastAsia="fr-FR"/>
        </w:rPr>
        <w:t xml:space="preserve">pour </w:t>
      </w:r>
      <w:r>
        <w:rPr>
          <w:rFonts w:eastAsia="Times New Roman" w:cs="Arial"/>
          <w:sz w:val="22"/>
          <w:lang w:eastAsia="fr-FR"/>
        </w:rPr>
        <w:t xml:space="preserve">l’exercice 2010. </w:t>
      </w:r>
    </w:p>
    <w:p w:rsidR="004E5FBB" w:rsidRDefault="004E5FBB" w:rsidP="00DE665C">
      <w:pPr>
        <w:tabs>
          <w:tab w:val="center" w:pos="4536"/>
          <w:tab w:val="right" w:pos="9072"/>
        </w:tabs>
        <w:spacing w:line="240" w:lineRule="auto"/>
        <w:jc w:val="both"/>
        <w:rPr>
          <w:rFonts w:eastAsia="Times New Roman" w:cs="Arial"/>
          <w:sz w:val="22"/>
          <w:lang w:eastAsia="fr-FR"/>
        </w:rPr>
      </w:pPr>
    </w:p>
    <w:p w:rsidR="00DE665C" w:rsidRPr="00F70CB0" w:rsidRDefault="004E5FBB" w:rsidP="00DE665C">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 xml:space="preserve">Article </w:t>
      </w:r>
      <w:r w:rsidR="002E3FDE" w:rsidRPr="004B39B0">
        <w:rPr>
          <w:rFonts w:eastAsia="Times New Roman" w:cs="Arial"/>
          <w:b/>
          <w:sz w:val="22"/>
          <w:u w:val="single"/>
          <w:lang w:eastAsia="fr-FR"/>
        </w:rPr>
        <w:t>5</w:t>
      </w:r>
      <w:r w:rsidR="004B39B0">
        <w:rPr>
          <w:rFonts w:eastAsia="Times New Roman" w:cs="Arial"/>
          <w:b/>
          <w:sz w:val="22"/>
          <w:u w:val="single"/>
          <w:lang w:eastAsia="fr-FR"/>
        </w:rPr>
        <w:t> </w:t>
      </w:r>
      <w:r w:rsidR="004B39B0">
        <w:rPr>
          <w:rFonts w:eastAsia="Times New Roman" w:cs="Arial"/>
          <w:sz w:val="22"/>
          <w:lang w:eastAsia="fr-FR"/>
        </w:rPr>
        <w:t>:</w:t>
      </w:r>
      <w:r w:rsidR="00D77DC0">
        <w:rPr>
          <w:rFonts w:eastAsia="Times New Roman" w:cs="Arial"/>
          <w:sz w:val="22"/>
          <w:lang w:eastAsia="fr-FR"/>
        </w:rPr>
        <w:t xml:space="preserve"> </w:t>
      </w:r>
      <w:r w:rsidR="00DE665C" w:rsidRPr="00F70CB0">
        <w:rPr>
          <w:rFonts w:eastAsia="Times New Roman" w:cs="Arial"/>
          <w:sz w:val="22"/>
          <w:lang w:eastAsia="fr-FR"/>
        </w:rPr>
        <w:t xml:space="preserve">Au titre de l’exercice </w:t>
      </w:r>
      <w:r w:rsidRPr="00F70CB0">
        <w:rPr>
          <w:rFonts w:eastAsia="Times New Roman" w:cs="Arial"/>
          <w:sz w:val="22"/>
          <w:lang w:eastAsia="fr-FR"/>
        </w:rPr>
        <w:t>2011</w:t>
      </w:r>
      <w:r w:rsidR="00DE665C" w:rsidRPr="00F70CB0">
        <w:rPr>
          <w:rFonts w:eastAsia="Times New Roman" w:cs="Arial"/>
          <w:sz w:val="22"/>
          <w:lang w:eastAsia="fr-FR"/>
        </w:rPr>
        <w:t>, (présomption</w:t>
      </w:r>
      <w:r w:rsidR="00FB44A5" w:rsidRPr="00F70CB0">
        <w:rPr>
          <w:rFonts w:eastAsia="Times New Roman" w:cs="Arial"/>
          <w:sz w:val="22"/>
          <w:lang w:eastAsia="fr-FR"/>
        </w:rPr>
        <w:t>s</w:t>
      </w:r>
      <w:r w:rsidR="00DE665C" w:rsidRPr="00F70CB0">
        <w:rPr>
          <w:rFonts w:eastAsia="Times New Roman" w:cs="Arial"/>
          <w:sz w:val="22"/>
          <w:lang w:eastAsia="fr-FR"/>
        </w:rPr>
        <w:t xml:space="preserve"> de charge n°</w:t>
      </w:r>
      <w:r w:rsidRPr="00F70CB0">
        <w:rPr>
          <w:rFonts w:eastAsia="Times New Roman" w:cs="Arial"/>
          <w:sz w:val="22"/>
          <w:lang w:eastAsia="fr-FR"/>
        </w:rPr>
        <w:t>1</w:t>
      </w:r>
      <w:r w:rsidR="00FB44A5" w:rsidRPr="00F70CB0">
        <w:rPr>
          <w:rFonts w:eastAsia="Times New Roman" w:cs="Arial"/>
          <w:sz w:val="22"/>
          <w:lang w:eastAsia="fr-FR"/>
        </w:rPr>
        <w:t xml:space="preserve"> et 2</w:t>
      </w:r>
      <w:r w:rsidR="00DE665C" w:rsidRPr="00F70CB0">
        <w:rPr>
          <w:rFonts w:eastAsia="Times New Roman" w:cs="Arial"/>
          <w:sz w:val="22"/>
          <w:lang w:eastAsia="fr-FR"/>
        </w:rPr>
        <w:t>)</w:t>
      </w:r>
      <w:r w:rsidRPr="00F70CB0">
        <w:rPr>
          <w:rFonts w:eastAsia="Times New Roman" w:cs="Arial"/>
          <w:sz w:val="22"/>
          <w:lang w:eastAsia="fr-FR"/>
        </w:rPr>
        <w:t xml:space="preserve">, </w:t>
      </w:r>
      <w:r w:rsidR="00AA72D9">
        <w:rPr>
          <w:rFonts w:eastAsia="Times New Roman" w:cs="Arial"/>
          <w:sz w:val="22"/>
          <w:lang w:eastAsia="fr-FR"/>
        </w:rPr>
        <w:t>M</w:t>
      </w:r>
      <w:r w:rsidR="00AA72D9" w:rsidRPr="004B39B0">
        <w:rPr>
          <w:rFonts w:eastAsia="Times New Roman" w:cs="Arial"/>
          <w:sz w:val="22"/>
          <w:vertAlign w:val="superscript"/>
          <w:lang w:eastAsia="fr-FR"/>
        </w:rPr>
        <w:t>me</w:t>
      </w:r>
      <w:r w:rsidR="00AA72D9">
        <w:rPr>
          <w:rFonts w:eastAsia="Times New Roman" w:cs="Arial"/>
          <w:sz w:val="22"/>
          <w:lang w:eastAsia="fr-FR"/>
        </w:rPr>
        <w:t xml:space="preserve"> X</w:t>
      </w:r>
      <w:r w:rsidRPr="00F70CB0">
        <w:rPr>
          <w:rFonts w:eastAsia="Times New Roman" w:cs="Arial"/>
          <w:sz w:val="22"/>
          <w:lang w:eastAsia="fr-FR"/>
        </w:rPr>
        <w:t xml:space="preserve"> est constituée</w:t>
      </w:r>
      <w:r w:rsidR="00DE665C" w:rsidRPr="00F70CB0">
        <w:rPr>
          <w:rFonts w:eastAsia="Times New Roman" w:cs="Arial"/>
          <w:sz w:val="22"/>
          <w:lang w:eastAsia="fr-FR"/>
        </w:rPr>
        <w:t xml:space="preserve"> débitrice de </w:t>
      </w:r>
      <w:r w:rsidRPr="00F70CB0">
        <w:rPr>
          <w:rFonts w:eastAsia="Times New Roman" w:cs="Arial"/>
          <w:sz w:val="22"/>
          <w:lang w:eastAsia="fr-FR"/>
        </w:rPr>
        <w:t>l’INPES</w:t>
      </w:r>
      <w:r w:rsidR="00DE665C" w:rsidRPr="00F70CB0">
        <w:rPr>
          <w:rFonts w:eastAsia="Times New Roman" w:cs="Arial"/>
          <w:sz w:val="22"/>
          <w:lang w:eastAsia="fr-FR"/>
        </w:rPr>
        <w:t xml:space="preserve"> pour la somme de </w:t>
      </w:r>
      <w:r w:rsidRPr="00F70CB0">
        <w:rPr>
          <w:rFonts w:eastAsia="Times New Roman" w:cs="Arial"/>
          <w:sz w:val="22"/>
          <w:lang w:eastAsia="fr-FR"/>
        </w:rPr>
        <w:t>6</w:t>
      </w:r>
      <w:r w:rsidR="00CA5A34" w:rsidRPr="00F70CB0">
        <w:rPr>
          <w:rFonts w:eastAsia="Times New Roman" w:cs="Arial"/>
          <w:sz w:val="22"/>
          <w:lang w:eastAsia="fr-FR"/>
        </w:rPr>
        <w:t xml:space="preserve"> </w:t>
      </w:r>
      <w:r w:rsidRPr="00F70CB0">
        <w:rPr>
          <w:rFonts w:eastAsia="Times New Roman" w:cs="Arial"/>
          <w:sz w:val="22"/>
          <w:lang w:eastAsia="fr-FR"/>
        </w:rPr>
        <w:t>376,80 </w:t>
      </w:r>
      <w:r w:rsidR="00DE665C" w:rsidRPr="00F70CB0">
        <w:rPr>
          <w:rFonts w:eastAsia="Times New Roman" w:cs="Arial"/>
          <w:sz w:val="22"/>
          <w:lang w:eastAsia="fr-FR"/>
        </w:rPr>
        <w:t xml:space="preserve">€, augmentée des intérêts de droit à compter du </w:t>
      </w:r>
      <w:r w:rsidR="00D77DC0">
        <w:rPr>
          <w:rFonts w:eastAsia="Times New Roman" w:cs="Arial"/>
          <w:sz w:val="22"/>
          <w:lang w:eastAsia="fr-FR"/>
        </w:rPr>
        <w:t>5</w:t>
      </w:r>
      <w:r w:rsidRPr="00F70CB0">
        <w:rPr>
          <w:rFonts w:eastAsia="Times New Roman" w:cs="Arial"/>
          <w:sz w:val="22"/>
          <w:lang w:eastAsia="fr-FR"/>
        </w:rPr>
        <w:t xml:space="preserve"> mars 2014</w:t>
      </w:r>
      <w:r w:rsidR="00DE665C" w:rsidRPr="00F70CB0">
        <w:rPr>
          <w:rFonts w:eastAsia="Times New Roman" w:cs="Arial"/>
          <w:sz w:val="22"/>
          <w:lang w:eastAsia="fr-FR"/>
        </w:rPr>
        <w:t>.</w:t>
      </w:r>
    </w:p>
    <w:p w:rsidR="00DE665C" w:rsidRPr="00F70CB0" w:rsidRDefault="00DE665C" w:rsidP="00DE665C">
      <w:pPr>
        <w:tabs>
          <w:tab w:val="center" w:pos="4536"/>
          <w:tab w:val="right" w:pos="9072"/>
        </w:tabs>
        <w:spacing w:line="240" w:lineRule="auto"/>
        <w:jc w:val="both"/>
        <w:rPr>
          <w:rFonts w:eastAsia="Times New Roman" w:cs="Arial"/>
          <w:sz w:val="22"/>
          <w:lang w:eastAsia="fr-FR"/>
        </w:rPr>
      </w:pPr>
    </w:p>
    <w:p w:rsidR="00DE665C" w:rsidRPr="00F70CB0" w:rsidRDefault="00DE665C" w:rsidP="00DE665C">
      <w:pPr>
        <w:tabs>
          <w:tab w:val="center" w:pos="4536"/>
          <w:tab w:val="right" w:pos="9072"/>
        </w:tabs>
        <w:spacing w:line="240" w:lineRule="auto"/>
        <w:jc w:val="both"/>
        <w:rPr>
          <w:rFonts w:eastAsia="Times New Roman" w:cs="Arial"/>
          <w:sz w:val="22"/>
          <w:lang w:eastAsia="fr-FR"/>
        </w:rPr>
      </w:pPr>
      <w:r w:rsidRPr="00F70CB0">
        <w:rPr>
          <w:rFonts w:eastAsia="Times New Roman" w:cs="Arial"/>
          <w:sz w:val="22"/>
          <w:lang w:eastAsia="fr-FR"/>
        </w:rPr>
        <w:t>Le paiement n’entrait pas dans une catégorie de dépenses faisant l’objet de règles de contrôle sélectif.</w:t>
      </w:r>
    </w:p>
    <w:p w:rsidR="004E5FBB" w:rsidRPr="00F70CB0" w:rsidRDefault="004E5FBB" w:rsidP="004E5FBB">
      <w:pPr>
        <w:tabs>
          <w:tab w:val="center" w:pos="4536"/>
          <w:tab w:val="right" w:pos="9072"/>
        </w:tabs>
        <w:spacing w:line="240" w:lineRule="auto"/>
        <w:jc w:val="both"/>
        <w:rPr>
          <w:rFonts w:eastAsia="Times New Roman" w:cs="Arial"/>
          <w:sz w:val="22"/>
          <w:lang w:eastAsia="fr-FR"/>
        </w:rPr>
      </w:pPr>
    </w:p>
    <w:p w:rsidR="004E5FBB" w:rsidRPr="002478DF" w:rsidRDefault="004E5FBB" w:rsidP="004E5FBB">
      <w:pPr>
        <w:tabs>
          <w:tab w:val="center" w:pos="4536"/>
          <w:tab w:val="right" w:pos="9072"/>
        </w:tabs>
        <w:spacing w:line="240" w:lineRule="auto"/>
        <w:jc w:val="both"/>
        <w:rPr>
          <w:rFonts w:eastAsia="Times New Roman" w:cs="Arial"/>
          <w:sz w:val="22"/>
          <w:lang w:eastAsia="fr-FR"/>
        </w:rPr>
      </w:pPr>
      <w:r w:rsidRPr="004B39B0">
        <w:rPr>
          <w:rFonts w:eastAsia="Times New Roman" w:cs="Arial"/>
          <w:b/>
          <w:sz w:val="22"/>
          <w:u w:val="single"/>
          <w:lang w:eastAsia="fr-FR"/>
        </w:rPr>
        <w:t xml:space="preserve">Article </w:t>
      </w:r>
      <w:r w:rsidR="00FB44A5" w:rsidRPr="004B39B0">
        <w:rPr>
          <w:rFonts w:eastAsia="Times New Roman" w:cs="Arial"/>
          <w:b/>
          <w:sz w:val="22"/>
          <w:u w:val="single"/>
          <w:lang w:eastAsia="fr-FR"/>
        </w:rPr>
        <w:t>6</w:t>
      </w:r>
      <w:r w:rsidR="007F5ADE" w:rsidRPr="00F70CB0">
        <w:rPr>
          <w:rFonts w:eastAsia="Times New Roman" w:cs="Arial"/>
          <w:sz w:val="22"/>
          <w:lang w:eastAsia="fr-FR"/>
        </w:rPr>
        <w:t xml:space="preserve"> </w:t>
      </w:r>
      <w:r w:rsidRPr="00F70CB0">
        <w:rPr>
          <w:rFonts w:eastAsia="Times New Roman" w:cs="Arial"/>
          <w:sz w:val="22"/>
          <w:lang w:eastAsia="fr-FR"/>
        </w:rPr>
        <w:t xml:space="preserve">: La décharge de </w:t>
      </w:r>
      <w:r w:rsidR="00AA72D9">
        <w:rPr>
          <w:rFonts w:eastAsia="Times New Roman" w:cs="Arial"/>
          <w:sz w:val="22"/>
          <w:lang w:eastAsia="fr-FR"/>
        </w:rPr>
        <w:t>M</w:t>
      </w:r>
      <w:bookmarkStart w:id="0" w:name="_GoBack"/>
      <w:r w:rsidR="00AA72D9" w:rsidRPr="004B39B0">
        <w:rPr>
          <w:rFonts w:eastAsia="Times New Roman" w:cs="Arial"/>
          <w:sz w:val="22"/>
          <w:vertAlign w:val="superscript"/>
          <w:lang w:eastAsia="fr-FR"/>
        </w:rPr>
        <w:t>me</w:t>
      </w:r>
      <w:bookmarkEnd w:id="0"/>
      <w:r w:rsidR="00AA72D9">
        <w:rPr>
          <w:rFonts w:eastAsia="Times New Roman" w:cs="Arial"/>
          <w:sz w:val="22"/>
          <w:lang w:eastAsia="fr-FR"/>
        </w:rPr>
        <w:t xml:space="preserve"> X</w:t>
      </w:r>
      <w:r w:rsidRPr="00F70CB0">
        <w:rPr>
          <w:rFonts w:eastAsia="Times New Roman" w:cs="Arial"/>
          <w:sz w:val="22"/>
          <w:lang w:eastAsia="fr-FR"/>
        </w:rPr>
        <w:t xml:space="preserve"> </w:t>
      </w:r>
      <w:r w:rsidR="00782596" w:rsidRPr="00F70CB0">
        <w:rPr>
          <w:rFonts w:eastAsia="Times New Roman" w:cs="Arial"/>
          <w:sz w:val="22"/>
          <w:lang w:eastAsia="fr-FR"/>
        </w:rPr>
        <w:t xml:space="preserve">au titre de l’exercice 2011 </w:t>
      </w:r>
      <w:r w:rsidRPr="00F70CB0">
        <w:rPr>
          <w:rFonts w:eastAsia="Times New Roman" w:cs="Arial"/>
          <w:sz w:val="22"/>
          <w:lang w:eastAsia="fr-FR"/>
        </w:rPr>
        <w:t xml:space="preserve">ne pourra être </w:t>
      </w:r>
      <w:r w:rsidR="00782596" w:rsidRPr="00F70CB0">
        <w:rPr>
          <w:rFonts w:eastAsia="Times New Roman" w:cs="Arial"/>
          <w:sz w:val="22"/>
          <w:lang w:eastAsia="fr-FR"/>
        </w:rPr>
        <w:t>accordée</w:t>
      </w:r>
      <w:r w:rsidRPr="00F70CB0">
        <w:rPr>
          <w:rFonts w:eastAsia="Times New Roman" w:cs="Arial"/>
          <w:sz w:val="22"/>
          <w:lang w:eastAsia="fr-FR"/>
        </w:rPr>
        <w:t xml:space="preserve"> qu’après apurement du débet </w:t>
      </w:r>
      <w:r w:rsidR="00FB44A5" w:rsidRPr="00F70CB0">
        <w:rPr>
          <w:rFonts w:eastAsia="Times New Roman" w:cs="Arial"/>
          <w:sz w:val="22"/>
          <w:lang w:eastAsia="fr-FR"/>
        </w:rPr>
        <w:t>fixé</w:t>
      </w:r>
      <w:r w:rsidRPr="00F70CB0">
        <w:rPr>
          <w:rFonts w:eastAsia="Times New Roman" w:cs="Arial"/>
          <w:sz w:val="22"/>
          <w:lang w:eastAsia="fr-FR"/>
        </w:rPr>
        <w:t xml:space="preserve"> ci-dessus.</w:t>
      </w:r>
    </w:p>
    <w:p w:rsidR="00DE665C" w:rsidRPr="002478DF" w:rsidRDefault="00DE665C" w:rsidP="00DE665C">
      <w:pPr>
        <w:tabs>
          <w:tab w:val="center" w:pos="4536"/>
          <w:tab w:val="right" w:pos="9072"/>
        </w:tabs>
        <w:spacing w:line="240" w:lineRule="auto"/>
        <w:jc w:val="both"/>
        <w:rPr>
          <w:rFonts w:eastAsia="Times New Roman" w:cs="Arial"/>
          <w:sz w:val="22"/>
          <w:lang w:eastAsia="fr-FR"/>
        </w:rPr>
      </w:pPr>
    </w:p>
    <w:p w:rsidR="00E83E5C" w:rsidRDefault="00E83E5C" w:rsidP="002E3FDE">
      <w:pPr>
        <w:tabs>
          <w:tab w:val="center" w:pos="4536"/>
          <w:tab w:val="right" w:pos="9072"/>
        </w:tabs>
        <w:spacing w:line="240" w:lineRule="auto"/>
        <w:jc w:val="both"/>
        <w:rPr>
          <w:rFonts w:eastAsia="Times New Roman" w:cs="Arial"/>
          <w:sz w:val="22"/>
          <w:lang w:eastAsia="fr-FR"/>
        </w:rPr>
      </w:pPr>
    </w:p>
    <w:p w:rsidR="002E3FDE" w:rsidRPr="002478DF" w:rsidRDefault="002E3FDE" w:rsidP="002E3FDE">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 xml:space="preserve">Délibéré le </w:t>
      </w:r>
      <w:r>
        <w:rPr>
          <w:rFonts w:eastAsia="Times New Roman" w:cs="Arial"/>
          <w:sz w:val="22"/>
          <w:lang w:eastAsia="fr-FR"/>
        </w:rPr>
        <w:t>douze janvier deux mil quinze</w:t>
      </w:r>
      <w:r w:rsidRPr="002478DF">
        <w:rPr>
          <w:rFonts w:eastAsia="Times New Roman" w:cs="Arial"/>
          <w:sz w:val="22"/>
          <w:lang w:eastAsia="fr-FR"/>
        </w:rPr>
        <w:t xml:space="preserve"> par </w:t>
      </w:r>
      <w:r>
        <w:rPr>
          <w:rFonts w:eastAsia="Times New Roman" w:cs="Arial"/>
          <w:sz w:val="22"/>
          <w:lang w:eastAsia="fr-FR"/>
        </w:rPr>
        <w:t>M. Antoine DURRLEMAN</w:t>
      </w:r>
      <w:r w:rsidRPr="002478DF">
        <w:rPr>
          <w:rFonts w:eastAsia="Times New Roman" w:cs="Arial"/>
          <w:sz w:val="22"/>
          <w:lang w:eastAsia="fr-FR"/>
        </w:rPr>
        <w:t>, Président</w:t>
      </w:r>
      <w:r>
        <w:rPr>
          <w:rFonts w:eastAsia="Times New Roman" w:cs="Arial"/>
          <w:sz w:val="22"/>
          <w:lang w:eastAsia="fr-FR"/>
        </w:rPr>
        <w:t xml:space="preserve"> </w:t>
      </w:r>
      <w:r w:rsidRPr="002478DF">
        <w:rPr>
          <w:rFonts w:eastAsia="Times New Roman" w:cs="Arial"/>
          <w:sz w:val="22"/>
          <w:lang w:eastAsia="fr-FR"/>
        </w:rPr>
        <w:t>de</w:t>
      </w:r>
      <w:r w:rsidR="000C147C">
        <w:rPr>
          <w:rFonts w:eastAsia="Times New Roman" w:cs="Arial"/>
          <w:sz w:val="22"/>
          <w:lang w:eastAsia="fr-FR"/>
        </w:rPr>
        <w:t xml:space="preserve"> chambre, préside</w:t>
      </w:r>
      <w:r w:rsidR="00CA5A34">
        <w:rPr>
          <w:rFonts w:eastAsia="Times New Roman" w:cs="Arial"/>
          <w:sz w:val="22"/>
          <w:lang w:eastAsia="fr-FR"/>
        </w:rPr>
        <w:t>nt</w:t>
      </w:r>
      <w:r w:rsidR="000C147C">
        <w:rPr>
          <w:rFonts w:eastAsia="Times New Roman" w:cs="Arial"/>
          <w:sz w:val="22"/>
          <w:lang w:eastAsia="fr-FR"/>
        </w:rPr>
        <w:t xml:space="preserve"> de</w:t>
      </w:r>
      <w:r w:rsidRPr="002478DF">
        <w:rPr>
          <w:rFonts w:eastAsia="Times New Roman" w:cs="Arial"/>
          <w:sz w:val="22"/>
          <w:lang w:eastAsia="fr-FR"/>
        </w:rPr>
        <w:t xml:space="preserve"> séance; MM</w:t>
      </w:r>
      <w:r>
        <w:rPr>
          <w:rFonts w:eastAsia="Times New Roman" w:cs="Arial"/>
          <w:sz w:val="22"/>
          <w:lang w:eastAsia="fr-FR"/>
        </w:rPr>
        <w:t xml:space="preserve">. Noël DIRICQ, </w:t>
      </w:r>
      <w:r w:rsidR="000C147C">
        <w:rPr>
          <w:rFonts w:eastAsia="Times New Roman" w:cs="Arial"/>
          <w:sz w:val="22"/>
          <w:lang w:eastAsia="fr-FR"/>
        </w:rPr>
        <w:t xml:space="preserve">Didier SELLES, </w:t>
      </w:r>
      <w:r w:rsidR="00AA53FC">
        <w:rPr>
          <w:rFonts w:eastAsia="Times New Roman" w:cs="Arial"/>
          <w:sz w:val="22"/>
          <w:lang w:eastAsia="fr-FR"/>
        </w:rPr>
        <w:t xml:space="preserve">Nicolas BRUNNER et </w:t>
      </w:r>
      <w:r w:rsidR="000C147C">
        <w:rPr>
          <w:rFonts w:eastAsia="Times New Roman" w:cs="Arial"/>
          <w:sz w:val="22"/>
          <w:lang w:eastAsia="fr-FR"/>
        </w:rPr>
        <w:t>Pierre JAME</w:t>
      </w:r>
      <w:r w:rsidR="00AA53FC">
        <w:rPr>
          <w:rFonts w:eastAsia="Times New Roman" w:cs="Arial"/>
          <w:sz w:val="22"/>
          <w:lang w:eastAsia="fr-FR"/>
        </w:rPr>
        <w:t>T</w:t>
      </w:r>
      <w:r>
        <w:rPr>
          <w:rFonts w:eastAsia="Times New Roman" w:cs="Arial"/>
          <w:sz w:val="22"/>
          <w:lang w:eastAsia="fr-FR"/>
        </w:rPr>
        <w:t>, conseillers maîtres</w:t>
      </w:r>
      <w:r w:rsidRPr="002478DF">
        <w:rPr>
          <w:rFonts w:eastAsia="Times New Roman" w:cs="Arial"/>
          <w:sz w:val="22"/>
          <w:lang w:eastAsia="fr-FR"/>
        </w:rPr>
        <w:t>.</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E83E5C" w:rsidRDefault="00E83E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En p</w:t>
      </w:r>
      <w:r>
        <w:rPr>
          <w:rFonts w:eastAsia="Times New Roman" w:cs="Arial"/>
          <w:sz w:val="22"/>
          <w:lang w:eastAsia="fr-FR"/>
        </w:rPr>
        <w:t>résence de</w:t>
      </w:r>
      <w:r w:rsidR="004D3C27">
        <w:rPr>
          <w:rFonts w:eastAsia="Times New Roman" w:cs="Arial"/>
          <w:sz w:val="22"/>
          <w:lang w:eastAsia="fr-FR"/>
        </w:rPr>
        <w:t xml:space="preserve"> Mme Mar</w:t>
      </w:r>
      <w:r w:rsidR="004665B7">
        <w:rPr>
          <w:rFonts w:eastAsia="Times New Roman" w:cs="Arial"/>
          <w:sz w:val="22"/>
          <w:lang w:eastAsia="fr-FR"/>
        </w:rPr>
        <w:t>ie-Hélène PARIS-VARIN, greffier</w:t>
      </w:r>
      <w:r w:rsidR="004D3C27">
        <w:rPr>
          <w:rFonts w:eastAsia="Times New Roman" w:cs="Arial"/>
          <w:sz w:val="22"/>
          <w:lang w:eastAsia="fr-FR"/>
        </w:rPr>
        <w:t xml:space="preserve"> de séance.</w:t>
      </w:r>
    </w:p>
    <w:p w:rsidR="00DE665C" w:rsidRDefault="00DE665C" w:rsidP="00DE665C">
      <w:pPr>
        <w:tabs>
          <w:tab w:val="center" w:pos="4536"/>
          <w:tab w:val="right" w:pos="9072"/>
        </w:tabs>
        <w:spacing w:line="240" w:lineRule="auto"/>
        <w:jc w:val="both"/>
        <w:rPr>
          <w:rFonts w:eastAsia="Times New Roman" w:cs="Arial"/>
          <w:sz w:val="22"/>
          <w:lang w:eastAsia="fr-FR"/>
        </w:rPr>
      </w:pPr>
    </w:p>
    <w:p w:rsidR="00C7432C" w:rsidRDefault="00C7432C" w:rsidP="00DE665C">
      <w:pPr>
        <w:tabs>
          <w:tab w:val="center" w:pos="4536"/>
          <w:tab w:val="right" w:pos="9072"/>
        </w:tabs>
        <w:spacing w:line="240" w:lineRule="auto"/>
        <w:jc w:val="both"/>
        <w:rPr>
          <w:rFonts w:eastAsia="Times New Roman" w:cs="Arial"/>
          <w:sz w:val="22"/>
          <w:lang w:eastAsia="fr-FR"/>
        </w:rPr>
      </w:pPr>
    </w:p>
    <w:p w:rsidR="00C7432C" w:rsidRDefault="00C7432C" w:rsidP="00C7432C">
      <w:pPr>
        <w:rPr>
          <w:rFonts w:cs="Arial"/>
          <w:sz w:val="22"/>
        </w:rPr>
      </w:pPr>
      <w:r>
        <w:rPr>
          <w:rFonts w:cs="Arial"/>
          <w:sz w:val="22"/>
        </w:rPr>
        <w:t xml:space="preserve">Signé : Antoine </w:t>
      </w:r>
      <w:proofErr w:type="spellStart"/>
      <w:r>
        <w:rPr>
          <w:rFonts w:cs="Arial"/>
          <w:sz w:val="22"/>
        </w:rPr>
        <w:t>Durrleman</w:t>
      </w:r>
      <w:proofErr w:type="spellEnd"/>
      <w:r>
        <w:rPr>
          <w:rFonts w:cs="Arial"/>
          <w:sz w:val="22"/>
        </w:rPr>
        <w:t>, président de séance, et Marie-Hélène Paris-Varin, greffi</w:t>
      </w:r>
      <w:r w:rsidR="00D8463C">
        <w:rPr>
          <w:rFonts w:cs="Arial"/>
          <w:sz w:val="22"/>
        </w:rPr>
        <w:t>er</w:t>
      </w:r>
      <w:r>
        <w:rPr>
          <w:rFonts w:cs="Arial"/>
          <w:sz w:val="22"/>
        </w:rPr>
        <w:t xml:space="preserve"> de séance.</w:t>
      </w:r>
    </w:p>
    <w:p w:rsidR="00C7432C" w:rsidRDefault="00C7432C" w:rsidP="00C7432C">
      <w:pPr>
        <w:tabs>
          <w:tab w:val="center" w:pos="4536"/>
          <w:tab w:val="right" w:pos="9072"/>
        </w:tabs>
        <w:spacing w:line="240" w:lineRule="auto"/>
        <w:jc w:val="both"/>
        <w:rPr>
          <w:rFonts w:eastAsia="Times New Roman" w:cs="Arial"/>
          <w:sz w:val="22"/>
          <w:lang w:eastAsia="fr-FR"/>
        </w:rPr>
      </w:pPr>
    </w:p>
    <w:p w:rsidR="00C7432C" w:rsidRDefault="00C7432C" w:rsidP="00C7432C">
      <w:pPr>
        <w:rPr>
          <w:rFonts w:cs="Arial"/>
          <w:sz w:val="22"/>
        </w:rPr>
      </w:pPr>
      <w:r>
        <w:rPr>
          <w:rFonts w:cs="Arial"/>
          <w:sz w:val="22"/>
        </w:rPr>
        <w:t>Collationné, certifié conforme à la minute étant au greffe de la Cour des comptes.</w:t>
      </w:r>
    </w:p>
    <w:p w:rsidR="00271736" w:rsidRDefault="00271736">
      <w:pPr>
        <w:spacing w:line="240" w:lineRule="auto"/>
        <w:rPr>
          <w:rFonts w:cs="Arial"/>
          <w:sz w:val="22"/>
        </w:rPr>
      </w:pPr>
      <w:r>
        <w:rPr>
          <w:rFonts w:cs="Arial"/>
          <w:sz w:val="22"/>
        </w:rPr>
        <w:br w:type="page"/>
      </w:r>
    </w:p>
    <w:p w:rsidR="00C7432C" w:rsidRDefault="00C7432C" w:rsidP="00C7432C">
      <w:pPr>
        <w:rPr>
          <w:rFonts w:cs="Arial"/>
          <w:sz w:val="22"/>
        </w:rPr>
      </w:pPr>
    </w:p>
    <w:p w:rsidR="00C7432C" w:rsidRDefault="00C7432C" w:rsidP="00C7432C">
      <w:pPr>
        <w:rPr>
          <w:rFonts w:cs="Arial"/>
          <w:sz w:val="22"/>
        </w:rPr>
      </w:pPr>
    </w:p>
    <w:p w:rsidR="00C7432C" w:rsidRDefault="00C7432C" w:rsidP="00C7432C">
      <w:pPr>
        <w:pStyle w:val="PS"/>
        <w:spacing w:after="0"/>
        <w:ind w:left="0" w:firstLine="0"/>
        <w:rPr>
          <w:rFonts w:ascii="Arial" w:hAnsi="Arial" w:cs="Arial"/>
          <w:color w:val="000000"/>
          <w:sz w:val="22"/>
          <w:szCs w:val="22"/>
        </w:rPr>
      </w:pPr>
      <w:r>
        <w:rPr>
          <w:rFonts w:ascii="Arial" w:hAnsi="Arial" w:cs="Arial"/>
          <w:color w:val="000000"/>
          <w:sz w:val="22"/>
          <w:szCs w:val="22"/>
        </w:rPr>
        <w:t>Délivré par moi, secrétaire général.</w:t>
      </w:r>
    </w:p>
    <w:p w:rsidR="00C7432C" w:rsidRDefault="00C7432C" w:rsidP="00C7432C">
      <w:pPr>
        <w:pStyle w:val="PS"/>
        <w:spacing w:after="0"/>
        <w:rPr>
          <w:color w:val="000000"/>
          <w:sz w:val="22"/>
          <w:szCs w:val="22"/>
        </w:rPr>
      </w:pPr>
    </w:p>
    <w:p w:rsidR="00C7432C" w:rsidRDefault="00C7432C" w:rsidP="00C7432C">
      <w:pPr>
        <w:pStyle w:val="PS"/>
        <w:spacing w:after="0"/>
        <w:ind w:left="851" w:firstLine="3402"/>
        <w:jc w:val="center"/>
        <w:rPr>
          <w:rFonts w:ascii="Arial" w:hAnsi="Arial" w:cs="Arial"/>
          <w:b/>
          <w:bCs/>
          <w:sz w:val="22"/>
          <w:szCs w:val="22"/>
        </w:rPr>
      </w:pPr>
      <w:r>
        <w:rPr>
          <w:rFonts w:ascii="Arial" w:hAnsi="Arial" w:cs="Arial"/>
          <w:b/>
          <w:bCs/>
          <w:sz w:val="22"/>
          <w:szCs w:val="22"/>
        </w:rPr>
        <w:t>Pour le secrétaire général</w:t>
      </w:r>
    </w:p>
    <w:p w:rsidR="00C7432C" w:rsidRDefault="00C7432C" w:rsidP="00C7432C">
      <w:pPr>
        <w:pStyle w:val="PS"/>
        <w:spacing w:after="0"/>
        <w:ind w:left="851" w:firstLine="3402"/>
        <w:jc w:val="center"/>
        <w:rPr>
          <w:rFonts w:ascii="Arial" w:hAnsi="Arial" w:cs="Arial"/>
          <w:b/>
          <w:bCs/>
          <w:sz w:val="22"/>
          <w:szCs w:val="22"/>
        </w:rPr>
      </w:pPr>
      <w:proofErr w:type="gramStart"/>
      <w:r>
        <w:rPr>
          <w:rFonts w:ascii="Arial" w:hAnsi="Arial" w:cs="Arial"/>
          <w:b/>
          <w:bCs/>
          <w:sz w:val="22"/>
          <w:szCs w:val="22"/>
        </w:rPr>
        <w:t>et</w:t>
      </w:r>
      <w:proofErr w:type="gramEnd"/>
      <w:r>
        <w:rPr>
          <w:rFonts w:ascii="Arial" w:hAnsi="Arial" w:cs="Arial"/>
          <w:b/>
          <w:bCs/>
          <w:sz w:val="22"/>
          <w:szCs w:val="22"/>
        </w:rPr>
        <w:t xml:space="preserve"> par délégation,</w:t>
      </w:r>
    </w:p>
    <w:p w:rsidR="00C7432C" w:rsidRDefault="00C7432C" w:rsidP="00C7432C">
      <w:pPr>
        <w:pStyle w:val="PS"/>
        <w:spacing w:after="1200"/>
        <w:ind w:left="851" w:firstLine="3402"/>
        <w:jc w:val="center"/>
        <w:rPr>
          <w:rFonts w:ascii="Arial" w:hAnsi="Arial" w:cs="Arial"/>
          <w:b/>
          <w:bCs/>
          <w:sz w:val="22"/>
          <w:szCs w:val="22"/>
        </w:rPr>
      </w:pPr>
      <w:proofErr w:type="gramStart"/>
      <w:r>
        <w:rPr>
          <w:rFonts w:ascii="Arial" w:hAnsi="Arial" w:cs="Arial"/>
          <w:b/>
          <w:bCs/>
          <w:sz w:val="22"/>
          <w:szCs w:val="22"/>
        </w:rPr>
        <w:t>le</w:t>
      </w:r>
      <w:proofErr w:type="gramEnd"/>
      <w:r>
        <w:rPr>
          <w:rFonts w:ascii="Arial" w:hAnsi="Arial" w:cs="Arial"/>
          <w:b/>
          <w:bCs/>
          <w:sz w:val="22"/>
          <w:szCs w:val="22"/>
        </w:rPr>
        <w:t xml:space="preserve"> chef du greffe contentieux</w:t>
      </w:r>
    </w:p>
    <w:p w:rsidR="00C7432C" w:rsidRDefault="00C7432C" w:rsidP="00C7432C">
      <w:pPr>
        <w:pStyle w:val="PS"/>
        <w:spacing w:after="0"/>
        <w:ind w:left="851" w:firstLine="3686"/>
        <w:jc w:val="center"/>
        <w:rPr>
          <w:rFonts w:ascii="Arial" w:hAnsi="Arial" w:cs="Arial"/>
          <w:b/>
          <w:bCs/>
          <w:sz w:val="22"/>
          <w:szCs w:val="22"/>
        </w:rPr>
      </w:pPr>
      <w:r>
        <w:rPr>
          <w:rFonts w:ascii="Arial" w:hAnsi="Arial" w:cs="Arial"/>
          <w:b/>
          <w:bCs/>
          <w:sz w:val="22"/>
          <w:szCs w:val="22"/>
        </w:rPr>
        <w:t xml:space="preserve">Daniel </w:t>
      </w:r>
      <w:proofErr w:type="spellStart"/>
      <w:r>
        <w:rPr>
          <w:rFonts w:ascii="Arial" w:hAnsi="Arial" w:cs="Arial"/>
          <w:b/>
          <w:bCs/>
          <w:sz w:val="22"/>
          <w:szCs w:val="22"/>
        </w:rPr>
        <w:t>Férez</w:t>
      </w:r>
      <w:proofErr w:type="spellEnd"/>
    </w:p>
    <w:p w:rsidR="00C7432C" w:rsidRPr="00C13095" w:rsidRDefault="00C7432C" w:rsidP="00DE665C">
      <w:pPr>
        <w:tabs>
          <w:tab w:val="center" w:pos="4536"/>
          <w:tab w:val="right" w:pos="9072"/>
        </w:tabs>
        <w:spacing w:line="240" w:lineRule="auto"/>
        <w:jc w:val="both"/>
        <w:rPr>
          <w:rFonts w:eastAsia="Times New Roman" w:cs="Arial"/>
          <w:sz w:val="22"/>
          <w:lang w:eastAsia="fr-FR"/>
        </w:rPr>
      </w:pPr>
    </w:p>
    <w:p w:rsidR="008B5793" w:rsidRDefault="008B5793" w:rsidP="00DE665C">
      <w:pPr>
        <w:tabs>
          <w:tab w:val="center" w:pos="4536"/>
          <w:tab w:val="right" w:pos="9072"/>
        </w:tabs>
        <w:spacing w:line="240" w:lineRule="auto"/>
        <w:jc w:val="both"/>
        <w:rPr>
          <w:rFonts w:eastAsia="Times New Roman" w:cs="Arial"/>
          <w:sz w:val="22"/>
          <w:lang w:eastAsia="fr-FR"/>
        </w:rPr>
      </w:pPr>
    </w:p>
    <w:p w:rsidR="008B5793" w:rsidRDefault="008B5793" w:rsidP="00DE665C">
      <w:pPr>
        <w:tabs>
          <w:tab w:val="center" w:pos="4536"/>
          <w:tab w:val="right" w:pos="9072"/>
        </w:tabs>
        <w:spacing w:line="240" w:lineRule="auto"/>
        <w:jc w:val="both"/>
        <w:rPr>
          <w:rFonts w:eastAsia="Times New Roman" w:cs="Arial"/>
          <w:sz w:val="22"/>
          <w:lang w:eastAsia="fr-FR"/>
        </w:rPr>
      </w:pPr>
    </w:p>
    <w:p w:rsidR="008B5793" w:rsidRDefault="008B5793" w:rsidP="00DE665C">
      <w:pPr>
        <w:tabs>
          <w:tab w:val="center" w:pos="4536"/>
          <w:tab w:val="right" w:pos="9072"/>
        </w:tabs>
        <w:spacing w:line="240" w:lineRule="auto"/>
        <w:jc w:val="both"/>
        <w:rPr>
          <w:rFonts w:eastAsia="Times New Roman" w:cs="Arial"/>
          <w:sz w:val="22"/>
          <w:lang w:eastAsia="fr-FR"/>
        </w:rPr>
      </w:pPr>
    </w:p>
    <w:p w:rsidR="00DE665C"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Pr>
          <w:rFonts w:eastAsia="Times New Roman" w:cs="Arial"/>
          <w:sz w:val="22"/>
          <w:lang w:eastAsia="fr-FR"/>
        </w:rPr>
        <w:br/>
      </w:r>
      <w:r w:rsidRPr="00C13095">
        <w:rPr>
          <w:rFonts w:eastAsia="Times New Roman" w:cs="Arial"/>
          <w:sz w:val="22"/>
          <w:lang w:eastAsia="fr-FR"/>
        </w:rPr>
        <w:t>la République près les tribunaux de grande instance d’y tenir la main, à tous commandants et officiers de la force publique de prêter main-forte lorsqu’ils en seront légalement requis.</w:t>
      </w:r>
    </w:p>
    <w:p w:rsidR="00AC461E" w:rsidRDefault="00AC461E" w:rsidP="00DE665C">
      <w:pPr>
        <w:tabs>
          <w:tab w:val="center" w:pos="4536"/>
          <w:tab w:val="right" w:pos="9072"/>
        </w:tabs>
        <w:spacing w:line="240" w:lineRule="auto"/>
        <w:jc w:val="both"/>
        <w:rPr>
          <w:rFonts w:eastAsia="Times New Roman" w:cs="Arial"/>
          <w:sz w:val="22"/>
          <w:lang w:eastAsia="fr-FR"/>
        </w:rPr>
      </w:pPr>
    </w:p>
    <w:p w:rsidR="00DE665C" w:rsidRPr="00C13095" w:rsidRDefault="00AC461E" w:rsidP="00DE665C">
      <w:pPr>
        <w:tabs>
          <w:tab w:val="center" w:pos="4536"/>
          <w:tab w:val="right" w:pos="9072"/>
        </w:tabs>
        <w:spacing w:line="240" w:lineRule="auto"/>
        <w:jc w:val="both"/>
        <w:rPr>
          <w:rFonts w:eastAsia="Times New Roman" w:cs="Arial"/>
          <w:sz w:val="22"/>
          <w:lang w:eastAsia="fr-FR"/>
        </w:rPr>
      </w:pPr>
      <w:r w:rsidRPr="00AC461E">
        <w:rPr>
          <w:rFonts w:eastAsia="Times New Roman" w:cs="Arial"/>
          <w:sz w:val="22"/>
          <w:lang w:eastAsia="fr-FR"/>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d’État dans </w:t>
      </w:r>
      <w:r w:rsidRPr="00AC461E">
        <w:rPr>
          <w:rFonts w:eastAsia="Times New Roman" w:cs="Arial"/>
          <w:sz w:val="22"/>
          <w:lang w:eastAsia="fr-FR"/>
        </w:rPr>
        <w:br/>
        <w:t xml:space="preserve">le délai de deux mois à compter de la notification de l’acte. La révision d’un arrêt ou d’une ordonnance peut être demandée après expiration des délais de pourvoi en cassation, et </w:t>
      </w:r>
      <w:r w:rsidRPr="00AC461E">
        <w:rPr>
          <w:rFonts w:eastAsia="Times New Roman" w:cs="Arial"/>
          <w:sz w:val="22"/>
          <w:lang w:eastAsia="fr-FR"/>
        </w:rPr>
        <w:br/>
        <w:t>ce dans les conditions prévues à l’article R. 142-15-I du même code.</w:t>
      </w:r>
    </w:p>
    <w:tbl>
      <w:tblPr>
        <w:tblW w:w="0" w:type="auto"/>
        <w:tblInd w:w="4928" w:type="dxa"/>
        <w:tblLook w:val="00A0" w:firstRow="1" w:lastRow="0" w:firstColumn="1" w:lastColumn="0" w:noHBand="0" w:noVBand="0"/>
      </w:tblPr>
      <w:tblGrid>
        <w:gridCol w:w="4358"/>
      </w:tblGrid>
      <w:tr w:rsidR="00DE665C" w:rsidRPr="00C13095" w:rsidTr="00DE665C">
        <w:trPr>
          <w:trHeight w:val="1626"/>
        </w:trPr>
        <w:tc>
          <w:tcPr>
            <w:tcW w:w="4928" w:type="dxa"/>
          </w:tcPr>
          <w:p w:rsidR="00DE665C" w:rsidRPr="00C13095" w:rsidRDefault="00DE665C" w:rsidP="00DE665C">
            <w:pPr>
              <w:tabs>
                <w:tab w:val="center" w:pos="4536"/>
                <w:tab w:val="right" w:pos="9072"/>
              </w:tabs>
              <w:spacing w:line="240" w:lineRule="auto"/>
              <w:jc w:val="center"/>
              <w:rPr>
                <w:rFonts w:eastAsia="Times New Roman" w:cs="Arial"/>
                <w:sz w:val="22"/>
                <w:lang w:eastAsia="fr-FR"/>
              </w:rPr>
            </w:pPr>
          </w:p>
          <w:p w:rsidR="00DE665C" w:rsidRPr="00C13095" w:rsidRDefault="00DE665C" w:rsidP="00DE665C">
            <w:pPr>
              <w:tabs>
                <w:tab w:val="center" w:pos="4536"/>
                <w:tab w:val="right" w:pos="9072"/>
              </w:tabs>
              <w:spacing w:line="240" w:lineRule="auto"/>
              <w:jc w:val="center"/>
              <w:rPr>
                <w:rFonts w:eastAsia="Times New Roman" w:cs="Arial"/>
                <w:sz w:val="22"/>
                <w:lang w:eastAsia="fr-FR"/>
              </w:rPr>
            </w:pPr>
          </w:p>
          <w:p w:rsidR="00DE665C" w:rsidRPr="00C13095" w:rsidRDefault="00DE665C" w:rsidP="00DE665C">
            <w:pPr>
              <w:tabs>
                <w:tab w:val="center" w:pos="4536"/>
                <w:tab w:val="right" w:pos="9072"/>
              </w:tabs>
              <w:spacing w:line="240" w:lineRule="auto"/>
              <w:jc w:val="center"/>
              <w:rPr>
                <w:rFonts w:eastAsia="Times New Roman" w:cs="Arial"/>
                <w:sz w:val="22"/>
                <w:lang w:eastAsia="fr-FR"/>
              </w:rPr>
            </w:pPr>
          </w:p>
        </w:tc>
      </w:tr>
    </w:tbl>
    <w:p w:rsidR="00FA2EC4" w:rsidRPr="00C13095" w:rsidRDefault="00FA2EC4" w:rsidP="00DE665C"/>
    <w:sectPr w:rsidR="00FA2EC4" w:rsidRPr="00C13095" w:rsidSect="00E93E06">
      <w:headerReference w:type="default" r:id="rId9"/>
      <w:footerReference w:type="default" r:id="rId10"/>
      <w:headerReference w:type="first" r:id="rId11"/>
      <w:footerReference w:type="first" r:id="rId12"/>
      <w:type w:val="continuous"/>
      <w:pgSz w:w="11906" w:h="16838" w:code="9"/>
      <w:pgMar w:top="680" w:right="1418" w:bottom="851" w:left="1418" w:header="113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B35" w:rsidRDefault="00CE1B35" w:rsidP="00B41656">
      <w:pPr>
        <w:spacing w:line="240" w:lineRule="auto"/>
      </w:pPr>
      <w:r>
        <w:separator/>
      </w:r>
    </w:p>
  </w:endnote>
  <w:endnote w:type="continuationSeparator" w:id="0">
    <w:p w:rsidR="00CE1B35" w:rsidRDefault="00CE1B35"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01D" w:rsidRDefault="003A601D">
    <w:pPr>
      <w:pStyle w:val="Pieddepage"/>
      <w:jc w:val="right"/>
    </w:pPr>
  </w:p>
  <w:p w:rsidR="00DE665C" w:rsidRDefault="00D77DC0" w:rsidP="00D77DC0">
    <w:pPr>
      <w:pStyle w:val="Pieddepage"/>
      <w:jc w:val="center"/>
    </w:pPr>
    <w:r w:rsidRPr="00D77DC0">
      <w:rPr>
        <w:rFonts w:cs="Arial"/>
        <w:sz w:val="18"/>
        <w:szCs w:val="18"/>
      </w:rPr>
      <w:t>13 rue Cambon - 75100 PARIS CEDEX 01 - T +33 1 42 98 95 00 - www.ccomptes.fr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DE665C" w:rsidTr="00883917">
      <w:trPr>
        <w:jc w:val="center"/>
      </w:trPr>
      <w:tc>
        <w:tcPr>
          <w:tcW w:w="9212" w:type="dxa"/>
          <w:shd w:val="clear" w:color="auto" w:fill="auto"/>
        </w:tcPr>
        <w:p w:rsidR="00DE665C" w:rsidRPr="00883917" w:rsidRDefault="00DE665C" w:rsidP="00883917">
          <w:pPr>
            <w:pStyle w:val="Pieddepage"/>
            <w:jc w:val="center"/>
            <w:rPr>
              <w:rFonts w:cs="Arial"/>
              <w:sz w:val="18"/>
              <w:szCs w:val="18"/>
            </w:rPr>
          </w:pPr>
          <w:r w:rsidRPr="00883917">
            <w:rPr>
              <w:rFonts w:cs="Arial"/>
              <w:sz w:val="18"/>
              <w:szCs w:val="18"/>
            </w:rPr>
            <w:t>13 rue Cambon - 75100 PARIS CEDEX 01 - T +33 1 42 98 95 00 - www.ccomptes.fr</w:t>
          </w:r>
        </w:p>
      </w:tc>
    </w:tr>
  </w:tbl>
  <w:p w:rsidR="00DE665C" w:rsidRDefault="00DE665C"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B35" w:rsidRDefault="00CE1B35" w:rsidP="00B41656">
      <w:pPr>
        <w:spacing w:line="240" w:lineRule="auto"/>
      </w:pPr>
      <w:r>
        <w:separator/>
      </w:r>
    </w:p>
  </w:footnote>
  <w:footnote w:type="continuationSeparator" w:id="0">
    <w:p w:rsidR="00CE1B35" w:rsidRDefault="00CE1B35"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DC0" w:rsidRDefault="00D77DC0">
    <w:pPr>
      <w:pStyle w:val="En-tte"/>
      <w:jc w:val="right"/>
    </w:pPr>
  </w:p>
  <w:p w:rsidR="00D77DC0" w:rsidRPr="008B5793" w:rsidRDefault="00D77DC0">
    <w:pPr>
      <w:pStyle w:val="En-tte"/>
      <w:jc w:val="right"/>
      <w:rPr>
        <w:sz w:val="18"/>
        <w:szCs w:val="18"/>
      </w:rPr>
    </w:pPr>
    <w:r w:rsidRPr="008B5793">
      <w:rPr>
        <w:sz w:val="18"/>
        <w:szCs w:val="18"/>
      </w:rPr>
      <w:fldChar w:fldCharType="begin"/>
    </w:r>
    <w:r w:rsidRPr="008B5793">
      <w:rPr>
        <w:sz w:val="18"/>
        <w:szCs w:val="18"/>
      </w:rPr>
      <w:instrText>PAGE   \* MERGEFORMAT</w:instrText>
    </w:r>
    <w:r w:rsidRPr="008B5793">
      <w:rPr>
        <w:sz w:val="18"/>
        <w:szCs w:val="18"/>
      </w:rPr>
      <w:fldChar w:fldCharType="separate"/>
    </w:r>
    <w:r w:rsidR="004B39B0">
      <w:rPr>
        <w:noProof/>
        <w:sz w:val="18"/>
        <w:szCs w:val="18"/>
      </w:rPr>
      <w:t>6</w:t>
    </w:r>
    <w:r w:rsidRPr="008B5793">
      <w:rPr>
        <w:sz w:val="18"/>
        <w:szCs w:val="18"/>
      </w:rPr>
      <w:fldChar w:fldCharType="end"/>
    </w:r>
    <w:r w:rsidRPr="008B5793">
      <w:rPr>
        <w:sz w:val="18"/>
        <w:szCs w:val="18"/>
      </w:rPr>
      <w:t>/6</w:t>
    </w:r>
  </w:p>
  <w:p w:rsidR="00DE665C" w:rsidRDefault="00DE665C"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3F3798">
    <w:pPr>
      <w:pStyle w:val="En-tte"/>
    </w:pPr>
    <w:r>
      <w:rPr>
        <w:noProof/>
        <w:lang w:eastAsia="fr-FR"/>
      </w:rPr>
      <w:drawing>
        <wp:anchor distT="0" distB="0" distL="114300" distR="114300" simplePos="0" relativeHeight="251657728" behindDoc="0" locked="0" layoutInCell="1" allowOverlap="1" wp14:anchorId="6CF4512B" wp14:editId="73DAD9F3">
          <wp:simplePos x="0" y="0"/>
          <wp:positionH relativeFrom="column">
            <wp:posOffset>-857885</wp:posOffset>
          </wp:positionH>
          <wp:positionV relativeFrom="paragraph">
            <wp:posOffset>-803275</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602"/>
    <w:multiLevelType w:val="hybridMultilevel"/>
    <w:tmpl w:val="7F682956"/>
    <w:lvl w:ilvl="0" w:tplc="74583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43A4"/>
    <w:rsid w:val="0005637C"/>
    <w:rsid w:val="00057C1C"/>
    <w:rsid w:val="00060466"/>
    <w:rsid w:val="00067EA3"/>
    <w:rsid w:val="00094984"/>
    <w:rsid w:val="00095B01"/>
    <w:rsid w:val="000974A4"/>
    <w:rsid w:val="000B46DE"/>
    <w:rsid w:val="000B54EB"/>
    <w:rsid w:val="000C147C"/>
    <w:rsid w:val="000C439C"/>
    <w:rsid w:val="000E0EC4"/>
    <w:rsid w:val="000F5299"/>
    <w:rsid w:val="000F53CA"/>
    <w:rsid w:val="00110640"/>
    <w:rsid w:val="0012396C"/>
    <w:rsid w:val="001248F5"/>
    <w:rsid w:val="001258E5"/>
    <w:rsid w:val="0013115F"/>
    <w:rsid w:val="00131A38"/>
    <w:rsid w:val="001440E9"/>
    <w:rsid w:val="0016783F"/>
    <w:rsid w:val="00171708"/>
    <w:rsid w:val="001733C8"/>
    <w:rsid w:val="00177B90"/>
    <w:rsid w:val="001D11BE"/>
    <w:rsid w:val="001E4B0B"/>
    <w:rsid w:val="002040C2"/>
    <w:rsid w:val="002304DE"/>
    <w:rsid w:val="00231C67"/>
    <w:rsid w:val="00240C13"/>
    <w:rsid w:val="00244453"/>
    <w:rsid w:val="00271736"/>
    <w:rsid w:val="00283473"/>
    <w:rsid w:val="002878B1"/>
    <w:rsid w:val="00293A6E"/>
    <w:rsid w:val="002A615A"/>
    <w:rsid w:val="002B74C3"/>
    <w:rsid w:val="002C0B4C"/>
    <w:rsid w:val="002C28D9"/>
    <w:rsid w:val="002D0DA9"/>
    <w:rsid w:val="002E3FDE"/>
    <w:rsid w:val="002E75B7"/>
    <w:rsid w:val="002F4AE9"/>
    <w:rsid w:val="002F6A17"/>
    <w:rsid w:val="00331818"/>
    <w:rsid w:val="00332559"/>
    <w:rsid w:val="00376FD6"/>
    <w:rsid w:val="003955D7"/>
    <w:rsid w:val="003A09FE"/>
    <w:rsid w:val="003A601D"/>
    <w:rsid w:val="003B7BA2"/>
    <w:rsid w:val="003C5337"/>
    <w:rsid w:val="003C582D"/>
    <w:rsid w:val="003C729C"/>
    <w:rsid w:val="003D6175"/>
    <w:rsid w:val="003D7655"/>
    <w:rsid w:val="003F3798"/>
    <w:rsid w:val="004022CB"/>
    <w:rsid w:val="00403FE3"/>
    <w:rsid w:val="004507C2"/>
    <w:rsid w:val="004665B7"/>
    <w:rsid w:val="00466852"/>
    <w:rsid w:val="0047092C"/>
    <w:rsid w:val="00475B74"/>
    <w:rsid w:val="00477C3D"/>
    <w:rsid w:val="004A1A11"/>
    <w:rsid w:val="004A49F1"/>
    <w:rsid w:val="004B39B0"/>
    <w:rsid w:val="004C51CE"/>
    <w:rsid w:val="004D3C27"/>
    <w:rsid w:val="004E5FBB"/>
    <w:rsid w:val="00541092"/>
    <w:rsid w:val="005453DC"/>
    <w:rsid w:val="0054781F"/>
    <w:rsid w:val="00562DA5"/>
    <w:rsid w:val="005B4CA5"/>
    <w:rsid w:val="005C5994"/>
    <w:rsid w:val="005F61B5"/>
    <w:rsid w:val="00602139"/>
    <w:rsid w:val="00604974"/>
    <w:rsid w:val="0060528A"/>
    <w:rsid w:val="006344B0"/>
    <w:rsid w:val="00641E50"/>
    <w:rsid w:val="00647807"/>
    <w:rsid w:val="00662166"/>
    <w:rsid w:val="00676091"/>
    <w:rsid w:val="006774B5"/>
    <w:rsid w:val="00687F6F"/>
    <w:rsid w:val="006A4EB5"/>
    <w:rsid w:val="006A568B"/>
    <w:rsid w:val="006A7750"/>
    <w:rsid w:val="006C72CB"/>
    <w:rsid w:val="006E170E"/>
    <w:rsid w:val="006E3A7F"/>
    <w:rsid w:val="006F156E"/>
    <w:rsid w:val="006F2D71"/>
    <w:rsid w:val="00707BD1"/>
    <w:rsid w:val="00724014"/>
    <w:rsid w:val="0072501D"/>
    <w:rsid w:val="007252C5"/>
    <w:rsid w:val="007410AA"/>
    <w:rsid w:val="00741521"/>
    <w:rsid w:val="00752293"/>
    <w:rsid w:val="00764F62"/>
    <w:rsid w:val="00765A21"/>
    <w:rsid w:val="0077703E"/>
    <w:rsid w:val="00782596"/>
    <w:rsid w:val="007A448C"/>
    <w:rsid w:val="007B06F6"/>
    <w:rsid w:val="007B0E18"/>
    <w:rsid w:val="007C287C"/>
    <w:rsid w:val="007E06F2"/>
    <w:rsid w:val="007F2707"/>
    <w:rsid w:val="007F5ADE"/>
    <w:rsid w:val="0081551A"/>
    <w:rsid w:val="00823B76"/>
    <w:rsid w:val="008256E2"/>
    <w:rsid w:val="00832984"/>
    <w:rsid w:val="0085194D"/>
    <w:rsid w:val="00863D04"/>
    <w:rsid w:val="0086760B"/>
    <w:rsid w:val="00875AE9"/>
    <w:rsid w:val="00883917"/>
    <w:rsid w:val="008844EF"/>
    <w:rsid w:val="008A2249"/>
    <w:rsid w:val="008A34BF"/>
    <w:rsid w:val="008A6ACF"/>
    <w:rsid w:val="008B5793"/>
    <w:rsid w:val="008C244D"/>
    <w:rsid w:val="008C5683"/>
    <w:rsid w:val="008E360F"/>
    <w:rsid w:val="008E5EE8"/>
    <w:rsid w:val="008E6349"/>
    <w:rsid w:val="0092474F"/>
    <w:rsid w:val="00935BDC"/>
    <w:rsid w:val="009405CE"/>
    <w:rsid w:val="00950441"/>
    <w:rsid w:val="00966697"/>
    <w:rsid w:val="009802E3"/>
    <w:rsid w:val="009B22BF"/>
    <w:rsid w:val="009B6D50"/>
    <w:rsid w:val="009F0CC9"/>
    <w:rsid w:val="00A02D30"/>
    <w:rsid w:val="00A124BE"/>
    <w:rsid w:val="00A217ED"/>
    <w:rsid w:val="00A27AFA"/>
    <w:rsid w:val="00A32C49"/>
    <w:rsid w:val="00A35A07"/>
    <w:rsid w:val="00A4059D"/>
    <w:rsid w:val="00A755A3"/>
    <w:rsid w:val="00A83FC9"/>
    <w:rsid w:val="00A92BA5"/>
    <w:rsid w:val="00A9735F"/>
    <w:rsid w:val="00AA53FC"/>
    <w:rsid w:val="00AA72D9"/>
    <w:rsid w:val="00AB29D9"/>
    <w:rsid w:val="00AC461E"/>
    <w:rsid w:val="00AE774F"/>
    <w:rsid w:val="00AF15EE"/>
    <w:rsid w:val="00B128E3"/>
    <w:rsid w:val="00B220FB"/>
    <w:rsid w:val="00B40DC2"/>
    <w:rsid w:val="00B41656"/>
    <w:rsid w:val="00B645D1"/>
    <w:rsid w:val="00B967C8"/>
    <w:rsid w:val="00BA60D8"/>
    <w:rsid w:val="00BB2920"/>
    <w:rsid w:val="00BB7176"/>
    <w:rsid w:val="00BC40A5"/>
    <w:rsid w:val="00BD662D"/>
    <w:rsid w:val="00C04525"/>
    <w:rsid w:val="00C17123"/>
    <w:rsid w:val="00C22187"/>
    <w:rsid w:val="00C23B89"/>
    <w:rsid w:val="00C32D50"/>
    <w:rsid w:val="00C34D0E"/>
    <w:rsid w:val="00C470E9"/>
    <w:rsid w:val="00C7432C"/>
    <w:rsid w:val="00C77CA2"/>
    <w:rsid w:val="00CA1BD5"/>
    <w:rsid w:val="00CA5A34"/>
    <w:rsid w:val="00CC39B0"/>
    <w:rsid w:val="00CC6053"/>
    <w:rsid w:val="00CE1B35"/>
    <w:rsid w:val="00CE1BD7"/>
    <w:rsid w:val="00CE4F79"/>
    <w:rsid w:val="00CF6809"/>
    <w:rsid w:val="00D15190"/>
    <w:rsid w:val="00D21CDB"/>
    <w:rsid w:val="00D2554C"/>
    <w:rsid w:val="00D500EF"/>
    <w:rsid w:val="00D51C43"/>
    <w:rsid w:val="00D62649"/>
    <w:rsid w:val="00D776D5"/>
    <w:rsid w:val="00D77DC0"/>
    <w:rsid w:val="00D817B5"/>
    <w:rsid w:val="00D83DFB"/>
    <w:rsid w:val="00D8463C"/>
    <w:rsid w:val="00DA6392"/>
    <w:rsid w:val="00DE48AF"/>
    <w:rsid w:val="00DE665C"/>
    <w:rsid w:val="00DE6999"/>
    <w:rsid w:val="00DF28A2"/>
    <w:rsid w:val="00E03E5C"/>
    <w:rsid w:val="00E06650"/>
    <w:rsid w:val="00E25406"/>
    <w:rsid w:val="00E3067F"/>
    <w:rsid w:val="00E35B8A"/>
    <w:rsid w:val="00E378A0"/>
    <w:rsid w:val="00E42F62"/>
    <w:rsid w:val="00E430FB"/>
    <w:rsid w:val="00E55D24"/>
    <w:rsid w:val="00E63E60"/>
    <w:rsid w:val="00E71BCB"/>
    <w:rsid w:val="00E83E5C"/>
    <w:rsid w:val="00E86FB6"/>
    <w:rsid w:val="00E87137"/>
    <w:rsid w:val="00E93E06"/>
    <w:rsid w:val="00EC584D"/>
    <w:rsid w:val="00ED17C7"/>
    <w:rsid w:val="00ED3235"/>
    <w:rsid w:val="00ED3BBB"/>
    <w:rsid w:val="00ED61E0"/>
    <w:rsid w:val="00EE3AA4"/>
    <w:rsid w:val="00EE4F42"/>
    <w:rsid w:val="00EE5731"/>
    <w:rsid w:val="00F02D0A"/>
    <w:rsid w:val="00F34BAC"/>
    <w:rsid w:val="00F63CE2"/>
    <w:rsid w:val="00F70CB0"/>
    <w:rsid w:val="00F73ABC"/>
    <w:rsid w:val="00F8606B"/>
    <w:rsid w:val="00FA06C4"/>
    <w:rsid w:val="00FA2EC4"/>
    <w:rsid w:val="00FA3203"/>
    <w:rsid w:val="00FB00BA"/>
    <w:rsid w:val="00FB44A5"/>
    <w:rsid w:val="00FC0C28"/>
    <w:rsid w:val="00FC0F77"/>
    <w:rsid w:val="00FC3558"/>
    <w:rsid w:val="00FD31C9"/>
    <w:rsid w:val="00FF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styleId="Marquedecommentaire">
    <w:name w:val="annotation reference"/>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link w:val="Objetducommentaire"/>
    <w:uiPriority w:val="99"/>
    <w:semiHidden/>
    <w:rsid w:val="00475B74"/>
    <w:rPr>
      <w:b/>
      <w:bCs/>
      <w:lang w:eastAsia="en-US"/>
    </w:rPr>
  </w:style>
  <w:style w:type="character" w:customStyle="1" w:styleId="PSCar">
    <w:name w:val="PS Car"/>
    <w:link w:val="PS"/>
    <w:locked/>
    <w:rsid w:val="00C7432C"/>
    <w:rPr>
      <w:rFonts w:ascii="Times New Roman" w:eastAsia="Times New Roman" w:hAnsi="Times New Roman"/>
      <w:sz w:val="24"/>
      <w:szCs w:val="24"/>
    </w:rPr>
  </w:style>
  <w:style w:type="paragraph" w:customStyle="1" w:styleId="PS">
    <w:name w:val="PS"/>
    <w:basedOn w:val="Normal"/>
    <w:link w:val="PSCar"/>
    <w:rsid w:val="00C7432C"/>
    <w:pPr>
      <w:spacing w:after="480" w:line="240" w:lineRule="auto"/>
      <w:ind w:left="1701" w:firstLine="1134"/>
      <w:jc w:val="both"/>
    </w:pPr>
    <w:rPr>
      <w:rFonts w:ascii="Times New Roman" w:eastAsia="Times New Roman" w:hAnsi="Times New Roman"/>
      <w:sz w:val="24"/>
      <w:szCs w:val="24"/>
      <w:lang w:eastAsia="fr-FR"/>
    </w:rPr>
  </w:style>
  <w:style w:type="paragraph" w:styleId="Rvision">
    <w:name w:val="Revision"/>
    <w:hidden/>
    <w:uiPriority w:val="71"/>
    <w:rsid w:val="0072501D"/>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styleId="Marquedecommentaire">
    <w:name w:val="annotation reference"/>
    <w:uiPriority w:val="99"/>
    <w:semiHidden/>
    <w:rsid w:val="00475B74"/>
    <w:rPr>
      <w:sz w:val="16"/>
      <w:szCs w:val="16"/>
    </w:rPr>
  </w:style>
  <w:style w:type="paragraph" w:styleId="Commentaire">
    <w:name w:val="annotation text"/>
    <w:basedOn w:val="Normal"/>
    <w:link w:val="CommentaireCar"/>
    <w:uiPriority w:val="99"/>
    <w:semiHidden/>
    <w:rsid w:val="00475B74"/>
    <w:pPr>
      <w:spacing w:line="240" w:lineRule="auto"/>
    </w:pPr>
    <w:rPr>
      <w:sz w:val="20"/>
      <w:szCs w:val="20"/>
    </w:rPr>
  </w:style>
  <w:style w:type="character" w:customStyle="1" w:styleId="CommentaireCar">
    <w:name w:val="Commentaire Car"/>
    <w:link w:val="Commentaire"/>
    <w:uiPriority w:val="99"/>
    <w:semiHidden/>
    <w:rsid w:val="00475B74"/>
    <w:rPr>
      <w:lang w:eastAsia="en-US"/>
    </w:rPr>
  </w:style>
  <w:style w:type="paragraph" w:styleId="Objetducommentaire">
    <w:name w:val="annotation subject"/>
    <w:basedOn w:val="Commentaire"/>
    <w:next w:val="Commentaire"/>
    <w:link w:val="ObjetducommentaireCar"/>
    <w:uiPriority w:val="99"/>
    <w:semiHidden/>
    <w:rsid w:val="00475B74"/>
    <w:rPr>
      <w:b/>
      <w:bCs/>
    </w:rPr>
  </w:style>
  <w:style w:type="character" w:customStyle="1" w:styleId="ObjetducommentaireCar">
    <w:name w:val="Objet du commentaire Car"/>
    <w:link w:val="Objetducommentaire"/>
    <w:uiPriority w:val="99"/>
    <w:semiHidden/>
    <w:rsid w:val="00475B74"/>
    <w:rPr>
      <w:b/>
      <w:bCs/>
      <w:lang w:eastAsia="en-US"/>
    </w:rPr>
  </w:style>
  <w:style w:type="character" w:customStyle="1" w:styleId="PSCar">
    <w:name w:val="PS Car"/>
    <w:link w:val="PS"/>
    <w:locked/>
    <w:rsid w:val="00C7432C"/>
    <w:rPr>
      <w:rFonts w:ascii="Times New Roman" w:eastAsia="Times New Roman" w:hAnsi="Times New Roman"/>
      <w:sz w:val="24"/>
      <w:szCs w:val="24"/>
    </w:rPr>
  </w:style>
  <w:style w:type="paragraph" w:customStyle="1" w:styleId="PS">
    <w:name w:val="PS"/>
    <w:basedOn w:val="Normal"/>
    <w:link w:val="PSCar"/>
    <w:rsid w:val="00C7432C"/>
    <w:pPr>
      <w:spacing w:after="480" w:line="240" w:lineRule="auto"/>
      <w:ind w:left="1701" w:firstLine="1134"/>
      <w:jc w:val="both"/>
    </w:pPr>
    <w:rPr>
      <w:rFonts w:ascii="Times New Roman" w:eastAsia="Times New Roman" w:hAnsi="Times New Roman"/>
      <w:sz w:val="24"/>
      <w:szCs w:val="24"/>
      <w:lang w:eastAsia="fr-FR"/>
    </w:rPr>
  </w:style>
  <w:style w:type="paragraph" w:styleId="Rvision">
    <w:name w:val="Revision"/>
    <w:hidden/>
    <w:uiPriority w:val="71"/>
    <w:rsid w:val="0072501D"/>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155591">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31F97-6429-40BD-9078-5CCE0448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2380</Words>
  <Characters>13095</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2015-01-23T13:18:00Z</cp:lastPrinted>
  <dcterms:created xsi:type="dcterms:W3CDTF">2015-03-24T09:50:00Z</dcterms:created>
  <dcterms:modified xsi:type="dcterms:W3CDTF">2015-03-25T18:09:00Z</dcterms:modified>
</cp:coreProperties>
</file>