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1" w:type="dxa"/>
        <w:tblLook w:val="00A0" w:firstRow="1" w:lastRow="0" w:firstColumn="1" w:lastColumn="0" w:noHBand="0" w:noVBand="0"/>
      </w:tblPr>
      <w:tblGrid>
        <w:gridCol w:w="4644"/>
        <w:gridCol w:w="5387"/>
      </w:tblGrid>
      <w:tr w:rsidR="00B2691B" w:rsidRPr="00B2691B" w:rsidTr="00293210">
        <w:trPr>
          <w:trHeight w:val="3136"/>
        </w:trPr>
        <w:tc>
          <w:tcPr>
            <w:tcW w:w="4644" w:type="dxa"/>
          </w:tcPr>
          <w:p w:rsidR="00B2691B" w:rsidRPr="00B2691B" w:rsidRDefault="00B2691B" w:rsidP="00976F7F">
            <w:pPr>
              <w:spacing w:before="120" w:after="120" w:line="240" w:lineRule="auto"/>
              <w:ind w:right="600" w:firstLine="34"/>
              <w:jc w:val="center"/>
              <w:rPr>
                <w:rFonts w:ascii="Arial" w:eastAsia="Times New Roman" w:hAnsi="Arial" w:cs="Arial"/>
                <w:lang w:eastAsia="fr-FR"/>
              </w:rPr>
            </w:pPr>
            <w:r w:rsidRPr="00B2691B">
              <w:rPr>
                <w:rFonts w:ascii="Arial" w:eastAsia="Times New Roman" w:hAnsi="Arial" w:cs="Arial"/>
                <w:lang w:eastAsia="fr-FR"/>
              </w:rPr>
              <w:t>PREMIERE CHAMBRE</w:t>
            </w:r>
          </w:p>
          <w:p w:rsidR="00B2691B" w:rsidRPr="00B2691B" w:rsidRDefault="00B2691B" w:rsidP="00976F7F">
            <w:pPr>
              <w:spacing w:before="120" w:after="120" w:line="240" w:lineRule="auto"/>
              <w:ind w:right="600" w:firstLine="34"/>
              <w:jc w:val="center"/>
              <w:rPr>
                <w:rFonts w:ascii="Arial" w:eastAsia="Times New Roman" w:hAnsi="Arial" w:cs="Arial"/>
                <w:lang w:eastAsia="fr-FR"/>
              </w:rPr>
            </w:pPr>
            <w:r w:rsidRPr="00B2691B">
              <w:rPr>
                <w:rFonts w:ascii="Arial" w:eastAsia="Times New Roman" w:hAnsi="Arial" w:cs="Arial"/>
                <w:lang w:eastAsia="fr-FR"/>
              </w:rPr>
              <w:t>-------</w:t>
            </w:r>
          </w:p>
          <w:p w:rsidR="00B2691B" w:rsidRPr="00B2691B" w:rsidRDefault="00B2691B" w:rsidP="00976F7F">
            <w:pPr>
              <w:spacing w:before="120" w:after="120" w:line="240" w:lineRule="auto"/>
              <w:ind w:right="600" w:firstLine="34"/>
              <w:jc w:val="center"/>
              <w:rPr>
                <w:rFonts w:ascii="Arial" w:eastAsia="Times New Roman" w:hAnsi="Arial" w:cs="Arial"/>
                <w:lang w:eastAsia="fr-FR"/>
              </w:rPr>
            </w:pPr>
            <w:r w:rsidRPr="00B2691B">
              <w:rPr>
                <w:rFonts w:ascii="Arial" w:eastAsia="Times New Roman" w:hAnsi="Arial" w:cs="Arial"/>
                <w:lang w:eastAsia="fr-FR"/>
              </w:rPr>
              <w:t>Première section</w:t>
            </w:r>
          </w:p>
          <w:p w:rsidR="00B2691B" w:rsidRPr="00B2691B" w:rsidRDefault="00B2691B" w:rsidP="00976F7F">
            <w:pPr>
              <w:spacing w:before="120" w:after="120" w:line="240" w:lineRule="auto"/>
              <w:ind w:right="600" w:firstLine="34"/>
              <w:jc w:val="center"/>
              <w:rPr>
                <w:rFonts w:ascii="Arial" w:eastAsia="Times New Roman" w:hAnsi="Arial" w:cs="Arial"/>
                <w:lang w:eastAsia="fr-FR"/>
              </w:rPr>
            </w:pPr>
            <w:r w:rsidRPr="00B2691B">
              <w:rPr>
                <w:rFonts w:ascii="Arial" w:eastAsia="Times New Roman" w:hAnsi="Arial" w:cs="Arial"/>
                <w:lang w:eastAsia="fr-FR"/>
              </w:rPr>
              <w:t>-------</w:t>
            </w:r>
          </w:p>
          <w:p w:rsidR="00B2691B" w:rsidRPr="00B2691B" w:rsidRDefault="00B2691B" w:rsidP="00976F7F">
            <w:pPr>
              <w:spacing w:before="120" w:after="120" w:line="240" w:lineRule="auto"/>
              <w:ind w:right="600" w:firstLine="34"/>
              <w:jc w:val="center"/>
              <w:rPr>
                <w:rFonts w:ascii="Arial" w:eastAsia="Times New Roman" w:hAnsi="Arial" w:cs="Arial"/>
                <w:lang w:eastAsia="fr-FR"/>
              </w:rPr>
            </w:pPr>
            <w:r w:rsidRPr="00B2691B">
              <w:rPr>
                <w:rFonts w:ascii="Arial" w:eastAsia="Times New Roman" w:hAnsi="Arial" w:cs="Arial"/>
                <w:lang w:eastAsia="fr-FR"/>
              </w:rPr>
              <w:t xml:space="preserve">Arrêt n° </w:t>
            </w:r>
            <w:r w:rsidR="00827F9E">
              <w:rPr>
                <w:rFonts w:ascii="Arial" w:eastAsia="Times New Roman" w:hAnsi="Arial" w:cs="Arial"/>
                <w:lang w:eastAsia="fr-FR"/>
              </w:rPr>
              <w:t>72319</w:t>
            </w:r>
          </w:p>
          <w:p w:rsidR="00B2691B" w:rsidRPr="00B2691B" w:rsidRDefault="00B2691B" w:rsidP="00976F7F">
            <w:pPr>
              <w:spacing w:before="120" w:after="120" w:line="240" w:lineRule="auto"/>
              <w:ind w:right="600" w:firstLine="34"/>
              <w:jc w:val="center"/>
              <w:rPr>
                <w:rFonts w:ascii="Times New Roman" w:eastAsia="Times New Roman" w:hAnsi="Times New Roman" w:cs="Times New Roman"/>
                <w:lang w:eastAsia="fr-FR"/>
              </w:rPr>
            </w:pPr>
          </w:p>
          <w:p w:rsidR="00B2691B" w:rsidRPr="00B2691B" w:rsidRDefault="00B2691B" w:rsidP="00976F7F">
            <w:pPr>
              <w:spacing w:before="120" w:after="120" w:line="240" w:lineRule="auto"/>
              <w:ind w:right="600" w:firstLine="34"/>
              <w:jc w:val="center"/>
              <w:rPr>
                <w:rFonts w:ascii="Arial" w:eastAsia="Times New Roman" w:hAnsi="Arial" w:cs="Arial"/>
                <w:lang w:eastAsia="fr-FR"/>
              </w:rPr>
            </w:pPr>
            <w:r w:rsidRPr="00B2691B">
              <w:rPr>
                <w:rFonts w:ascii="Arial" w:eastAsia="Times New Roman" w:hAnsi="Arial" w:cs="Arial"/>
                <w:lang w:eastAsia="fr-FR"/>
              </w:rPr>
              <w:t>Audience publique du 26 janvier 2015</w:t>
            </w:r>
          </w:p>
          <w:p w:rsidR="00B2691B" w:rsidRPr="00B2691B" w:rsidRDefault="00B2691B" w:rsidP="00976F7F">
            <w:pPr>
              <w:spacing w:before="120" w:after="120" w:line="240" w:lineRule="auto"/>
              <w:ind w:right="600" w:firstLine="34"/>
              <w:jc w:val="center"/>
              <w:rPr>
                <w:rFonts w:ascii="Arial" w:eastAsia="Times New Roman" w:hAnsi="Arial" w:cs="Arial"/>
                <w:lang w:eastAsia="fr-FR"/>
              </w:rPr>
            </w:pPr>
            <w:r w:rsidRPr="00B2691B">
              <w:rPr>
                <w:rFonts w:ascii="Arial" w:eastAsia="Times New Roman" w:hAnsi="Arial" w:cs="Arial"/>
                <w:lang w:eastAsia="fr-FR"/>
              </w:rPr>
              <w:t>Lecture publique du 27 avril 2015</w:t>
            </w:r>
          </w:p>
          <w:p w:rsidR="00B2691B" w:rsidRPr="00B2691B" w:rsidRDefault="00B2691B" w:rsidP="00B2691B">
            <w:pPr>
              <w:spacing w:before="120" w:after="120" w:line="240" w:lineRule="auto"/>
              <w:ind w:firstLine="34"/>
              <w:jc w:val="center"/>
              <w:rPr>
                <w:rFonts w:ascii="Times New Roman" w:eastAsia="Times New Roman" w:hAnsi="Times New Roman" w:cs="Times New Roman"/>
                <w:lang w:eastAsia="fr-FR"/>
              </w:rPr>
            </w:pPr>
          </w:p>
        </w:tc>
        <w:tc>
          <w:tcPr>
            <w:tcW w:w="5387" w:type="dxa"/>
          </w:tcPr>
          <w:p w:rsidR="00B2691B" w:rsidRPr="00B2691B" w:rsidRDefault="00B2691B" w:rsidP="00B2691B">
            <w:pPr>
              <w:spacing w:before="120" w:after="0" w:line="240" w:lineRule="auto"/>
              <w:jc w:val="both"/>
              <w:rPr>
                <w:rFonts w:ascii="Arial" w:eastAsia="Times New Roman" w:hAnsi="Arial" w:cs="Arial"/>
                <w:lang w:eastAsia="fr-FR"/>
              </w:rPr>
            </w:pPr>
            <w:r w:rsidRPr="00B2691B">
              <w:rPr>
                <w:rFonts w:ascii="Arial" w:eastAsia="Times New Roman" w:hAnsi="Arial" w:cs="Arial"/>
                <w:lang w:eastAsia="fr-FR"/>
              </w:rPr>
              <w:t>DIRECTION DEPARTEMENTALE DES FINANCES</w:t>
            </w:r>
          </w:p>
          <w:p w:rsidR="00B2691B" w:rsidRPr="00B2691B" w:rsidRDefault="00B2691B" w:rsidP="00B2691B">
            <w:pPr>
              <w:spacing w:after="240" w:line="240" w:lineRule="auto"/>
              <w:jc w:val="both"/>
              <w:rPr>
                <w:rFonts w:ascii="Arial" w:eastAsia="Times New Roman" w:hAnsi="Arial" w:cs="Arial"/>
                <w:lang w:eastAsia="fr-FR"/>
              </w:rPr>
            </w:pPr>
            <w:r w:rsidRPr="00B2691B">
              <w:rPr>
                <w:rFonts w:ascii="Arial" w:eastAsia="Times New Roman" w:hAnsi="Arial" w:cs="Arial"/>
                <w:lang w:eastAsia="fr-FR"/>
              </w:rPr>
              <w:t>PUBLIQUES DE LA HAUTE</w:t>
            </w:r>
            <w:r w:rsidRPr="00B2691B">
              <w:rPr>
                <w:rFonts w:ascii="Arial" w:eastAsia="Times New Roman" w:hAnsi="Arial" w:cs="Arial"/>
                <w:lang w:eastAsia="fr-FR"/>
              </w:rPr>
              <w:noBreakHyphen/>
              <w:t>MARNE</w:t>
            </w:r>
          </w:p>
          <w:p w:rsidR="00B2691B" w:rsidRPr="00B2691B" w:rsidRDefault="00B2691B" w:rsidP="00B2691B">
            <w:pPr>
              <w:spacing w:before="120" w:after="240" w:line="240" w:lineRule="auto"/>
              <w:jc w:val="both"/>
              <w:rPr>
                <w:rFonts w:ascii="Arial" w:eastAsia="Times New Roman" w:hAnsi="Arial" w:cs="Arial"/>
                <w:lang w:eastAsia="fr-FR"/>
              </w:rPr>
            </w:pPr>
            <w:r w:rsidRPr="00B2691B">
              <w:rPr>
                <w:rFonts w:ascii="Arial" w:eastAsia="Times New Roman" w:hAnsi="Arial" w:cs="Arial"/>
                <w:lang w:eastAsia="fr-FR"/>
              </w:rPr>
              <w:t xml:space="preserve">SERVICE DES IMPÔTS DES ENTREPRISES (SIE) DE </w:t>
            </w:r>
            <w:r>
              <w:rPr>
                <w:rFonts w:ascii="Arial" w:eastAsia="Times New Roman" w:hAnsi="Arial" w:cs="Arial"/>
                <w:lang w:eastAsia="fr-FR"/>
              </w:rPr>
              <w:t>SAINT-DIZIER</w:t>
            </w:r>
          </w:p>
          <w:p w:rsidR="00B2691B" w:rsidRPr="00B2691B" w:rsidRDefault="00B2691B" w:rsidP="00B2691B">
            <w:pPr>
              <w:spacing w:before="120" w:after="120" w:line="240" w:lineRule="auto"/>
              <w:jc w:val="both"/>
              <w:rPr>
                <w:rFonts w:ascii="Arial" w:eastAsia="Times New Roman" w:hAnsi="Arial" w:cs="Arial"/>
                <w:lang w:eastAsia="fr-FR"/>
              </w:rPr>
            </w:pPr>
            <w:r w:rsidRPr="00B2691B">
              <w:rPr>
                <w:rFonts w:ascii="Arial" w:eastAsia="Times New Roman" w:hAnsi="Arial" w:cs="Arial"/>
                <w:lang w:eastAsia="fr-FR"/>
              </w:rPr>
              <w:t>Exercices 2005 à 2011</w:t>
            </w:r>
          </w:p>
          <w:p w:rsidR="00B2691B" w:rsidRPr="00B2691B" w:rsidRDefault="00B2691B" w:rsidP="00B2691B">
            <w:pPr>
              <w:spacing w:before="120" w:after="120" w:line="240" w:lineRule="auto"/>
              <w:jc w:val="both"/>
              <w:rPr>
                <w:rFonts w:ascii="Arial" w:eastAsia="Times New Roman" w:hAnsi="Arial" w:cs="Arial"/>
                <w:lang w:eastAsia="fr-FR"/>
              </w:rPr>
            </w:pPr>
            <w:r w:rsidRPr="00B2691B">
              <w:rPr>
                <w:rFonts w:ascii="Arial" w:eastAsia="Times New Roman" w:hAnsi="Arial" w:cs="Arial"/>
                <w:lang w:eastAsia="fr-FR"/>
              </w:rPr>
              <w:t>Rapport n° 2014-730-0</w:t>
            </w:r>
          </w:p>
          <w:p w:rsidR="00B2691B" w:rsidRPr="00B2691B" w:rsidRDefault="00B2691B" w:rsidP="00B2691B">
            <w:pPr>
              <w:spacing w:before="120" w:after="120" w:line="240" w:lineRule="auto"/>
              <w:jc w:val="both"/>
              <w:rPr>
                <w:rFonts w:ascii="Times New Roman" w:eastAsia="Times New Roman" w:hAnsi="Times New Roman" w:cs="Times New Roman"/>
                <w:lang w:eastAsia="fr-FR"/>
              </w:rPr>
            </w:pPr>
          </w:p>
          <w:p w:rsidR="00B2691B" w:rsidRPr="00B2691B" w:rsidRDefault="00B2691B" w:rsidP="00B2691B">
            <w:pPr>
              <w:spacing w:before="120" w:after="120" w:line="240" w:lineRule="auto"/>
              <w:jc w:val="both"/>
              <w:rPr>
                <w:rFonts w:ascii="Times New Roman" w:eastAsia="Times New Roman" w:hAnsi="Times New Roman" w:cs="Times New Roman"/>
                <w:lang w:eastAsia="fr-FR"/>
              </w:rPr>
            </w:pPr>
          </w:p>
          <w:p w:rsidR="00B2691B" w:rsidRPr="00B2691B" w:rsidRDefault="00B2691B" w:rsidP="00B2691B">
            <w:pPr>
              <w:spacing w:before="120" w:after="120" w:line="240" w:lineRule="auto"/>
              <w:jc w:val="both"/>
              <w:rPr>
                <w:rFonts w:ascii="Times New Roman" w:eastAsia="Times New Roman" w:hAnsi="Times New Roman" w:cs="Times New Roman"/>
                <w:lang w:eastAsia="fr-FR"/>
              </w:rPr>
            </w:pPr>
          </w:p>
        </w:tc>
      </w:tr>
    </w:tbl>
    <w:p w:rsidR="00B2691B" w:rsidRPr="00B2691B" w:rsidRDefault="00B2691B" w:rsidP="00B2691B">
      <w:pPr>
        <w:tabs>
          <w:tab w:val="center" w:pos="9072"/>
        </w:tabs>
        <w:spacing w:before="120" w:after="120" w:line="240" w:lineRule="auto"/>
        <w:jc w:val="center"/>
        <w:rPr>
          <w:rFonts w:ascii="Arial" w:eastAsia="Times New Roman" w:hAnsi="Arial" w:cs="Arial"/>
          <w:lang w:eastAsia="fr-FR"/>
        </w:rPr>
      </w:pPr>
      <w:r w:rsidRPr="00B2691B">
        <w:rPr>
          <w:rFonts w:ascii="Arial" w:eastAsia="Times New Roman" w:hAnsi="Arial" w:cs="Arial"/>
          <w:lang w:eastAsia="fr-FR"/>
        </w:rPr>
        <w:t>République Française,</w:t>
      </w:r>
    </w:p>
    <w:p w:rsidR="00B2691B" w:rsidRPr="00B2691B" w:rsidRDefault="00B2691B" w:rsidP="00B2691B">
      <w:pPr>
        <w:tabs>
          <w:tab w:val="center" w:pos="9072"/>
        </w:tabs>
        <w:spacing w:before="120" w:after="120" w:line="240" w:lineRule="auto"/>
        <w:jc w:val="center"/>
        <w:rPr>
          <w:rFonts w:ascii="Arial" w:eastAsia="Times New Roman" w:hAnsi="Arial" w:cs="Arial"/>
          <w:lang w:eastAsia="fr-FR"/>
        </w:rPr>
      </w:pPr>
      <w:r w:rsidRPr="00B2691B">
        <w:rPr>
          <w:rFonts w:ascii="Arial" w:eastAsia="Times New Roman" w:hAnsi="Arial" w:cs="Arial"/>
          <w:lang w:eastAsia="fr-FR"/>
        </w:rPr>
        <w:t>Au nom du peuple français,</w:t>
      </w:r>
    </w:p>
    <w:p w:rsidR="00B2691B" w:rsidRPr="00B2691B" w:rsidRDefault="00B2691B" w:rsidP="00B2691B">
      <w:pPr>
        <w:tabs>
          <w:tab w:val="center" w:pos="9072"/>
        </w:tabs>
        <w:spacing w:before="240" w:after="120" w:line="240" w:lineRule="auto"/>
        <w:jc w:val="center"/>
        <w:rPr>
          <w:rFonts w:ascii="Arial" w:eastAsia="Times New Roman" w:hAnsi="Arial" w:cs="Arial"/>
          <w:lang w:eastAsia="fr-FR"/>
        </w:rPr>
      </w:pPr>
      <w:r w:rsidRPr="00B2691B">
        <w:rPr>
          <w:rFonts w:ascii="Arial" w:eastAsia="Times New Roman" w:hAnsi="Arial" w:cs="Arial"/>
          <w:lang w:eastAsia="fr-FR"/>
        </w:rPr>
        <w:t>La Cour,</w:t>
      </w:r>
    </w:p>
    <w:p w:rsidR="0023067F" w:rsidRPr="0023067F" w:rsidRDefault="0023067F" w:rsidP="0023067F">
      <w:pPr>
        <w:tabs>
          <w:tab w:val="center" w:pos="4536"/>
          <w:tab w:val="right" w:pos="9072"/>
        </w:tabs>
        <w:spacing w:before="120" w:after="120" w:line="240" w:lineRule="auto"/>
        <w:ind w:left="-567" w:firstLine="709"/>
        <w:jc w:val="both"/>
        <w:rPr>
          <w:rFonts w:ascii="Times New Roman" w:eastAsia="Times New Roman" w:hAnsi="Times New Roman" w:cs="Arial"/>
          <w:szCs w:val="20"/>
          <w:lang w:eastAsia="fr-FR"/>
        </w:rPr>
      </w:pPr>
    </w:p>
    <w:p w:rsidR="0023067F" w:rsidRPr="00B2691B" w:rsidRDefault="0023067F" w:rsidP="00976F7F">
      <w:pPr>
        <w:tabs>
          <w:tab w:val="center" w:pos="4536"/>
          <w:tab w:val="right" w:pos="9072"/>
        </w:tabs>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le réquisitoire en date du 13 juin 2014, par lequel le Procureur général près la Cour des comptes a saisi la première chambre de la Cour des comptes de deux présomptions de charge, en vue de la mise en jeu de la responsabilité personnelle et pécuniaire de</w:t>
      </w:r>
      <w:r w:rsidR="00976F7F">
        <w:rPr>
          <w:rFonts w:ascii="Arial" w:eastAsia="Times New Roman" w:hAnsi="Arial" w:cs="Arial"/>
          <w:lang w:eastAsia="fr-FR"/>
        </w:rPr>
        <w:t xml:space="preserve"> </w:t>
      </w:r>
      <w:r w:rsidRPr="00B2691B">
        <w:rPr>
          <w:rFonts w:ascii="Arial" w:eastAsia="Times New Roman" w:hAnsi="Arial" w:cs="Arial"/>
          <w:lang w:eastAsia="fr-FR"/>
        </w:rPr>
        <w:t>M. </w:t>
      </w:r>
      <w:r w:rsidR="00825895">
        <w:rPr>
          <w:rFonts w:ascii="Arial" w:eastAsia="Times New Roman" w:hAnsi="Arial" w:cs="Arial"/>
          <w:lang w:eastAsia="fr-FR"/>
        </w:rPr>
        <w:t>X</w:t>
      </w:r>
      <w:r w:rsidRPr="00B2691B">
        <w:rPr>
          <w:rFonts w:ascii="Arial" w:eastAsia="Times New Roman" w:hAnsi="Arial" w:cs="Arial"/>
          <w:lang w:eastAsia="fr-FR"/>
        </w:rPr>
        <w:t>, comptable en fonctions au service des impôts des entreprises (SIE) de Saint</w:t>
      </w:r>
      <w:r w:rsidR="00976F7F">
        <w:rPr>
          <w:rFonts w:ascii="Arial" w:eastAsia="Times New Roman" w:hAnsi="Arial" w:cs="Arial"/>
          <w:lang w:eastAsia="fr-FR"/>
        </w:rPr>
        <w:t>-</w:t>
      </w:r>
      <w:r w:rsidRPr="00B2691B">
        <w:rPr>
          <w:rFonts w:ascii="Arial" w:eastAsia="Times New Roman" w:hAnsi="Arial" w:cs="Arial"/>
          <w:lang w:eastAsia="fr-FR"/>
        </w:rPr>
        <w:t>Dizier</w:t>
      </w:r>
      <w:r w:rsidR="00976F7F">
        <w:rPr>
          <w:rFonts w:ascii="Arial" w:eastAsia="Times New Roman" w:hAnsi="Arial" w:cs="Arial"/>
          <w:lang w:eastAsia="fr-FR"/>
        </w:rPr>
        <w:t> </w:t>
      </w:r>
      <w:r w:rsidRPr="00B2691B">
        <w:rPr>
          <w:rFonts w:ascii="Arial" w:eastAsia="Times New Roman" w:hAnsi="Arial" w:cs="Arial"/>
          <w:lang w:eastAsia="fr-FR"/>
        </w:rPr>
        <w:t>;</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les états de restes à recouvrer produits par M. </w:t>
      </w:r>
      <w:r w:rsidR="00825895">
        <w:rPr>
          <w:rFonts w:ascii="Arial" w:eastAsia="Times New Roman" w:hAnsi="Arial" w:cs="Arial"/>
          <w:lang w:eastAsia="fr-FR"/>
        </w:rPr>
        <w:t>X</w:t>
      </w:r>
      <w:r w:rsidR="00A90C03" w:rsidRPr="00B2691B">
        <w:rPr>
          <w:rFonts w:ascii="Arial" w:eastAsia="Times New Roman" w:hAnsi="Arial" w:cs="Arial"/>
          <w:lang w:eastAsia="fr-FR"/>
        </w:rPr>
        <w:t xml:space="preserve"> </w:t>
      </w:r>
      <w:r w:rsidRPr="00B2691B">
        <w:rPr>
          <w:rFonts w:ascii="Arial" w:eastAsia="Times New Roman" w:hAnsi="Arial" w:cs="Arial"/>
          <w:lang w:eastAsia="fr-FR"/>
        </w:rPr>
        <w:t>en qualité de  comptable en fonctions au service des impôts des entreprises (SIE) de Saint</w:t>
      </w:r>
      <w:r w:rsidRPr="00B2691B">
        <w:rPr>
          <w:rFonts w:ascii="Arial" w:eastAsia="Times New Roman" w:hAnsi="Arial" w:cs="Arial"/>
          <w:lang w:eastAsia="fr-FR"/>
        </w:rPr>
        <w:noBreakHyphen/>
        <w:t>Dizier de 2003, du 3</w:t>
      </w:r>
      <w:r w:rsidR="00976F7F">
        <w:rPr>
          <w:rFonts w:ascii="Arial" w:eastAsia="Times New Roman" w:hAnsi="Arial" w:cs="Arial"/>
          <w:lang w:eastAsia="fr-FR"/>
        </w:rPr>
        <w:t xml:space="preserve"> </w:t>
      </w:r>
      <w:r w:rsidRPr="00B2691B">
        <w:rPr>
          <w:rFonts w:ascii="Arial" w:eastAsia="Times New Roman" w:hAnsi="Arial" w:cs="Arial"/>
          <w:lang w:eastAsia="fr-FR"/>
        </w:rPr>
        <w:t>octobre, à 2009 au 13 avril</w:t>
      </w:r>
      <w:r w:rsidR="00976F7F">
        <w:rPr>
          <w:rFonts w:ascii="Arial" w:eastAsia="Times New Roman" w:hAnsi="Arial" w:cs="Arial"/>
          <w:lang w:eastAsia="fr-FR"/>
        </w:rPr>
        <w:t> </w:t>
      </w:r>
      <w:r w:rsidRPr="00B2691B">
        <w:rPr>
          <w:rFonts w:ascii="Arial" w:eastAsia="Times New Roman" w:hAnsi="Arial" w:cs="Arial"/>
          <w:lang w:eastAsia="fr-FR"/>
        </w:rPr>
        <w:t>;</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les justifications produites au soutien des comptes en jugement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l’article 60 modifié de la loi de finances n° 63-156 du 23 février 1963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le code des juridictions financières ;</w:t>
      </w:r>
    </w:p>
    <w:p w:rsidR="0023067F" w:rsidRPr="00FB497C" w:rsidRDefault="0023067F" w:rsidP="00976F7F">
      <w:pPr>
        <w:spacing w:before="120" w:after="240" w:line="240" w:lineRule="auto"/>
        <w:ind w:right="142"/>
        <w:jc w:val="both"/>
        <w:rPr>
          <w:rFonts w:ascii="Arial" w:eastAsia="Times New Roman" w:hAnsi="Arial" w:cs="Arial"/>
          <w:lang w:eastAsia="fr-FR"/>
        </w:rPr>
      </w:pPr>
      <w:r w:rsidRPr="00FB497C">
        <w:rPr>
          <w:rFonts w:ascii="Arial" w:eastAsia="Times New Roman" w:hAnsi="Arial" w:cs="Arial"/>
          <w:lang w:eastAsia="fr-FR"/>
        </w:rPr>
        <w:t>Vu le code général des impôts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le code de procédure pénale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le livre des procédures fiscales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 xml:space="preserve">Vu le décret n° 62-1587 du 29 décembre 1962 portant règlement général sur </w:t>
      </w:r>
      <w:r w:rsidRPr="00B2691B">
        <w:rPr>
          <w:rFonts w:ascii="Arial" w:eastAsia="Times New Roman" w:hAnsi="Arial" w:cs="Arial"/>
          <w:lang w:eastAsia="fr-FR"/>
        </w:rPr>
        <w:br/>
        <w:t>la comptabilité publique, en vigueur au moment des faits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le rapport de M. Alain L</w:t>
      </w:r>
      <w:r w:rsidR="00A90C03">
        <w:rPr>
          <w:rFonts w:ascii="Arial" w:eastAsia="Times New Roman" w:hAnsi="Arial" w:cs="Arial"/>
          <w:lang w:eastAsia="fr-FR"/>
        </w:rPr>
        <w:t>evionnois</w:t>
      </w:r>
      <w:r w:rsidRPr="00B2691B">
        <w:rPr>
          <w:rFonts w:ascii="Arial" w:eastAsia="Times New Roman" w:hAnsi="Arial" w:cs="Arial"/>
          <w:lang w:eastAsia="fr-FR"/>
        </w:rPr>
        <w:t xml:space="preserve">, </w:t>
      </w:r>
      <w:r w:rsidR="00A90C03" w:rsidRPr="00B2691B">
        <w:rPr>
          <w:rFonts w:ascii="Arial" w:eastAsia="Times New Roman" w:hAnsi="Arial" w:cs="Arial"/>
          <w:lang w:eastAsia="fr-FR"/>
        </w:rPr>
        <w:t>conseiller référendaire</w:t>
      </w:r>
      <w:r w:rsidR="00A90C03">
        <w:rPr>
          <w:rFonts w:ascii="Arial" w:eastAsia="Times New Roman" w:hAnsi="Arial" w:cs="Arial"/>
          <w:lang w:eastAsia="fr-FR"/>
        </w:rPr>
        <w:t xml:space="preserve">, </w:t>
      </w:r>
      <w:r w:rsidRPr="00B2691B">
        <w:rPr>
          <w:rFonts w:ascii="Arial" w:eastAsia="Times New Roman" w:hAnsi="Arial" w:cs="Arial"/>
          <w:lang w:eastAsia="fr-FR"/>
        </w:rPr>
        <w:t>magistrat chargé de l’instruction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les conclusions du Procureur général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Vu les pièces du dossier</w:t>
      </w:r>
      <w:r w:rsidR="00976F7F">
        <w:rPr>
          <w:rFonts w:ascii="Arial" w:eastAsia="Times New Roman" w:hAnsi="Arial" w:cs="Arial"/>
          <w:lang w:eastAsia="fr-FR"/>
        </w:rPr>
        <w:t> ;</w:t>
      </w:r>
    </w:p>
    <w:p w:rsidR="00976F7F" w:rsidRDefault="00976F7F">
      <w:pPr>
        <w:rPr>
          <w:rFonts w:ascii="Arial" w:eastAsia="Times New Roman" w:hAnsi="Arial" w:cs="Arial"/>
          <w:lang w:eastAsia="fr-FR"/>
        </w:rPr>
      </w:pPr>
      <w:r>
        <w:rPr>
          <w:rFonts w:ascii="Arial" w:eastAsia="Times New Roman" w:hAnsi="Arial" w:cs="Arial"/>
          <w:lang w:eastAsia="fr-FR"/>
        </w:rPr>
        <w:br w:type="page"/>
      </w:r>
    </w:p>
    <w:p w:rsidR="00976F7F" w:rsidRDefault="00976F7F" w:rsidP="00976F7F">
      <w:pPr>
        <w:spacing w:before="120" w:after="240" w:line="240" w:lineRule="auto"/>
        <w:ind w:right="142"/>
        <w:jc w:val="both"/>
        <w:rPr>
          <w:rFonts w:ascii="Arial" w:eastAsia="Times New Roman" w:hAnsi="Arial" w:cs="Arial"/>
          <w:lang w:eastAsia="fr-FR"/>
        </w:rPr>
      </w:pP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Entendu lors de l’audience publique du 26</w:t>
      </w:r>
      <w:r w:rsidR="00976F7F">
        <w:rPr>
          <w:rFonts w:ascii="Arial" w:eastAsia="Times New Roman" w:hAnsi="Arial" w:cs="Arial"/>
          <w:lang w:eastAsia="fr-FR"/>
        </w:rPr>
        <w:t xml:space="preserve"> </w:t>
      </w:r>
      <w:r w:rsidRPr="00B2691B">
        <w:rPr>
          <w:rFonts w:ascii="Arial" w:eastAsia="Times New Roman" w:hAnsi="Arial" w:cs="Arial"/>
          <w:lang w:eastAsia="fr-FR"/>
        </w:rPr>
        <w:t>janvier</w:t>
      </w:r>
      <w:r w:rsidR="00976F7F">
        <w:rPr>
          <w:rFonts w:ascii="Arial" w:eastAsia="Times New Roman" w:hAnsi="Arial" w:cs="Arial"/>
          <w:lang w:eastAsia="fr-FR"/>
        </w:rPr>
        <w:t xml:space="preserve"> </w:t>
      </w:r>
      <w:r w:rsidRPr="00B2691B">
        <w:rPr>
          <w:rFonts w:ascii="Arial" w:eastAsia="Times New Roman" w:hAnsi="Arial" w:cs="Arial"/>
          <w:lang w:eastAsia="fr-FR"/>
        </w:rPr>
        <w:t>2015 M. </w:t>
      </w:r>
      <w:proofErr w:type="spellStart"/>
      <w:r w:rsidRPr="00B2691B">
        <w:rPr>
          <w:rFonts w:ascii="Arial" w:eastAsia="Times New Roman" w:hAnsi="Arial" w:cs="Arial"/>
          <w:lang w:eastAsia="fr-FR"/>
        </w:rPr>
        <w:t>L</w:t>
      </w:r>
      <w:r w:rsidR="00A90C03">
        <w:rPr>
          <w:rFonts w:ascii="Arial" w:eastAsia="Times New Roman" w:hAnsi="Arial" w:cs="Arial"/>
          <w:lang w:eastAsia="fr-FR"/>
        </w:rPr>
        <w:t>evionnois</w:t>
      </w:r>
      <w:proofErr w:type="spellEnd"/>
      <w:r w:rsidRPr="00B2691B">
        <w:rPr>
          <w:rFonts w:ascii="Arial" w:eastAsia="Times New Roman" w:hAnsi="Arial" w:cs="Arial"/>
          <w:lang w:eastAsia="fr-FR"/>
        </w:rPr>
        <w:t xml:space="preserve"> en son rapport, M.</w:t>
      </w:r>
      <w:r w:rsidR="00976F7F">
        <w:rPr>
          <w:rFonts w:ascii="Arial" w:eastAsia="Times New Roman" w:hAnsi="Arial" w:cs="Arial"/>
          <w:lang w:eastAsia="fr-FR"/>
        </w:rPr>
        <w:t> </w:t>
      </w:r>
      <w:r w:rsidRPr="00B2691B">
        <w:rPr>
          <w:rFonts w:ascii="Arial" w:eastAsia="Times New Roman" w:hAnsi="Arial" w:cs="Arial"/>
          <w:lang w:eastAsia="fr-FR"/>
        </w:rPr>
        <w:t>François</w:t>
      </w:r>
      <w:r w:rsidR="00976F7F">
        <w:rPr>
          <w:rFonts w:ascii="Arial" w:eastAsia="Times New Roman" w:hAnsi="Arial" w:cs="Arial"/>
          <w:lang w:eastAsia="fr-FR"/>
        </w:rPr>
        <w:t xml:space="preserve"> </w:t>
      </w:r>
      <w:r w:rsidRPr="00B2691B">
        <w:rPr>
          <w:rFonts w:ascii="Arial" w:eastAsia="Times New Roman" w:hAnsi="Arial" w:cs="Arial"/>
          <w:lang w:eastAsia="fr-FR"/>
        </w:rPr>
        <w:t>K</w:t>
      </w:r>
      <w:r w:rsidR="00A90C03">
        <w:rPr>
          <w:rFonts w:ascii="Arial" w:eastAsia="Times New Roman" w:hAnsi="Arial" w:cs="Arial"/>
          <w:lang w:eastAsia="fr-FR"/>
        </w:rPr>
        <w:t>r</w:t>
      </w:r>
      <w:r w:rsidR="00FC0159">
        <w:rPr>
          <w:rFonts w:ascii="Arial" w:eastAsia="Times New Roman" w:hAnsi="Arial" w:cs="Arial"/>
          <w:lang w:eastAsia="fr-FR"/>
        </w:rPr>
        <w:t>u</w:t>
      </w:r>
      <w:r w:rsidR="00A90C03">
        <w:rPr>
          <w:rFonts w:ascii="Arial" w:eastAsia="Times New Roman" w:hAnsi="Arial" w:cs="Arial"/>
          <w:lang w:eastAsia="fr-FR"/>
        </w:rPr>
        <w:t>ger</w:t>
      </w:r>
      <w:r w:rsidRPr="00B2691B">
        <w:rPr>
          <w:rFonts w:ascii="Arial" w:eastAsia="Times New Roman" w:hAnsi="Arial" w:cs="Arial"/>
          <w:lang w:eastAsia="fr-FR"/>
        </w:rPr>
        <w:t>, avocat général, en les conclusions du Parquet, M. </w:t>
      </w:r>
      <w:r w:rsidR="00825895">
        <w:rPr>
          <w:rFonts w:ascii="Arial" w:eastAsia="Times New Roman" w:hAnsi="Arial" w:cs="Arial"/>
          <w:lang w:eastAsia="fr-FR"/>
        </w:rPr>
        <w:t>X</w:t>
      </w:r>
      <w:r w:rsidR="00A90C03" w:rsidRPr="00B2691B">
        <w:rPr>
          <w:rFonts w:ascii="Arial" w:eastAsia="Times New Roman" w:hAnsi="Arial" w:cs="Arial"/>
          <w:lang w:eastAsia="fr-FR"/>
        </w:rPr>
        <w:t xml:space="preserve"> </w:t>
      </w:r>
      <w:r w:rsidRPr="00B2691B">
        <w:rPr>
          <w:rFonts w:ascii="Arial" w:eastAsia="Times New Roman" w:hAnsi="Arial" w:cs="Arial"/>
          <w:lang w:eastAsia="fr-FR"/>
        </w:rPr>
        <w:t>n’étant ni présent, ni représenté</w:t>
      </w:r>
      <w:r w:rsidR="00976F7F">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Entendu en délibéré M. Jean</w:t>
      </w:r>
      <w:r w:rsidR="00976F7F">
        <w:rPr>
          <w:rFonts w:ascii="Arial" w:eastAsia="Times New Roman" w:hAnsi="Arial" w:cs="Arial"/>
          <w:lang w:eastAsia="fr-FR"/>
        </w:rPr>
        <w:t>-</w:t>
      </w:r>
      <w:r w:rsidRPr="00B2691B">
        <w:rPr>
          <w:rFonts w:ascii="Arial" w:eastAsia="Times New Roman" w:hAnsi="Arial" w:cs="Arial"/>
          <w:lang w:eastAsia="fr-FR"/>
        </w:rPr>
        <w:t>Michel</w:t>
      </w:r>
      <w:r w:rsidR="00976F7F">
        <w:rPr>
          <w:rFonts w:ascii="Arial" w:eastAsia="Times New Roman" w:hAnsi="Arial" w:cs="Arial"/>
          <w:lang w:eastAsia="fr-FR"/>
        </w:rPr>
        <w:t xml:space="preserve"> </w:t>
      </w:r>
      <w:r w:rsidRPr="00B2691B">
        <w:rPr>
          <w:rFonts w:ascii="Arial" w:eastAsia="Times New Roman" w:hAnsi="Arial" w:cs="Arial"/>
          <w:lang w:eastAsia="fr-FR"/>
        </w:rPr>
        <w:t>de</w:t>
      </w:r>
      <w:r w:rsidR="00976F7F">
        <w:rPr>
          <w:rFonts w:ascii="Arial" w:eastAsia="Times New Roman" w:hAnsi="Arial" w:cs="Arial"/>
          <w:lang w:eastAsia="fr-FR"/>
        </w:rPr>
        <w:t xml:space="preserve"> </w:t>
      </w:r>
      <w:proofErr w:type="spellStart"/>
      <w:r w:rsidRPr="00B2691B">
        <w:rPr>
          <w:rFonts w:ascii="Arial" w:eastAsia="Times New Roman" w:hAnsi="Arial" w:cs="Arial"/>
          <w:lang w:eastAsia="fr-FR"/>
        </w:rPr>
        <w:t>M</w:t>
      </w:r>
      <w:r w:rsidR="00A90C03">
        <w:rPr>
          <w:rFonts w:ascii="Arial" w:eastAsia="Times New Roman" w:hAnsi="Arial" w:cs="Arial"/>
          <w:lang w:eastAsia="fr-FR"/>
        </w:rPr>
        <w:t>ourgues</w:t>
      </w:r>
      <w:proofErr w:type="spellEnd"/>
      <w:r w:rsidRPr="00B2691B">
        <w:rPr>
          <w:rFonts w:ascii="Arial" w:eastAsia="Times New Roman" w:hAnsi="Arial" w:cs="Arial"/>
          <w:lang w:eastAsia="fr-FR"/>
        </w:rPr>
        <w:t>, conseiller maître, en ses observations ;</w:t>
      </w:r>
    </w:p>
    <w:p w:rsidR="0023067F" w:rsidRPr="00B2691B" w:rsidRDefault="0023067F" w:rsidP="00976F7F">
      <w:pPr>
        <w:tabs>
          <w:tab w:val="center" w:pos="4536"/>
          <w:tab w:val="right" w:pos="9072"/>
        </w:tabs>
        <w:spacing w:before="120" w:after="240" w:line="240" w:lineRule="auto"/>
        <w:ind w:right="142"/>
        <w:jc w:val="both"/>
        <w:rPr>
          <w:rFonts w:ascii="Arial" w:eastAsia="Times New Roman" w:hAnsi="Arial" w:cs="Arial"/>
          <w:b/>
          <w:i/>
          <w:lang w:eastAsia="fr-FR"/>
        </w:rPr>
      </w:pPr>
      <w:r w:rsidRPr="00B2691B">
        <w:rPr>
          <w:rFonts w:ascii="Arial" w:eastAsia="Times New Roman" w:hAnsi="Arial" w:cs="Arial"/>
          <w:b/>
          <w:i/>
          <w:lang w:eastAsia="fr-FR"/>
        </w:rPr>
        <w:t>Sur la première présomption de charge, soulevée à l’encontre de M. </w:t>
      </w:r>
      <w:r w:rsidR="00825895">
        <w:rPr>
          <w:rFonts w:ascii="Arial" w:eastAsia="Times New Roman" w:hAnsi="Arial" w:cs="Arial"/>
          <w:b/>
          <w:i/>
          <w:lang w:eastAsia="fr-FR"/>
        </w:rPr>
        <w:t>X</w:t>
      </w:r>
      <w:r w:rsidRPr="00B2691B">
        <w:rPr>
          <w:rFonts w:ascii="Arial" w:eastAsia="Times New Roman" w:hAnsi="Arial" w:cs="Arial"/>
          <w:b/>
          <w:i/>
          <w:lang w:eastAsia="fr-FR"/>
        </w:rPr>
        <w:t>, au titre de l’exercice 2008 (affaire SARL ASN)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lang w:eastAsia="fr-FR"/>
        </w:rPr>
        <w:t xml:space="preserve">Attendu que, par le réquisitoire susvisé, le Procureur général a saisi </w:t>
      </w:r>
      <w:r w:rsidRPr="00B2691B">
        <w:rPr>
          <w:rFonts w:ascii="Arial" w:eastAsia="Times New Roman" w:hAnsi="Arial" w:cs="Arial"/>
          <w:lang w:eastAsia="fr-FR"/>
        </w:rPr>
        <w:br/>
        <w:t>la première chambre de la Cour des comptes de la responsabilité encourue par M. </w:t>
      </w:r>
      <w:r w:rsidR="005E01AB">
        <w:rPr>
          <w:rFonts w:ascii="Arial" w:eastAsia="Times New Roman" w:hAnsi="Arial" w:cs="Arial"/>
          <w:lang w:eastAsia="fr-FR"/>
        </w:rPr>
        <w:t>X</w:t>
      </w:r>
      <w:r w:rsidRPr="00B2691B">
        <w:rPr>
          <w:rFonts w:ascii="Arial" w:eastAsia="Times New Roman" w:hAnsi="Arial" w:cs="Arial"/>
          <w:lang w:eastAsia="fr-FR"/>
        </w:rPr>
        <w:t>, au titre de l’exercice 2008, pour n’avoir pas exercé de poursuites à l’encontre d’un gérant d’une société commerciale déclaré débiteur solidaire des dettes fiscales de cette entreprise, à concurrence de 180 949 € ;</w:t>
      </w:r>
    </w:p>
    <w:p w:rsidR="0023067F" w:rsidRPr="00976F7F" w:rsidRDefault="0023067F" w:rsidP="00976F7F">
      <w:pPr>
        <w:spacing w:before="120" w:after="240" w:line="240" w:lineRule="auto"/>
        <w:ind w:right="142"/>
        <w:jc w:val="both"/>
        <w:rPr>
          <w:rFonts w:ascii="Arial" w:eastAsia="Times New Roman" w:hAnsi="Arial" w:cs="Arial"/>
          <w:u w:val="single"/>
          <w:lang w:eastAsia="fr-FR"/>
        </w:rPr>
      </w:pPr>
      <w:r w:rsidRPr="00976F7F">
        <w:rPr>
          <w:rFonts w:ascii="Arial" w:eastAsia="Times New Roman" w:hAnsi="Arial" w:cs="Arial"/>
          <w:u w:val="single"/>
          <w:lang w:eastAsia="fr-FR"/>
        </w:rPr>
        <w:t>Sur l’existence d’un manquement du comptable à ses obligations</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Sur le droit applicable</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qu’aux termes de l’article 11 du décret du 29 décembre 1962 susvisé, les comptables publics sont seuls chargés de la prise en charge et du recouvrement des ordres de recettes qui leur sont remis par les ordonnateurs</w:t>
      </w:r>
      <w:r w:rsidR="00976F7F">
        <w:rPr>
          <w:rFonts w:ascii="Arial" w:eastAsia="Times New Roman" w:hAnsi="Arial" w:cs="Arial"/>
          <w:lang w:eastAsia="fr-FR"/>
        </w:rPr>
        <w:t> </w:t>
      </w:r>
      <w:r w:rsidRPr="00B2691B">
        <w:rPr>
          <w:rFonts w:ascii="Arial" w:eastAsia="Times New Roman" w:hAnsi="Arial" w:cs="Arial"/>
          <w:lang w:eastAsia="fr-FR"/>
        </w:rPr>
        <w:t>; qu’aux termes de l’article 12 du même texte, les comptables sont tenus d'exercer, en recettes, dans la limite des éléments dont ils disposent, le contrôle de la mise en recouvrement des créances de l'organisme public</w:t>
      </w:r>
      <w:r w:rsidR="00976F7F">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l’admission en non-valeur d’une créance ne dégage pas le comptable de ses obligations précitées</w:t>
      </w:r>
      <w:r w:rsidR="00976F7F">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qu’aux termes de l'article 60 de la loi du 23</w:t>
      </w:r>
      <w:r w:rsidR="00976F7F">
        <w:rPr>
          <w:rFonts w:ascii="Arial" w:eastAsia="Times New Roman" w:hAnsi="Arial" w:cs="Arial"/>
          <w:lang w:eastAsia="fr-FR"/>
        </w:rPr>
        <w:t xml:space="preserve"> </w:t>
      </w:r>
      <w:r w:rsidRPr="00B2691B">
        <w:rPr>
          <w:rFonts w:ascii="Arial" w:eastAsia="Times New Roman" w:hAnsi="Arial" w:cs="Arial"/>
          <w:lang w:eastAsia="fr-FR"/>
        </w:rPr>
        <w:t>février 1963 susvisée</w:t>
      </w:r>
      <w:r w:rsidR="00976F7F">
        <w:rPr>
          <w:rFonts w:ascii="Arial" w:eastAsia="Times New Roman" w:hAnsi="Arial" w:cs="Arial"/>
          <w:lang w:eastAsia="fr-FR"/>
        </w:rPr>
        <w:t xml:space="preserve">, </w:t>
      </w:r>
      <w:r w:rsidRPr="00B2691B">
        <w:rPr>
          <w:rFonts w:ascii="Arial" w:eastAsia="Times New Roman" w:hAnsi="Arial" w:cs="Arial"/>
          <w:lang w:eastAsia="fr-FR"/>
        </w:rPr>
        <w:t>les comptables publics sont personnellement et pécuniairement responsables du recouvrement des recettes et des contrôles qu’ils sont tenus d’exercer en matière de recettes dans les conditions prévues par le règlement général sur la comptabilité publique, et que leur responsabilité personnelle et pécuniaire se trouve engagée dès lors qu'une recette n'a pas été recouvrée</w:t>
      </w:r>
      <w:r w:rsidR="00976F7F">
        <w:rPr>
          <w:rFonts w:ascii="Arial" w:eastAsia="Times New Roman" w:hAnsi="Arial" w:cs="Arial"/>
          <w:lang w:eastAsia="fr-FR"/>
        </w:rPr>
        <w:t> ;</w:t>
      </w:r>
      <w:r w:rsidRPr="00B2691B">
        <w:rPr>
          <w:rFonts w:ascii="Arial" w:eastAsia="Times New Roman" w:hAnsi="Arial" w:cs="Arial"/>
          <w:lang w:eastAsia="fr-FR"/>
        </w:rPr>
        <w:t xml:space="preserve"> que la responsabilité du comptable en recettes s’apprécie au regard de l’étendue de ses diligences, qui doivent être adéquates, complètes et rapides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ainsi qu’un comptable ayant connaissance d’une créance doit, sauf à engager sa responsabilité, mener toute diligence utile, auprès du ou des débiteurs, visant à la recouvrer ou, à tout le moins, à la préserver ; qu’il en va notamment ainsi lorsque le comptable a connaissance d’une procédure pénale pour fraude fiscale à l’encontre du gérant d’une société redevable en liquidation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Sur les faits</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la société à responsabilité limitée Assistance Service Nettoyage (ASN) a été déclarée en redressement judiciaire par un jugement publié le 25 septembre 2003 ; que la créance du service comptable des impôts de Saint-Dizier a été admise au passif pour un montant total de 327 245 € en droits et pénalités, par une ordonnance du juge-commissaire du 15</w:t>
      </w:r>
      <w:r w:rsidR="00976F7F">
        <w:rPr>
          <w:rFonts w:ascii="Arial" w:eastAsia="Times New Roman" w:hAnsi="Arial" w:cs="Arial"/>
          <w:lang w:eastAsia="fr-FR"/>
        </w:rPr>
        <w:t xml:space="preserve"> </w:t>
      </w:r>
      <w:r w:rsidRPr="00B2691B">
        <w:rPr>
          <w:rFonts w:ascii="Arial" w:eastAsia="Times New Roman" w:hAnsi="Arial" w:cs="Arial"/>
          <w:lang w:eastAsia="fr-FR"/>
        </w:rPr>
        <w:t>septembre 2004 ; que l’état de reddition des comptes a été déposé au greffe du tribunal de commerce le 30 avril 2010, après le prononcé de la clôture pour insuffisance d’actif de la procédure</w:t>
      </w:r>
      <w:r w:rsidR="00976F7F">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l’admission en non-valeur des créances en cause a été décidée le 9</w:t>
      </w:r>
      <w:r w:rsidR="00976F7F">
        <w:rPr>
          <w:rFonts w:ascii="Arial" w:eastAsia="Times New Roman" w:hAnsi="Arial" w:cs="Arial"/>
          <w:lang w:eastAsia="fr-FR"/>
        </w:rPr>
        <w:t xml:space="preserve"> </w:t>
      </w:r>
      <w:r w:rsidRPr="00B2691B">
        <w:rPr>
          <w:rFonts w:ascii="Arial" w:eastAsia="Times New Roman" w:hAnsi="Arial" w:cs="Arial"/>
          <w:lang w:eastAsia="fr-FR"/>
        </w:rPr>
        <w:t>décembre</w:t>
      </w:r>
      <w:r w:rsidR="00976F7F">
        <w:rPr>
          <w:rFonts w:ascii="Arial" w:eastAsia="Times New Roman" w:hAnsi="Arial" w:cs="Arial"/>
          <w:lang w:eastAsia="fr-FR"/>
        </w:rPr>
        <w:t xml:space="preserve"> </w:t>
      </w:r>
      <w:r w:rsidRPr="00B2691B">
        <w:rPr>
          <w:rFonts w:ascii="Arial" w:eastAsia="Times New Roman" w:hAnsi="Arial" w:cs="Arial"/>
          <w:lang w:eastAsia="fr-FR"/>
        </w:rPr>
        <w:t>2011 ;</w:t>
      </w:r>
    </w:p>
    <w:p w:rsidR="00976F7F" w:rsidRDefault="00976F7F" w:rsidP="00976F7F">
      <w:pPr>
        <w:spacing w:before="120" w:after="240" w:line="240" w:lineRule="auto"/>
        <w:ind w:right="142"/>
        <w:jc w:val="both"/>
        <w:rPr>
          <w:rFonts w:ascii="Arial" w:eastAsia="Times New Roman" w:hAnsi="Arial" w:cs="Arial"/>
          <w:lang w:eastAsia="fr-FR"/>
        </w:rPr>
      </w:pPr>
    </w:p>
    <w:p w:rsidR="00976F7F" w:rsidRDefault="00976F7F" w:rsidP="00976F7F">
      <w:pPr>
        <w:spacing w:before="120" w:after="240" w:line="240" w:lineRule="auto"/>
        <w:ind w:right="142"/>
        <w:jc w:val="both"/>
        <w:rPr>
          <w:rFonts w:ascii="Arial" w:eastAsia="Times New Roman" w:hAnsi="Arial" w:cs="Arial"/>
          <w:lang w:eastAsia="fr-FR"/>
        </w:rPr>
      </w:pP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par une lettre du 9</w:t>
      </w:r>
      <w:r w:rsidR="00976F7F">
        <w:rPr>
          <w:rFonts w:ascii="Arial" w:eastAsia="Times New Roman" w:hAnsi="Arial" w:cs="Arial"/>
          <w:lang w:eastAsia="fr-FR"/>
        </w:rPr>
        <w:t xml:space="preserve"> </w:t>
      </w:r>
      <w:r w:rsidRPr="00B2691B">
        <w:rPr>
          <w:rFonts w:ascii="Arial" w:eastAsia="Times New Roman" w:hAnsi="Arial" w:cs="Arial"/>
          <w:lang w:eastAsia="fr-FR"/>
        </w:rPr>
        <w:t>janvier</w:t>
      </w:r>
      <w:r w:rsidR="00976F7F">
        <w:rPr>
          <w:rFonts w:ascii="Arial" w:eastAsia="Times New Roman" w:hAnsi="Arial" w:cs="Arial"/>
          <w:lang w:eastAsia="fr-FR"/>
        </w:rPr>
        <w:t xml:space="preserve"> </w:t>
      </w:r>
      <w:r w:rsidRPr="00B2691B">
        <w:rPr>
          <w:rFonts w:ascii="Arial" w:eastAsia="Times New Roman" w:hAnsi="Arial" w:cs="Arial"/>
          <w:lang w:eastAsia="fr-FR"/>
        </w:rPr>
        <w:t>2004, la direction des services fiscaux avait informé M. </w:t>
      </w:r>
      <w:r w:rsidR="005E01AB">
        <w:rPr>
          <w:rFonts w:ascii="Arial" w:eastAsia="Times New Roman" w:hAnsi="Arial" w:cs="Arial"/>
          <w:lang w:eastAsia="fr-FR"/>
        </w:rPr>
        <w:t>X</w:t>
      </w:r>
      <w:r w:rsidRPr="00B2691B">
        <w:rPr>
          <w:rFonts w:ascii="Arial" w:eastAsia="Times New Roman" w:hAnsi="Arial" w:cs="Arial"/>
          <w:lang w:eastAsia="fr-FR"/>
        </w:rPr>
        <w:t xml:space="preserve"> qu’une plainte pour fraude fiscale avait été déposée à l’encontre de M. </w:t>
      </w:r>
      <w:r w:rsidR="00825895">
        <w:rPr>
          <w:rFonts w:ascii="Arial" w:eastAsia="Times New Roman" w:hAnsi="Arial" w:cs="Arial"/>
          <w:lang w:eastAsia="fr-FR"/>
        </w:rPr>
        <w:t>Y</w:t>
      </w:r>
      <w:r w:rsidRPr="00B2691B">
        <w:rPr>
          <w:rFonts w:ascii="Arial" w:eastAsia="Times New Roman" w:hAnsi="Arial" w:cs="Arial"/>
          <w:lang w:eastAsia="fr-FR"/>
        </w:rPr>
        <w:t>, dirigeant de la société ASN ; que par un jugement contradictoire du tribunal de grande instance de Chaumont du 2</w:t>
      </w:r>
      <w:r w:rsidR="00976F7F">
        <w:rPr>
          <w:rFonts w:ascii="Arial" w:eastAsia="Times New Roman" w:hAnsi="Arial" w:cs="Arial"/>
          <w:lang w:eastAsia="fr-FR"/>
        </w:rPr>
        <w:t xml:space="preserve"> </w:t>
      </w:r>
      <w:r w:rsidRPr="00B2691B">
        <w:rPr>
          <w:rFonts w:ascii="Arial" w:eastAsia="Times New Roman" w:hAnsi="Arial" w:cs="Arial"/>
          <w:lang w:eastAsia="fr-FR"/>
        </w:rPr>
        <w:t xml:space="preserve">novembre 2004, </w:t>
      </w:r>
      <w:r w:rsidR="00825895">
        <w:rPr>
          <w:rFonts w:ascii="Arial" w:eastAsia="Times New Roman" w:hAnsi="Arial" w:cs="Arial"/>
          <w:lang w:eastAsia="fr-FR"/>
        </w:rPr>
        <w:t>M.</w:t>
      </w:r>
      <w:r w:rsidR="00976F7F">
        <w:rPr>
          <w:rFonts w:ascii="Arial" w:eastAsia="Times New Roman" w:hAnsi="Arial" w:cs="Arial"/>
          <w:lang w:eastAsia="fr-FR"/>
        </w:rPr>
        <w:t> </w:t>
      </w:r>
      <w:r w:rsidR="00825895">
        <w:rPr>
          <w:rFonts w:ascii="Arial" w:eastAsia="Times New Roman" w:hAnsi="Arial" w:cs="Arial"/>
          <w:lang w:eastAsia="fr-FR"/>
        </w:rPr>
        <w:t>Y</w:t>
      </w:r>
      <w:r w:rsidRPr="00B2691B">
        <w:rPr>
          <w:rFonts w:ascii="Arial" w:eastAsia="Times New Roman" w:hAnsi="Arial" w:cs="Arial"/>
          <w:lang w:eastAsia="fr-FR"/>
        </w:rPr>
        <w:t xml:space="preserve"> a été condamné sur le fondement de l’article 1741 du code général des impôts,</w:t>
      </w:r>
      <w:r w:rsidR="00976F7F">
        <w:rPr>
          <w:rFonts w:ascii="Arial" w:eastAsia="Times New Roman" w:hAnsi="Arial" w:cs="Arial"/>
          <w:lang w:eastAsia="fr-FR"/>
        </w:rPr>
        <w:t xml:space="preserve"> </w:t>
      </w:r>
      <w:r w:rsidRPr="00B2691B">
        <w:rPr>
          <w:rFonts w:ascii="Arial" w:eastAsia="Times New Roman" w:hAnsi="Arial" w:cs="Arial"/>
          <w:lang w:eastAsia="fr-FR"/>
        </w:rPr>
        <w:t>au paiement solidaire d'impôts dus par la société, à concurrence de 180 949 €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Sur les arguments apportés à décharge par le comptable</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M. </w:t>
      </w:r>
      <w:r w:rsidR="005E01AB">
        <w:rPr>
          <w:rFonts w:ascii="Arial" w:eastAsia="Times New Roman" w:hAnsi="Arial" w:cs="Arial"/>
          <w:lang w:eastAsia="fr-FR"/>
        </w:rPr>
        <w:t>X</w:t>
      </w:r>
      <w:r w:rsidRPr="00B2691B">
        <w:rPr>
          <w:rFonts w:ascii="Arial" w:eastAsia="Times New Roman" w:hAnsi="Arial" w:cs="Arial"/>
          <w:lang w:eastAsia="fr-FR"/>
        </w:rPr>
        <w:t xml:space="preserve"> indique que le courrier du 9</w:t>
      </w:r>
      <w:r w:rsidR="00976F7F">
        <w:rPr>
          <w:rFonts w:ascii="Arial" w:eastAsia="Times New Roman" w:hAnsi="Arial" w:cs="Arial"/>
          <w:lang w:eastAsia="fr-FR"/>
        </w:rPr>
        <w:t xml:space="preserve"> </w:t>
      </w:r>
      <w:r w:rsidRPr="00B2691B">
        <w:rPr>
          <w:rFonts w:ascii="Arial" w:eastAsia="Times New Roman" w:hAnsi="Arial" w:cs="Arial"/>
          <w:lang w:eastAsia="fr-FR"/>
        </w:rPr>
        <w:t>janvier</w:t>
      </w:r>
      <w:r w:rsidR="00976F7F">
        <w:rPr>
          <w:rFonts w:ascii="Arial" w:eastAsia="Times New Roman" w:hAnsi="Arial" w:cs="Arial"/>
          <w:lang w:eastAsia="fr-FR"/>
        </w:rPr>
        <w:t xml:space="preserve"> </w:t>
      </w:r>
      <w:r w:rsidRPr="00B2691B">
        <w:rPr>
          <w:rFonts w:ascii="Arial" w:eastAsia="Times New Roman" w:hAnsi="Arial" w:cs="Arial"/>
          <w:lang w:eastAsia="fr-FR"/>
        </w:rPr>
        <w:t>2004 du directeur des services fiscaux de la Haute</w:t>
      </w:r>
      <w:r w:rsidR="00976F7F">
        <w:rPr>
          <w:rFonts w:ascii="Arial" w:eastAsia="Times New Roman" w:hAnsi="Arial" w:cs="Arial"/>
          <w:lang w:eastAsia="fr-FR"/>
        </w:rPr>
        <w:t>-</w:t>
      </w:r>
      <w:r w:rsidRPr="00B2691B">
        <w:rPr>
          <w:rFonts w:ascii="Arial" w:eastAsia="Times New Roman" w:hAnsi="Arial" w:cs="Arial"/>
          <w:lang w:eastAsia="fr-FR"/>
        </w:rPr>
        <w:t>Marne l’informant de la plainte pour fraude fiscale déposée à l’encontre de M. </w:t>
      </w:r>
      <w:r w:rsidR="00825895">
        <w:rPr>
          <w:rFonts w:ascii="Arial" w:eastAsia="Times New Roman" w:hAnsi="Arial" w:cs="Arial"/>
          <w:lang w:eastAsia="fr-FR"/>
        </w:rPr>
        <w:t>Y</w:t>
      </w:r>
      <w:r w:rsidRPr="00B2691B">
        <w:rPr>
          <w:rFonts w:ascii="Arial" w:eastAsia="Times New Roman" w:hAnsi="Arial" w:cs="Arial"/>
          <w:lang w:eastAsia="fr-FR"/>
        </w:rPr>
        <w:t>, précisait : « </w:t>
      </w:r>
      <w:r w:rsidRPr="00B2691B">
        <w:rPr>
          <w:rFonts w:ascii="Arial" w:eastAsia="Times New Roman" w:hAnsi="Arial" w:cs="Arial"/>
          <w:i/>
          <w:lang w:eastAsia="fr-FR"/>
        </w:rPr>
        <w:t>vous serez informé du déroulement de la procédure afin de vous permettre de prendre toute mesure conservatoire jugée utile</w:t>
      </w:r>
      <w:r w:rsidRPr="00B2691B">
        <w:rPr>
          <w:rFonts w:ascii="Arial" w:eastAsia="Times New Roman" w:hAnsi="Arial" w:cs="Arial"/>
          <w:lang w:eastAsia="fr-FR"/>
        </w:rPr>
        <w:t> » ; que le comptable dit avoir contacté sa direction téléphoniquement à plusieurs reprises ; qu’il produit une copie d’un courriel du 28</w:t>
      </w:r>
      <w:r w:rsidR="00976F7F">
        <w:rPr>
          <w:rFonts w:ascii="Arial" w:eastAsia="Times New Roman" w:hAnsi="Arial" w:cs="Arial"/>
          <w:lang w:eastAsia="fr-FR"/>
        </w:rPr>
        <w:t xml:space="preserve"> </w:t>
      </w:r>
      <w:r w:rsidRPr="00B2691B">
        <w:rPr>
          <w:rFonts w:ascii="Arial" w:eastAsia="Times New Roman" w:hAnsi="Arial" w:cs="Arial"/>
          <w:lang w:eastAsia="fr-FR"/>
        </w:rPr>
        <w:t>octobre</w:t>
      </w:r>
      <w:r w:rsidR="00976F7F">
        <w:rPr>
          <w:rFonts w:ascii="Arial" w:eastAsia="Times New Roman" w:hAnsi="Arial" w:cs="Arial"/>
          <w:lang w:eastAsia="fr-FR"/>
        </w:rPr>
        <w:t xml:space="preserve"> </w:t>
      </w:r>
      <w:r w:rsidRPr="00B2691B">
        <w:rPr>
          <w:rFonts w:ascii="Arial" w:eastAsia="Times New Roman" w:hAnsi="Arial" w:cs="Arial"/>
          <w:lang w:eastAsia="fr-FR"/>
        </w:rPr>
        <w:t>2004 dans lequel il fait le point sur les étapes de la procédure collective et ses perspectives de recouvrement et d’un mémo du 21</w:t>
      </w:r>
      <w:r w:rsidR="00976F7F">
        <w:rPr>
          <w:rFonts w:ascii="Arial" w:eastAsia="Times New Roman" w:hAnsi="Arial" w:cs="Arial"/>
          <w:lang w:eastAsia="fr-FR"/>
        </w:rPr>
        <w:t xml:space="preserve"> </w:t>
      </w:r>
      <w:r w:rsidRPr="00B2691B">
        <w:rPr>
          <w:rFonts w:ascii="Arial" w:eastAsia="Times New Roman" w:hAnsi="Arial" w:cs="Arial"/>
          <w:lang w:eastAsia="fr-FR"/>
        </w:rPr>
        <w:t>septembre</w:t>
      </w:r>
      <w:r w:rsidR="00976F7F">
        <w:rPr>
          <w:rFonts w:ascii="Arial" w:eastAsia="Times New Roman" w:hAnsi="Arial" w:cs="Arial"/>
          <w:lang w:eastAsia="fr-FR"/>
        </w:rPr>
        <w:t xml:space="preserve"> </w:t>
      </w:r>
      <w:r w:rsidRPr="00B2691B">
        <w:rPr>
          <w:rFonts w:ascii="Arial" w:eastAsia="Times New Roman" w:hAnsi="Arial" w:cs="Arial"/>
          <w:lang w:eastAsia="fr-FR"/>
        </w:rPr>
        <w:t xml:space="preserve">2006 après une rencontre avec un collègue sur lequel il a annoté </w:t>
      </w:r>
      <w:r w:rsidRPr="00B2691B">
        <w:rPr>
          <w:rFonts w:ascii="Arial" w:eastAsia="Times New Roman" w:hAnsi="Arial" w:cs="Arial"/>
          <w:i/>
          <w:lang w:eastAsia="fr-FR"/>
        </w:rPr>
        <w:t xml:space="preserve">« vu </w:t>
      </w:r>
      <w:r w:rsidR="00825895">
        <w:rPr>
          <w:rFonts w:ascii="Arial" w:eastAsia="Times New Roman" w:hAnsi="Arial" w:cs="Arial"/>
          <w:i/>
          <w:lang w:eastAsia="fr-FR"/>
        </w:rPr>
        <w:t>Z</w:t>
      </w:r>
      <w:r w:rsidRPr="00B2691B">
        <w:rPr>
          <w:rFonts w:ascii="Arial" w:eastAsia="Times New Roman" w:hAnsi="Arial" w:cs="Arial"/>
          <w:i/>
          <w:lang w:eastAsia="fr-FR"/>
        </w:rPr>
        <w:t xml:space="preserve"> le 21/09/2006, avait vu le Proc en 06/06 pour relancer le dossier »</w:t>
      </w:r>
      <w:r w:rsidRPr="00B2691B">
        <w:rPr>
          <w:rFonts w:ascii="Arial" w:eastAsia="Times New Roman" w:hAnsi="Arial" w:cs="Arial"/>
          <w:lang w:eastAsia="fr-FR"/>
        </w:rPr>
        <w:t xml:space="preserve"> ; que suite à une question posée au Pôle national d’assistance au recouvrement complexe des recettes le 12 juillet 2011, ce service aurait indiqué : </w:t>
      </w:r>
      <w:r w:rsidRPr="00B2691B">
        <w:rPr>
          <w:rFonts w:ascii="Arial" w:eastAsia="Times New Roman" w:hAnsi="Arial" w:cs="Arial"/>
          <w:i/>
          <w:lang w:eastAsia="fr-FR"/>
        </w:rPr>
        <w:t>« si le comptable n’était pas informé du jugement, il ne pouvait l’exécuter. En effet, il lui fallait une copie du jugement pour établir la mise en demeure. Aussi le cas échéant le comptable ne pourrait pas être mise en cause »</w:t>
      </w:r>
      <w:r w:rsidRPr="00B2691B">
        <w:rPr>
          <w:rFonts w:ascii="Arial" w:eastAsia="Times New Roman" w:hAnsi="Arial" w:cs="Arial"/>
          <w:lang w:eastAsia="fr-FR"/>
        </w:rPr>
        <w:t xml:space="preserve"> ; qu’ainsi </w:t>
      </w:r>
      <w:r w:rsidR="00825895">
        <w:rPr>
          <w:rFonts w:ascii="Arial" w:eastAsia="Times New Roman" w:hAnsi="Arial" w:cs="Arial"/>
          <w:lang w:eastAsia="fr-FR"/>
        </w:rPr>
        <w:t>M. X</w:t>
      </w:r>
      <w:r w:rsidRPr="00B2691B">
        <w:rPr>
          <w:rFonts w:ascii="Arial" w:eastAsia="Times New Roman" w:hAnsi="Arial" w:cs="Arial"/>
          <w:lang w:eastAsia="fr-FR"/>
        </w:rPr>
        <w:t xml:space="preserve"> estime ne pas être resté inactif et avoir fait les diligences nécessaires avec les éléments dont il disposait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Sur l’application au cas d’espèce</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qu’il est constant que le comptable avait connaissance de l’existence de la plainte pour fraude fiscale précitée</w:t>
      </w:r>
      <w:r w:rsidR="00976F7F">
        <w:rPr>
          <w:rFonts w:ascii="Arial" w:eastAsia="Times New Roman" w:hAnsi="Arial" w:cs="Arial"/>
          <w:lang w:eastAsia="fr-FR"/>
        </w:rPr>
        <w:t> </w:t>
      </w:r>
      <w:r w:rsidRPr="00B2691B">
        <w:rPr>
          <w:rFonts w:ascii="Arial" w:eastAsia="Times New Roman" w:hAnsi="Arial" w:cs="Arial"/>
          <w:lang w:eastAsia="fr-FR"/>
        </w:rPr>
        <w:t>; qu’en tout état de cause, à partir des éléments dont il disposait déjà, il lui revenait de chercher et d’obtenir régulièrement des informations sur l’avancée de la procédure pour fraude fiscale, pour, le cas échéant, procéder en temps utile au terme de celle-ci au recouvrement ou à la préservation de la créance de l’Etat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A90C03">
        <w:rPr>
          <w:rFonts w:ascii="Arial" w:eastAsia="Times New Roman" w:hAnsi="Arial" w:cs="Arial"/>
          <w:lang w:eastAsia="fr-FR"/>
        </w:rPr>
        <w:t>Attendu que le jugement correctionnel précité a eu pour effet de désigner au Trésor un débiteur supplémentaire, en la personne du dirigeant de la société ; que la prescription opposable par ce dernier est celle du recouvrement des créances fiscales, telle que prévue par l'article L. 274 du livre des procédures fiscales</w:t>
      </w:r>
      <w:r w:rsidR="00976F7F">
        <w:rPr>
          <w:rFonts w:ascii="Arial" w:eastAsia="Times New Roman" w:hAnsi="Arial" w:cs="Arial"/>
          <w:lang w:eastAsia="fr-FR"/>
        </w:rPr>
        <w:t xml:space="preserve"> </w:t>
      </w:r>
      <w:r w:rsidRPr="00A90C03">
        <w:rPr>
          <w:rFonts w:ascii="Arial" w:eastAsia="Times New Roman" w:hAnsi="Arial" w:cs="Arial"/>
          <w:lang w:eastAsia="fr-FR"/>
        </w:rPr>
        <w:t>susvisé</w:t>
      </w:r>
      <w:r w:rsidR="00976F7F">
        <w:rPr>
          <w:rFonts w:ascii="Arial" w:eastAsia="Times New Roman" w:hAnsi="Arial" w:cs="Arial"/>
          <w:lang w:eastAsia="fr-FR"/>
        </w:rPr>
        <w:t> ;</w:t>
      </w:r>
      <w:r w:rsidRPr="00A90C03">
        <w:rPr>
          <w:rFonts w:ascii="Arial" w:eastAsia="Times New Roman" w:hAnsi="Arial" w:cs="Arial"/>
          <w:lang w:eastAsia="fr-FR"/>
        </w:rPr>
        <w:t xml:space="preserve"> que le point de départ de ce délai de quatre ans est la date à laquelle la décision de condamnation est devenue définitive, soit le terme du délai de dix jours prévu par l’article 498 du code de procédure pénale susvisé pour interjeter appel</w:t>
      </w:r>
      <w:r w:rsidR="00976F7F">
        <w:rPr>
          <w:rFonts w:ascii="Arial" w:eastAsia="Times New Roman" w:hAnsi="Arial" w:cs="Arial"/>
          <w:lang w:eastAsia="fr-FR"/>
        </w:rPr>
        <w:t> ;</w:t>
      </w:r>
      <w:r w:rsidRPr="00A90C03">
        <w:rPr>
          <w:rFonts w:ascii="Arial" w:eastAsia="Times New Roman" w:hAnsi="Arial" w:cs="Arial"/>
          <w:lang w:eastAsia="fr-FR"/>
        </w:rPr>
        <w:t xml:space="preserve"> qu’en l’absence de diligences la créance s’est trouvé</w:t>
      </w:r>
      <w:r w:rsidR="00D776D9" w:rsidRPr="00A90C03">
        <w:rPr>
          <w:rFonts w:ascii="Arial" w:eastAsia="Times New Roman" w:hAnsi="Arial" w:cs="Arial"/>
          <w:lang w:eastAsia="fr-FR"/>
        </w:rPr>
        <w:t>e</w:t>
      </w:r>
      <w:r w:rsidRPr="00A90C03">
        <w:rPr>
          <w:rFonts w:ascii="Arial" w:eastAsia="Times New Roman" w:hAnsi="Arial" w:cs="Arial"/>
          <w:lang w:eastAsia="fr-FR"/>
        </w:rPr>
        <w:t xml:space="preserve"> prescrite le 13 novembre 2008</w:t>
      </w:r>
      <w:r w:rsidR="00976F7F">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 xml:space="preserve">Attendu ainsi qu’en s’abstenant de suivre la procédure pour fraude fiscale, </w:t>
      </w:r>
      <w:r w:rsidR="00825895">
        <w:rPr>
          <w:rFonts w:ascii="Arial" w:eastAsia="Times New Roman" w:hAnsi="Arial" w:cs="Arial"/>
          <w:lang w:eastAsia="fr-FR"/>
        </w:rPr>
        <w:t>M. X</w:t>
      </w:r>
      <w:r w:rsidRPr="00B2691B">
        <w:rPr>
          <w:rFonts w:ascii="Arial" w:eastAsia="Times New Roman" w:hAnsi="Arial" w:cs="Arial"/>
          <w:lang w:eastAsia="fr-FR"/>
        </w:rPr>
        <w:t xml:space="preserve"> a manqué à ses obligations de diligences visant à préserver la créance en cause</w:t>
      </w:r>
      <w:r w:rsidR="00976F7F">
        <w:rPr>
          <w:rFonts w:ascii="Arial" w:eastAsia="Times New Roman" w:hAnsi="Arial" w:cs="Arial"/>
          <w:lang w:eastAsia="fr-FR"/>
        </w:rPr>
        <w:t> ;</w:t>
      </w:r>
      <w:r w:rsidRPr="00B2691B">
        <w:rPr>
          <w:rFonts w:ascii="Arial" w:eastAsia="Times New Roman" w:hAnsi="Arial" w:cs="Arial"/>
          <w:lang w:eastAsia="fr-FR"/>
        </w:rPr>
        <w:t xml:space="preserve"> qu’il y a donc lieu d’engager sa responsabilité personnelle et pécuniaire sur sa gestion 2008 ;</w:t>
      </w:r>
    </w:p>
    <w:p w:rsidR="0023067F" w:rsidRPr="00976F7F" w:rsidRDefault="0023067F" w:rsidP="00976F7F">
      <w:pPr>
        <w:spacing w:before="120" w:after="240" w:line="240" w:lineRule="auto"/>
        <w:ind w:right="142"/>
        <w:jc w:val="both"/>
        <w:rPr>
          <w:rFonts w:ascii="Arial" w:eastAsia="Times New Roman" w:hAnsi="Arial" w:cs="Arial"/>
          <w:u w:val="single"/>
          <w:lang w:eastAsia="fr-FR"/>
        </w:rPr>
      </w:pPr>
      <w:r w:rsidRPr="00976F7F">
        <w:rPr>
          <w:rFonts w:ascii="Arial" w:eastAsia="Times New Roman" w:hAnsi="Arial" w:cs="Arial"/>
          <w:u w:val="single"/>
          <w:lang w:eastAsia="fr-FR"/>
        </w:rPr>
        <w:t>Sur l’existence d’un préjudice financier pour l’Etat</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lang w:eastAsia="fr-FR"/>
        </w:rPr>
        <w:t>Attendu qu’aux termes du 3</w:t>
      </w:r>
      <w:r w:rsidRPr="00B2691B">
        <w:rPr>
          <w:rFonts w:ascii="Arial" w:eastAsia="Times New Roman" w:hAnsi="Arial" w:cs="Arial"/>
          <w:vertAlign w:val="superscript"/>
          <w:lang w:eastAsia="fr-FR"/>
        </w:rPr>
        <w:t>ème</w:t>
      </w:r>
      <w:r w:rsidRPr="00B2691B">
        <w:rPr>
          <w:rFonts w:ascii="Arial" w:eastAsia="Times New Roman" w:hAnsi="Arial" w:cs="Arial"/>
          <w:lang w:eastAsia="fr-FR"/>
        </w:rPr>
        <w:t xml:space="preserve"> alinéa du paragraphe VI de l’article 60 de la loi du 23 février 1963 susvisée, </w:t>
      </w:r>
      <w:r w:rsidRPr="00B2691B">
        <w:rPr>
          <w:rFonts w:ascii="Arial" w:eastAsia="Times New Roman" w:hAnsi="Arial" w:cs="Arial"/>
          <w:i/>
          <w:lang w:eastAsia="fr-FR"/>
        </w:rPr>
        <w:t>« lorsque le manquement du comptable aux obligations mentionnées au (I) a causé un préjudice financier, le comptable a l'obligation de verser immédiatement de ses deniers personnels la somme correspondante »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976F7F">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lang w:eastAsia="fr-FR"/>
        </w:rPr>
        <w:lastRenderedPageBreak/>
        <w:t>Attendu que M. </w:t>
      </w:r>
      <w:r w:rsidR="00825895">
        <w:rPr>
          <w:rFonts w:ascii="Arial" w:eastAsia="Times New Roman" w:hAnsi="Arial" w:cs="Arial"/>
          <w:lang w:eastAsia="fr-FR"/>
        </w:rPr>
        <w:t>X</w:t>
      </w:r>
      <w:r w:rsidRPr="00B2691B">
        <w:rPr>
          <w:rFonts w:ascii="Arial" w:eastAsia="Times New Roman" w:hAnsi="Arial" w:cs="Arial"/>
          <w:lang w:eastAsia="fr-FR"/>
        </w:rPr>
        <w:t xml:space="preserve"> n’apporte pas la preuve de l’insolvabilité de </w:t>
      </w:r>
      <w:r w:rsidR="00825895">
        <w:rPr>
          <w:rFonts w:ascii="Arial" w:eastAsia="Times New Roman" w:hAnsi="Arial" w:cs="Arial"/>
          <w:lang w:eastAsia="fr-FR"/>
        </w:rPr>
        <w:t>M. Y</w:t>
      </w:r>
      <w:r w:rsidRPr="00B2691B">
        <w:rPr>
          <w:rFonts w:ascii="Arial" w:eastAsia="Times New Roman" w:hAnsi="Arial" w:cs="Arial"/>
          <w:lang w:eastAsia="fr-FR"/>
        </w:rPr>
        <w:t xml:space="preserve"> ; qu’au contraire, les avis d’imposition de </w:t>
      </w:r>
      <w:r w:rsidR="00825895">
        <w:rPr>
          <w:rFonts w:ascii="Arial" w:eastAsia="Times New Roman" w:hAnsi="Arial" w:cs="Arial"/>
          <w:lang w:eastAsia="fr-FR"/>
        </w:rPr>
        <w:t>M. Y</w:t>
      </w:r>
      <w:r w:rsidRPr="00B2691B">
        <w:rPr>
          <w:rFonts w:ascii="Arial" w:eastAsia="Times New Roman" w:hAnsi="Arial" w:cs="Arial"/>
          <w:lang w:eastAsia="fr-FR"/>
        </w:rPr>
        <w:t xml:space="preserve"> indiquent la présence de revenus fonciers significatifs ; qu’il était propriétaire de sa résidence principale à Fort-Mahon Plage, d’un immeuble à Orléans donné en location de 2005 à 2009 et de parcelles de vignes à </w:t>
      </w:r>
      <w:proofErr w:type="spellStart"/>
      <w:r w:rsidRPr="00B2691B">
        <w:rPr>
          <w:rFonts w:ascii="Arial" w:eastAsia="Times New Roman" w:hAnsi="Arial" w:cs="Arial"/>
          <w:lang w:eastAsia="fr-FR"/>
        </w:rPr>
        <w:t>Moussy</w:t>
      </w:r>
      <w:proofErr w:type="spellEnd"/>
      <w:r w:rsidRPr="00B2691B">
        <w:rPr>
          <w:rFonts w:ascii="Arial" w:eastAsia="Times New Roman" w:hAnsi="Arial" w:cs="Arial"/>
          <w:lang w:eastAsia="fr-FR"/>
        </w:rPr>
        <w:t xml:space="preserve"> (Marne) également données en location ; qu’ainsi  M. </w:t>
      </w:r>
      <w:r w:rsidR="00825895">
        <w:rPr>
          <w:rFonts w:ascii="Arial" w:eastAsia="Times New Roman" w:hAnsi="Arial" w:cs="Arial"/>
          <w:lang w:eastAsia="fr-FR"/>
        </w:rPr>
        <w:t>Y</w:t>
      </w:r>
      <w:r w:rsidRPr="00B2691B">
        <w:rPr>
          <w:rFonts w:ascii="Arial" w:eastAsia="Times New Roman" w:hAnsi="Arial" w:cs="Arial"/>
          <w:lang w:eastAsia="fr-FR"/>
        </w:rPr>
        <w:t xml:space="preserve"> n’était pas dépourvu de ressources ni de patrimoine pendant les années 2004 à 2008 ; que le manquement doit donc être considéré comme ayant causé un préjudice financier pour l’Etat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qu’il y a donc lieu de constituer M. </w:t>
      </w:r>
      <w:r w:rsidR="00825895">
        <w:rPr>
          <w:rFonts w:ascii="Arial" w:eastAsia="Times New Roman" w:hAnsi="Arial" w:cs="Arial"/>
          <w:lang w:eastAsia="fr-FR"/>
        </w:rPr>
        <w:t>X</w:t>
      </w:r>
      <w:r w:rsidRPr="00B2691B">
        <w:rPr>
          <w:rFonts w:ascii="Arial" w:eastAsia="Times New Roman" w:hAnsi="Arial" w:cs="Arial"/>
          <w:lang w:eastAsia="fr-FR"/>
        </w:rPr>
        <w:t xml:space="preserve"> débiteur de l’Etat du montant des sommes non recouvrées, soit  cent quatre-vingt mille neuf cent quarante-neuf euros (180 949 €) sur l’exercice 2008</w:t>
      </w:r>
      <w:r w:rsidR="00976F7F">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qu’en application du paragraphe VIII de l’article 60 de la loi du 23</w:t>
      </w:r>
      <w:r w:rsidR="00976F7F">
        <w:rPr>
          <w:rFonts w:ascii="Arial" w:eastAsia="Times New Roman" w:hAnsi="Arial" w:cs="Arial"/>
          <w:lang w:eastAsia="fr-FR"/>
        </w:rPr>
        <w:t xml:space="preserve"> </w:t>
      </w:r>
      <w:r w:rsidRPr="00B2691B">
        <w:rPr>
          <w:rFonts w:ascii="Arial" w:eastAsia="Times New Roman" w:hAnsi="Arial" w:cs="Arial"/>
          <w:lang w:eastAsia="fr-FR"/>
        </w:rPr>
        <w:t>février</w:t>
      </w:r>
      <w:r w:rsidR="00976F7F">
        <w:rPr>
          <w:rFonts w:ascii="Arial" w:eastAsia="Times New Roman" w:hAnsi="Arial" w:cs="Arial"/>
          <w:lang w:eastAsia="fr-FR"/>
        </w:rPr>
        <w:t xml:space="preserve"> </w:t>
      </w:r>
      <w:r w:rsidRPr="00B2691B">
        <w:rPr>
          <w:rFonts w:ascii="Arial" w:eastAsia="Times New Roman" w:hAnsi="Arial" w:cs="Arial"/>
          <w:lang w:eastAsia="fr-FR"/>
        </w:rPr>
        <w:t>1963 susvisée, les intérêts de droit devront courir de la date de réception de la notification du réquisitoire du Procureur général à M. </w:t>
      </w:r>
      <w:r w:rsidR="005E01AB">
        <w:rPr>
          <w:rFonts w:ascii="Arial" w:eastAsia="Times New Roman" w:hAnsi="Arial" w:cs="Arial"/>
          <w:lang w:eastAsia="fr-FR"/>
        </w:rPr>
        <w:t>X</w:t>
      </w:r>
      <w:r w:rsidRPr="00B2691B">
        <w:rPr>
          <w:rFonts w:ascii="Arial" w:eastAsia="Times New Roman" w:hAnsi="Arial" w:cs="Arial"/>
          <w:lang w:eastAsia="fr-FR"/>
        </w:rPr>
        <w:t>, soit le 11 juillet 2014 ;</w:t>
      </w:r>
    </w:p>
    <w:p w:rsidR="0023067F" w:rsidRDefault="0023067F" w:rsidP="00976F7F">
      <w:pPr>
        <w:tabs>
          <w:tab w:val="center" w:pos="4536"/>
          <w:tab w:val="right" w:pos="9072"/>
        </w:tabs>
        <w:spacing w:before="120" w:after="240" w:line="240" w:lineRule="auto"/>
        <w:ind w:right="142"/>
        <w:jc w:val="both"/>
        <w:rPr>
          <w:rFonts w:ascii="Arial" w:eastAsia="Times New Roman" w:hAnsi="Arial" w:cs="Arial"/>
          <w:b/>
          <w:i/>
          <w:lang w:eastAsia="fr-FR"/>
        </w:rPr>
      </w:pPr>
    </w:p>
    <w:p w:rsidR="0023067F" w:rsidRPr="00B2691B" w:rsidRDefault="0023067F" w:rsidP="00976F7F">
      <w:pPr>
        <w:tabs>
          <w:tab w:val="center" w:pos="4536"/>
          <w:tab w:val="right" w:pos="9072"/>
        </w:tabs>
        <w:spacing w:before="120" w:after="240" w:line="240" w:lineRule="auto"/>
        <w:ind w:right="142"/>
        <w:jc w:val="both"/>
        <w:rPr>
          <w:rFonts w:ascii="Arial" w:eastAsia="Times New Roman" w:hAnsi="Arial" w:cs="Arial"/>
          <w:b/>
          <w:i/>
          <w:lang w:eastAsia="fr-FR"/>
        </w:rPr>
      </w:pPr>
      <w:r w:rsidRPr="00B2691B">
        <w:rPr>
          <w:rFonts w:ascii="Arial" w:eastAsia="Times New Roman" w:hAnsi="Arial" w:cs="Arial"/>
          <w:b/>
          <w:i/>
          <w:lang w:eastAsia="fr-FR"/>
        </w:rPr>
        <w:t>Sur la seconde présomption de charge, soulevée à l’encontre de M. </w:t>
      </w:r>
      <w:r w:rsidR="00825895">
        <w:rPr>
          <w:rFonts w:ascii="Arial" w:eastAsia="Times New Roman" w:hAnsi="Arial" w:cs="Arial"/>
          <w:b/>
          <w:i/>
          <w:lang w:eastAsia="fr-FR"/>
        </w:rPr>
        <w:t>X</w:t>
      </w:r>
      <w:r w:rsidRPr="00B2691B">
        <w:rPr>
          <w:rFonts w:ascii="Arial" w:eastAsia="Times New Roman" w:hAnsi="Arial" w:cs="Arial"/>
          <w:b/>
          <w:i/>
          <w:lang w:eastAsia="fr-FR"/>
        </w:rPr>
        <w:t>, au titre de l’exercice 2009 (affaire EURL LE MOULIN) :</w:t>
      </w:r>
    </w:p>
    <w:p w:rsidR="0023067F" w:rsidRPr="00B2691B" w:rsidRDefault="0023067F" w:rsidP="00976F7F">
      <w:pPr>
        <w:tabs>
          <w:tab w:val="center" w:pos="4536"/>
          <w:tab w:val="right" w:pos="9072"/>
        </w:tabs>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par le réquisitoire susvisé, le Procureur général a saisi la</w:t>
      </w:r>
      <w:r w:rsidR="00976F7F">
        <w:rPr>
          <w:rFonts w:ascii="Arial" w:eastAsia="Times New Roman" w:hAnsi="Arial" w:cs="Arial"/>
          <w:lang w:eastAsia="fr-FR"/>
        </w:rPr>
        <w:t xml:space="preserve"> </w:t>
      </w:r>
      <w:r w:rsidRPr="00B2691B">
        <w:rPr>
          <w:rFonts w:ascii="Arial" w:eastAsia="Times New Roman" w:hAnsi="Arial" w:cs="Arial"/>
          <w:lang w:eastAsia="fr-FR"/>
        </w:rPr>
        <w:t>première</w:t>
      </w:r>
      <w:r w:rsidR="00976F7F">
        <w:rPr>
          <w:rFonts w:ascii="Arial" w:eastAsia="Times New Roman" w:hAnsi="Arial" w:cs="Arial"/>
          <w:lang w:eastAsia="fr-FR"/>
        </w:rPr>
        <w:t xml:space="preserve"> </w:t>
      </w:r>
      <w:r w:rsidRPr="00B2691B">
        <w:rPr>
          <w:rFonts w:ascii="Arial" w:eastAsia="Times New Roman" w:hAnsi="Arial" w:cs="Arial"/>
          <w:lang w:eastAsia="fr-FR"/>
        </w:rPr>
        <w:t>chambre de la Cour des comptes de la responsabilité encourue par M. </w:t>
      </w:r>
      <w:r w:rsidR="00825895">
        <w:rPr>
          <w:rFonts w:ascii="Arial" w:eastAsia="Times New Roman" w:hAnsi="Arial" w:cs="Arial"/>
          <w:lang w:eastAsia="fr-FR"/>
        </w:rPr>
        <w:t>X</w:t>
      </w:r>
      <w:r w:rsidRPr="00B2691B">
        <w:rPr>
          <w:rFonts w:ascii="Arial" w:eastAsia="Times New Roman" w:hAnsi="Arial" w:cs="Arial"/>
          <w:lang w:eastAsia="fr-FR"/>
        </w:rPr>
        <w:t>, au titre de l’exercice 2009, pour n’avoir pas notifié au liquidateur, sur le fondement de l’article L. 622</w:t>
      </w:r>
      <w:r w:rsidR="00976F7F">
        <w:rPr>
          <w:rFonts w:ascii="Arial" w:eastAsia="Times New Roman" w:hAnsi="Arial" w:cs="Arial"/>
          <w:lang w:eastAsia="fr-FR"/>
        </w:rPr>
        <w:t>-</w:t>
      </w:r>
      <w:r w:rsidRPr="00B2691B">
        <w:rPr>
          <w:rFonts w:ascii="Arial" w:eastAsia="Times New Roman" w:hAnsi="Arial" w:cs="Arial"/>
          <w:lang w:eastAsia="fr-FR"/>
        </w:rPr>
        <w:t>17 du code de commerce, des créances de taxe sur la valeur ajoutée nées régulièrement après le jugement d’ouverture d’une procédure collective à l’encontre d’une société commerciale ;</w:t>
      </w:r>
    </w:p>
    <w:p w:rsidR="0023067F" w:rsidRPr="00976F7F" w:rsidRDefault="0023067F" w:rsidP="00976F7F">
      <w:pPr>
        <w:spacing w:before="120" w:after="240" w:line="240" w:lineRule="auto"/>
        <w:ind w:right="142"/>
        <w:jc w:val="both"/>
        <w:rPr>
          <w:rFonts w:ascii="Arial" w:eastAsia="Times New Roman" w:hAnsi="Arial" w:cs="Arial"/>
          <w:u w:val="single"/>
          <w:lang w:eastAsia="fr-FR"/>
        </w:rPr>
      </w:pPr>
      <w:r w:rsidRPr="00976F7F">
        <w:rPr>
          <w:rFonts w:ascii="Arial" w:eastAsia="Times New Roman" w:hAnsi="Arial" w:cs="Arial"/>
          <w:u w:val="single"/>
          <w:lang w:eastAsia="fr-FR"/>
        </w:rPr>
        <w:t>Sur l’existence d’un manquement du comptable à ses obligations</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Sur le droit applicable</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d’une part, qu’en application de l’article L. 622-24 du code de commerce, l’établissement définitif des créances doit, à peine de forclusion, être effectué dans le délai prévu à l'article L. 624-1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d’autre part, que le paragraphe I de l’article L. 622-17 du code de commerce dispose : « </w:t>
      </w:r>
      <w:r w:rsidRPr="00B2691B">
        <w:rPr>
          <w:rFonts w:ascii="Arial" w:eastAsia="Times New Roman" w:hAnsi="Arial" w:cs="Arial"/>
          <w:i/>
          <w:lang w:eastAsia="fr-FR"/>
        </w:rPr>
        <w:t>Les créances nées régulièrement après le jugement d'ouverture pour les besoins du déroulement de la procédure ou de la période d'observation, ou en contrepartie d'une prestation fournie au débiteur pendant cette période, sont payées à leur échéance</w:t>
      </w:r>
      <w:r w:rsidRPr="00B2691B">
        <w:rPr>
          <w:rFonts w:ascii="Arial" w:eastAsia="Times New Roman" w:hAnsi="Arial" w:cs="Arial"/>
          <w:lang w:eastAsia="fr-FR"/>
        </w:rPr>
        <w:t> » ; que le paragraphe I de l’article L. 641-13 du même code prévoit : « </w:t>
      </w:r>
      <w:r w:rsidRPr="00B2691B">
        <w:rPr>
          <w:rFonts w:ascii="Arial" w:eastAsia="Times New Roman" w:hAnsi="Arial" w:cs="Arial"/>
          <w:i/>
          <w:lang w:eastAsia="fr-FR"/>
        </w:rPr>
        <w:t xml:space="preserve">I.- Sont payées à leur échéance les créances nées régulièrement après le jugement qui ouvre ou prononce la liquidation judiciaire : / - si elles sont nées pour les besoins du déroulement de la procédure ou du maintien provisoire de l'activité autorisé en application de l'article L. 641-10 ; / - si elles sont nées en contrepartie d'une prestation fournie au débiteur pendant le maintien de l'activité ou en exécution d'un contrat en cours décidée par le liquidateur ; / - ou si elles sont nées des besoins de la vie courante du débiteur, personne physique. / En cas de prononcé de la liquidation judiciaire, sont également payées à leur échéance, les créances nées régulièrement après le jugement d'ouverture de la procédure de sauvegarde ou de redressement judiciaire mentionnées au I de l'article </w:t>
      </w:r>
      <w:hyperlink r:id="rId7" w:history="1">
        <w:r w:rsidRPr="00B2691B">
          <w:rPr>
            <w:rFonts w:ascii="Arial" w:eastAsia="Times New Roman" w:hAnsi="Arial" w:cs="Arial"/>
            <w:i/>
            <w:color w:val="000000"/>
            <w:lang w:eastAsia="fr-FR"/>
          </w:rPr>
          <w:t>L. 622-17</w:t>
        </w:r>
      </w:hyperlink>
      <w:r w:rsidRPr="00B2691B">
        <w:rPr>
          <w:rFonts w:ascii="Arial" w:eastAsia="Times New Roman" w:hAnsi="Arial" w:cs="Arial"/>
          <w:i/>
          <w:color w:val="000000"/>
          <w:lang w:eastAsia="fr-FR"/>
        </w:rPr>
        <w:t>.</w:t>
      </w:r>
      <w:r w:rsidR="008760ED">
        <w:rPr>
          <w:rFonts w:ascii="Arial" w:eastAsia="Times New Roman" w:hAnsi="Arial" w:cs="Arial"/>
          <w:lang w:eastAsia="fr-FR"/>
        </w:rPr>
        <w:t> »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qu’aux termes du paragraphe IV</w:t>
      </w:r>
      <w:r w:rsidRPr="00B2691B">
        <w:rPr>
          <w:rFonts w:ascii="Arial" w:eastAsia="Times New Roman" w:hAnsi="Arial" w:cs="Arial"/>
          <w:i/>
          <w:lang w:eastAsia="fr-FR"/>
        </w:rPr>
        <w:t xml:space="preserve"> </w:t>
      </w:r>
      <w:r w:rsidRPr="00B2691B">
        <w:rPr>
          <w:rFonts w:ascii="Arial" w:eastAsia="Times New Roman" w:hAnsi="Arial" w:cs="Arial"/>
          <w:lang w:eastAsia="fr-FR"/>
        </w:rPr>
        <w:t>de l’article L. 641-13 du même code</w:t>
      </w:r>
      <w:r w:rsidR="008760ED">
        <w:rPr>
          <w:rFonts w:ascii="Arial" w:eastAsia="Times New Roman" w:hAnsi="Arial" w:cs="Arial"/>
          <w:lang w:eastAsia="fr-FR"/>
        </w:rPr>
        <w:t> </w:t>
      </w:r>
      <w:r w:rsidRPr="00B2691B">
        <w:rPr>
          <w:rFonts w:ascii="Arial" w:eastAsia="Times New Roman" w:hAnsi="Arial" w:cs="Arial"/>
          <w:lang w:eastAsia="fr-FR"/>
        </w:rPr>
        <w:t>: « </w:t>
      </w:r>
      <w:r w:rsidRPr="00B2691B">
        <w:rPr>
          <w:rFonts w:ascii="Arial" w:eastAsia="Times New Roman" w:hAnsi="Arial" w:cs="Arial"/>
          <w:i/>
          <w:lang w:eastAsia="fr-FR"/>
        </w:rPr>
        <w:t>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 compter de celle du jugement arrêtant le plan de cession</w:t>
      </w:r>
      <w:r w:rsidRPr="00B2691B">
        <w:rPr>
          <w:rFonts w:ascii="Arial" w:eastAsia="Times New Roman" w:hAnsi="Arial" w:cs="Arial"/>
          <w:lang w:eastAsia="fr-FR"/>
        </w:rPr>
        <w:t> » ;</w:t>
      </w:r>
    </w:p>
    <w:p w:rsidR="008760ED" w:rsidRDefault="008760ED">
      <w:pPr>
        <w:rPr>
          <w:rFonts w:ascii="Arial" w:eastAsia="Times New Roman" w:hAnsi="Arial" w:cs="Arial"/>
          <w:lang w:eastAsia="fr-FR"/>
        </w:rPr>
      </w:pPr>
      <w:r>
        <w:rPr>
          <w:rFonts w:ascii="Arial" w:eastAsia="Times New Roman" w:hAnsi="Arial" w:cs="Arial"/>
          <w:lang w:eastAsia="fr-FR"/>
        </w:rPr>
        <w:br w:type="page"/>
      </w:r>
    </w:p>
    <w:p w:rsidR="008760ED" w:rsidRDefault="008760ED" w:rsidP="00976F7F">
      <w:pPr>
        <w:spacing w:before="120" w:after="240" w:line="240" w:lineRule="auto"/>
        <w:ind w:right="142"/>
        <w:jc w:val="both"/>
        <w:rPr>
          <w:rFonts w:ascii="Arial" w:eastAsia="Times New Roman" w:hAnsi="Arial" w:cs="Arial"/>
          <w:lang w:eastAsia="fr-FR"/>
        </w:rPr>
      </w:pP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qu’aux termes de l'article 60 de la loi du 23</w:t>
      </w:r>
      <w:r w:rsidR="008760ED">
        <w:rPr>
          <w:rFonts w:ascii="Arial" w:eastAsia="Times New Roman" w:hAnsi="Arial" w:cs="Arial"/>
          <w:lang w:eastAsia="fr-FR"/>
        </w:rPr>
        <w:t xml:space="preserve"> </w:t>
      </w:r>
      <w:r w:rsidRPr="00B2691B">
        <w:rPr>
          <w:rFonts w:ascii="Arial" w:eastAsia="Times New Roman" w:hAnsi="Arial" w:cs="Arial"/>
          <w:lang w:eastAsia="fr-FR"/>
        </w:rPr>
        <w:t>février 1963 susvisée</w:t>
      </w:r>
      <w:r w:rsidR="008760ED">
        <w:rPr>
          <w:rFonts w:ascii="Arial" w:eastAsia="Times New Roman" w:hAnsi="Arial" w:cs="Arial"/>
          <w:lang w:eastAsia="fr-FR"/>
        </w:rPr>
        <w:t xml:space="preserve">, </w:t>
      </w:r>
      <w:r w:rsidRPr="00B2691B">
        <w:rPr>
          <w:rFonts w:ascii="Arial" w:eastAsia="Times New Roman" w:hAnsi="Arial" w:cs="Arial"/>
          <w:lang w:eastAsia="fr-FR"/>
        </w:rPr>
        <w:t>les comptables publics sont personnellement et pécuniairement responsables du recouvrement des recettes et des contrôles qu’ils sont tenus d’exercer en matière de recettes dans les conditions prévues par le règlement général sur la comptabilité publique, et que leur responsabilité personnelle et pécuniaire se trouve engagée dès lors qu'une recette n'a pas été recouvrée</w:t>
      </w:r>
      <w:r w:rsidR="008760ED">
        <w:rPr>
          <w:rFonts w:ascii="Arial" w:eastAsia="Times New Roman" w:hAnsi="Arial" w:cs="Arial"/>
          <w:lang w:eastAsia="fr-FR"/>
        </w:rPr>
        <w:t> </w:t>
      </w:r>
      <w:r w:rsidRPr="00B2691B">
        <w:rPr>
          <w:rFonts w:ascii="Arial" w:eastAsia="Times New Roman" w:hAnsi="Arial" w:cs="Arial"/>
          <w:lang w:eastAsia="fr-FR"/>
        </w:rPr>
        <w:t>; que la responsabilité du comptable en recettes s’apprécie au regard de l’étendue de ses diligences qui doivent être adéquates, complètes et rapides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l’admission en non-valeur d’une créance ne dégage pas le comptable de ses obligations précitées</w:t>
      </w:r>
      <w:r w:rsidR="008760ED">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 xml:space="preserve">Sur les faits </w:t>
      </w:r>
    </w:p>
    <w:p w:rsidR="0023067F"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l’</w:t>
      </w:r>
      <w:r w:rsidRPr="00B2691B">
        <w:rPr>
          <w:rFonts w:ascii="Arial" w:eastAsia="Times New Roman" w:hAnsi="Arial" w:cs="Arial"/>
          <w:smallCaps/>
          <w:lang w:eastAsia="fr-FR"/>
        </w:rPr>
        <w:t>EURL</w:t>
      </w:r>
      <w:r w:rsidR="008760ED">
        <w:rPr>
          <w:rFonts w:ascii="Arial" w:eastAsia="Times New Roman" w:hAnsi="Arial" w:cs="Arial"/>
          <w:lang w:eastAsia="fr-FR"/>
        </w:rPr>
        <w:t xml:space="preserve"> </w:t>
      </w:r>
      <w:r w:rsidRPr="00B2691B">
        <w:rPr>
          <w:rFonts w:ascii="Arial" w:eastAsia="Times New Roman" w:hAnsi="Arial" w:cs="Arial"/>
          <w:lang w:eastAsia="fr-FR"/>
        </w:rPr>
        <w:t>Le Moulin</w:t>
      </w:r>
      <w:r w:rsidRPr="00B2691B" w:rsidDel="004E62E7">
        <w:rPr>
          <w:rFonts w:ascii="Arial" w:eastAsia="Times New Roman" w:hAnsi="Arial" w:cs="Arial"/>
          <w:lang w:eastAsia="fr-FR"/>
        </w:rPr>
        <w:t xml:space="preserve"> </w:t>
      </w:r>
      <w:r w:rsidRPr="00B2691B">
        <w:rPr>
          <w:rFonts w:ascii="Arial" w:eastAsia="Times New Roman" w:hAnsi="Arial" w:cs="Arial"/>
          <w:lang w:eastAsia="fr-FR"/>
        </w:rPr>
        <w:t>a été déclarée en redressement judiciaire par un jugement publié le 14</w:t>
      </w:r>
      <w:r w:rsidR="008760ED">
        <w:rPr>
          <w:rFonts w:ascii="Arial" w:eastAsia="Times New Roman" w:hAnsi="Arial" w:cs="Arial"/>
          <w:lang w:eastAsia="fr-FR"/>
        </w:rPr>
        <w:t xml:space="preserve"> </w:t>
      </w:r>
      <w:r w:rsidRPr="00B2691B">
        <w:rPr>
          <w:rFonts w:ascii="Arial" w:eastAsia="Times New Roman" w:hAnsi="Arial" w:cs="Arial"/>
          <w:lang w:eastAsia="fr-FR"/>
        </w:rPr>
        <w:t>décembre</w:t>
      </w:r>
      <w:r w:rsidR="008760ED">
        <w:rPr>
          <w:rFonts w:ascii="Arial" w:eastAsia="Times New Roman" w:hAnsi="Arial" w:cs="Arial"/>
          <w:lang w:eastAsia="fr-FR"/>
        </w:rPr>
        <w:t xml:space="preserve"> </w:t>
      </w:r>
      <w:r w:rsidRPr="00B2691B">
        <w:rPr>
          <w:rFonts w:ascii="Arial" w:eastAsia="Times New Roman" w:hAnsi="Arial" w:cs="Arial"/>
          <w:lang w:eastAsia="fr-FR"/>
        </w:rPr>
        <w:t>2006, puis en liquidation judiciaire par un jugement publié le 28</w:t>
      </w:r>
      <w:r w:rsidR="008760ED">
        <w:rPr>
          <w:rFonts w:ascii="Arial" w:eastAsia="Times New Roman" w:hAnsi="Arial" w:cs="Arial"/>
          <w:lang w:eastAsia="fr-FR"/>
        </w:rPr>
        <w:t xml:space="preserve"> </w:t>
      </w:r>
      <w:r w:rsidRPr="00B2691B">
        <w:rPr>
          <w:rFonts w:ascii="Arial" w:eastAsia="Times New Roman" w:hAnsi="Arial" w:cs="Arial"/>
          <w:lang w:eastAsia="fr-FR"/>
        </w:rPr>
        <w:t>septembre</w:t>
      </w:r>
      <w:r w:rsidR="008760ED">
        <w:rPr>
          <w:rFonts w:ascii="Arial" w:eastAsia="Times New Roman" w:hAnsi="Arial" w:cs="Arial"/>
          <w:lang w:eastAsia="fr-FR"/>
        </w:rPr>
        <w:t xml:space="preserve"> </w:t>
      </w:r>
      <w:r w:rsidRPr="00B2691B">
        <w:rPr>
          <w:rFonts w:ascii="Arial" w:eastAsia="Times New Roman" w:hAnsi="Arial" w:cs="Arial"/>
          <w:lang w:eastAsia="fr-FR"/>
        </w:rPr>
        <w:t>2008, sur la résolution d’un plan de continuation précédemment arrêté par le tribunal le 15</w:t>
      </w:r>
      <w:r w:rsidR="008760ED">
        <w:rPr>
          <w:rFonts w:ascii="Arial" w:eastAsia="Times New Roman" w:hAnsi="Arial" w:cs="Arial"/>
          <w:lang w:eastAsia="fr-FR"/>
        </w:rPr>
        <w:t xml:space="preserve"> </w:t>
      </w:r>
      <w:r w:rsidRPr="00B2691B">
        <w:rPr>
          <w:rFonts w:ascii="Arial" w:eastAsia="Times New Roman" w:hAnsi="Arial" w:cs="Arial"/>
          <w:lang w:eastAsia="fr-FR"/>
        </w:rPr>
        <w:t>février</w:t>
      </w:r>
      <w:r w:rsidR="008760ED">
        <w:rPr>
          <w:rFonts w:ascii="Arial" w:eastAsia="Times New Roman" w:hAnsi="Arial" w:cs="Arial"/>
          <w:lang w:eastAsia="fr-FR"/>
        </w:rPr>
        <w:t xml:space="preserve"> </w:t>
      </w:r>
      <w:r w:rsidRPr="00B2691B">
        <w:rPr>
          <w:rFonts w:ascii="Arial" w:eastAsia="Times New Roman" w:hAnsi="Arial" w:cs="Arial"/>
          <w:lang w:eastAsia="fr-FR"/>
        </w:rPr>
        <w:t>2008 ; que cette entreprise restait redevable, au titre des exercices 2006 à 2008, de taxe sur la valeur ajoutée d’un montant total de 58 109 € ; que ces créances de l’Etat ont été déclarées sur le fondement de l’article L. 622-24 du code de commerce susvisé, comme s’il s’agissait intégralement de créances nées antérieurement au jugement d’ouverture, alors que sur le montant déclaré, une somme de 52</w:t>
      </w:r>
      <w:r w:rsidR="008760ED">
        <w:rPr>
          <w:rFonts w:ascii="Arial" w:eastAsia="Times New Roman" w:hAnsi="Arial" w:cs="Arial"/>
          <w:lang w:eastAsia="fr-FR"/>
        </w:rPr>
        <w:t> </w:t>
      </w:r>
      <w:r w:rsidRPr="00B2691B">
        <w:rPr>
          <w:rFonts w:ascii="Arial" w:eastAsia="Times New Roman" w:hAnsi="Arial" w:cs="Arial"/>
          <w:lang w:eastAsia="fr-FR"/>
        </w:rPr>
        <w:t>109</w:t>
      </w:r>
      <w:r w:rsidR="008760ED">
        <w:rPr>
          <w:rFonts w:ascii="Arial" w:eastAsia="Times New Roman" w:hAnsi="Arial" w:cs="Arial"/>
          <w:lang w:eastAsia="fr-FR"/>
        </w:rPr>
        <w:t> </w:t>
      </w:r>
      <w:r w:rsidRPr="00B2691B">
        <w:rPr>
          <w:rFonts w:ascii="Arial" w:eastAsia="Times New Roman" w:hAnsi="Arial" w:cs="Arial"/>
          <w:lang w:eastAsia="fr-FR"/>
        </w:rPr>
        <w:t>€ correspondait à des créances de taxe sur la valeur ajoutée nées postérieurement à l’ouverture de la procédure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Sur les éléments à décharge apportés par le comptable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M. </w:t>
      </w:r>
      <w:r w:rsidR="005E01AB">
        <w:rPr>
          <w:rFonts w:ascii="Arial" w:eastAsia="Times New Roman" w:hAnsi="Arial" w:cs="Arial"/>
          <w:lang w:eastAsia="fr-FR"/>
        </w:rPr>
        <w:t>X</w:t>
      </w:r>
      <w:r w:rsidRPr="00B2691B">
        <w:rPr>
          <w:rFonts w:ascii="Arial" w:eastAsia="Times New Roman" w:hAnsi="Arial" w:cs="Arial"/>
          <w:lang w:eastAsia="fr-FR"/>
        </w:rPr>
        <w:t xml:space="preserve"> précise que la société a fait l’objet d’une vérification de comptabilité ayant entraîné une rectification d’office notifiée le 30 juin 2008 et portant sur la période du 1</w:t>
      </w:r>
      <w:r w:rsidRPr="00B2691B">
        <w:rPr>
          <w:rFonts w:ascii="Arial" w:eastAsia="Times New Roman" w:hAnsi="Arial" w:cs="Arial"/>
          <w:vertAlign w:val="superscript"/>
          <w:lang w:eastAsia="fr-FR"/>
        </w:rPr>
        <w:t>er</w:t>
      </w:r>
      <w:r w:rsidR="008760ED">
        <w:rPr>
          <w:rFonts w:ascii="Arial" w:eastAsia="Times New Roman" w:hAnsi="Arial" w:cs="Arial"/>
          <w:lang w:eastAsia="fr-FR"/>
        </w:rPr>
        <w:t xml:space="preserve"> </w:t>
      </w:r>
      <w:r w:rsidRPr="00B2691B">
        <w:rPr>
          <w:rFonts w:ascii="Arial" w:eastAsia="Times New Roman" w:hAnsi="Arial" w:cs="Arial"/>
          <w:lang w:eastAsia="fr-FR"/>
        </w:rPr>
        <w:t>novembre</w:t>
      </w:r>
      <w:r w:rsidR="008760ED">
        <w:rPr>
          <w:rFonts w:ascii="Arial" w:eastAsia="Times New Roman" w:hAnsi="Arial" w:cs="Arial"/>
          <w:lang w:eastAsia="fr-FR"/>
        </w:rPr>
        <w:t xml:space="preserve"> </w:t>
      </w:r>
      <w:r w:rsidRPr="00B2691B">
        <w:rPr>
          <w:rFonts w:ascii="Arial" w:eastAsia="Times New Roman" w:hAnsi="Arial" w:cs="Arial"/>
          <w:lang w:eastAsia="fr-FR"/>
        </w:rPr>
        <w:t>2006 au 30</w:t>
      </w:r>
      <w:r w:rsidR="008760ED">
        <w:rPr>
          <w:rFonts w:ascii="Arial" w:eastAsia="Times New Roman" w:hAnsi="Arial" w:cs="Arial"/>
          <w:lang w:eastAsia="fr-FR"/>
        </w:rPr>
        <w:t xml:space="preserve"> </w:t>
      </w:r>
      <w:r w:rsidRPr="00B2691B">
        <w:rPr>
          <w:rFonts w:ascii="Arial" w:eastAsia="Times New Roman" w:hAnsi="Arial" w:cs="Arial"/>
          <w:lang w:eastAsia="fr-FR"/>
        </w:rPr>
        <w:t>novembre 2007 pour un montant de 28</w:t>
      </w:r>
      <w:r w:rsidR="008760ED">
        <w:rPr>
          <w:rFonts w:ascii="Arial" w:eastAsia="Times New Roman" w:hAnsi="Arial" w:cs="Arial"/>
          <w:lang w:eastAsia="fr-FR"/>
        </w:rPr>
        <w:t> </w:t>
      </w:r>
      <w:r w:rsidRPr="00B2691B">
        <w:rPr>
          <w:rFonts w:ascii="Arial" w:eastAsia="Times New Roman" w:hAnsi="Arial" w:cs="Arial"/>
          <w:lang w:eastAsia="fr-FR"/>
        </w:rPr>
        <w:t>429</w:t>
      </w:r>
      <w:r w:rsidR="008760ED">
        <w:rPr>
          <w:rFonts w:ascii="Arial" w:eastAsia="Times New Roman" w:hAnsi="Arial" w:cs="Arial"/>
          <w:lang w:eastAsia="fr-FR"/>
        </w:rPr>
        <w:t> </w:t>
      </w:r>
      <w:r w:rsidRPr="00B2691B">
        <w:rPr>
          <w:rFonts w:ascii="Arial" w:eastAsia="Times New Roman" w:hAnsi="Arial" w:cs="Arial"/>
          <w:lang w:eastAsia="fr-FR"/>
        </w:rPr>
        <w:t>€ ; que le mandataire judiciaire a été destinataire à la même date d’une copie de la proposition de rectification ; que le service des impôts des entreprises a notifié une taxation d’office pour la période du 1</w:t>
      </w:r>
      <w:r w:rsidR="00A90C03" w:rsidRPr="00A90C03">
        <w:rPr>
          <w:rFonts w:ascii="Arial" w:eastAsia="Times New Roman" w:hAnsi="Arial" w:cs="Arial"/>
          <w:vertAlign w:val="superscript"/>
          <w:lang w:eastAsia="fr-FR"/>
        </w:rPr>
        <w:t>er</w:t>
      </w:r>
      <w:r w:rsidR="00A90C03">
        <w:rPr>
          <w:rFonts w:ascii="Arial" w:eastAsia="Times New Roman" w:hAnsi="Arial" w:cs="Arial"/>
          <w:lang w:eastAsia="fr-FR"/>
        </w:rPr>
        <w:t xml:space="preserve"> </w:t>
      </w:r>
      <w:r w:rsidRPr="00B2691B">
        <w:rPr>
          <w:rFonts w:ascii="Arial" w:eastAsia="Times New Roman" w:hAnsi="Arial" w:cs="Arial"/>
          <w:lang w:eastAsia="fr-FR"/>
        </w:rPr>
        <w:t>décembre</w:t>
      </w:r>
      <w:r w:rsidR="008760ED">
        <w:rPr>
          <w:rFonts w:ascii="Arial" w:eastAsia="Times New Roman" w:hAnsi="Arial" w:cs="Arial"/>
          <w:lang w:eastAsia="fr-FR"/>
        </w:rPr>
        <w:t xml:space="preserve"> </w:t>
      </w:r>
      <w:r w:rsidRPr="00B2691B">
        <w:rPr>
          <w:rFonts w:ascii="Arial" w:eastAsia="Times New Roman" w:hAnsi="Arial" w:cs="Arial"/>
          <w:lang w:eastAsia="fr-FR"/>
        </w:rPr>
        <w:t>2007 au 31</w:t>
      </w:r>
      <w:r w:rsidR="008760ED">
        <w:rPr>
          <w:rFonts w:ascii="Arial" w:eastAsia="Times New Roman" w:hAnsi="Arial" w:cs="Arial"/>
          <w:lang w:eastAsia="fr-FR"/>
        </w:rPr>
        <w:t xml:space="preserve"> </w:t>
      </w:r>
      <w:r w:rsidRPr="00B2691B">
        <w:rPr>
          <w:rFonts w:ascii="Arial" w:eastAsia="Times New Roman" w:hAnsi="Arial" w:cs="Arial"/>
          <w:lang w:eastAsia="fr-FR"/>
        </w:rPr>
        <w:t>août</w:t>
      </w:r>
      <w:r w:rsidR="008760ED">
        <w:rPr>
          <w:rFonts w:ascii="Arial" w:eastAsia="Times New Roman" w:hAnsi="Arial" w:cs="Arial"/>
          <w:lang w:eastAsia="fr-FR"/>
        </w:rPr>
        <w:t xml:space="preserve"> </w:t>
      </w:r>
      <w:r w:rsidRPr="00B2691B">
        <w:rPr>
          <w:rFonts w:ascii="Arial" w:eastAsia="Times New Roman" w:hAnsi="Arial" w:cs="Arial"/>
          <w:lang w:eastAsia="fr-FR"/>
        </w:rPr>
        <w:t>2008 à hauteur de 19 682 €, l’avis de mise en recouvrement ayant été adressé au liquidateur le 22 décembre 2008 ; que cette créance lui a été déclarée dès le 12</w:t>
      </w:r>
      <w:r w:rsidR="008760ED">
        <w:rPr>
          <w:rFonts w:ascii="Arial" w:eastAsia="Times New Roman" w:hAnsi="Arial" w:cs="Arial"/>
          <w:lang w:eastAsia="fr-FR"/>
        </w:rPr>
        <w:t xml:space="preserve"> </w:t>
      </w:r>
      <w:r w:rsidRPr="00B2691B">
        <w:rPr>
          <w:rFonts w:ascii="Arial" w:eastAsia="Times New Roman" w:hAnsi="Arial" w:cs="Arial"/>
          <w:lang w:eastAsia="fr-FR"/>
        </w:rPr>
        <w:t>septembre</w:t>
      </w:r>
      <w:r w:rsidR="008760ED">
        <w:rPr>
          <w:rFonts w:ascii="Arial" w:eastAsia="Times New Roman" w:hAnsi="Arial" w:cs="Arial"/>
          <w:lang w:eastAsia="fr-FR"/>
        </w:rPr>
        <w:t xml:space="preserve"> </w:t>
      </w:r>
      <w:r w:rsidRPr="00B2691B">
        <w:rPr>
          <w:rFonts w:ascii="Arial" w:eastAsia="Times New Roman" w:hAnsi="Arial" w:cs="Arial"/>
          <w:lang w:eastAsia="fr-FR"/>
        </w:rPr>
        <w:t>2008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M. </w:t>
      </w:r>
      <w:r w:rsidR="005E01AB">
        <w:rPr>
          <w:rFonts w:ascii="Arial" w:eastAsia="Times New Roman" w:hAnsi="Arial" w:cs="Arial"/>
          <w:lang w:eastAsia="fr-FR"/>
        </w:rPr>
        <w:t>X</w:t>
      </w:r>
      <w:r w:rsidRPr="00B2691B">
        <w:rPr>
          <w:rFonts w:ascii="Arial" w:eastAsia="Times New Roman" w:hAnsi="Arial" w:cs="Arial"/>
          <w:lang w:eastAsia="fr-FR"/>
        </w:rPr>
        <w:t xml:space="preserve"> indique aussi que cette créance a probablement été surévaluée par rapport à la réalité économique</w:t>
      </w:r>
      <w:r w:rsidR="008760ED">
        <w:rPr>
          <w:rFonts w:ascii="Arial" w:eastAsia="Times New Roman" w:hAnsi="Arial" w:cs="Arial"/>
          <w:lang w:eastAsia="fr-FR"/>
        </w:rPr>
        <w:t> </w:t>
      </w:r>
      <w:r w:rsidRPr="00B2691B">
        <w:rPr>
          <w:rFonts w:ascii="Arial" w:eastAsia="Times New Roman" w:hAnsi="Arial" w:cs="Arial"/>
          <w:lang w:eastAsia="fr-FR"/>
        </w:rPr>
        <w:t>; qu’enfin, la déclaration des deux créances authentifiées après la liquidation judiciaire a été remise en mains propres au liquidateur le 14 novembre 2008 ; qu’il considère avoir effectué toutes les diligences nécessaires dans la mesure où le mandataire judiciaire, puis liquidateur, a bien été informé à tous les stades de la procédure des différentes créances de l</w:t>
      </w:r>
      <w:r w:rsidRPr="00B2691B">
        <w:rPr>
          <w:rFonts w:ascii="Arial" w:eastAsia="Times New Roman" w:hAnsi="Arial" w:cs="Arial"/>
          <w:smallCaps/>
          <w:lang w:eastAsia="fr-FR"/>
        </w:rPr>
        <w:t>’EURL</w:t>
      </w:r>
      <w:r w:rsidRPr="00B2691B">
        <w:rPr>
          <w:rFonts w:ascii="Arial" w:eastAsia="Times New Roman" w:hAnsi="Arial" w:cs="Arial"/>
          <w:lang w:eastAsia="fr-FR"/>
        </w:rPr>
        <w:t> Le Moulin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Sur l’application du droit au cas d’espèce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l’admission en non-valeur des créances de l’</w:t>
      </w:r>
      <w:proofErr w:type="spellStart"/>
      <w:r w:rsidRPr="00B2691B">
        <w:rPr>
          <w:rFonts w:ascii="Arial" w:eastAsia="Times New Roman" w:hAnsi="Arial" w:cs="Arial"/>
          <w:lang w:eastAsia="fr-FR"/>
        </w:rPr>
        <w:t>Etat</w:t>
      </w:r>
      <w:proofErr w:type="spellEnd"/>
      <w:r w:rsidRPr="00B2691B">
        <w:rPr>
          <w:rFonts w:ascii="Arial" w:eastAsia="Times New Roman" w:hAnsi="Arial" w:cs="Arial"/>
          <w:lang w:eastAsia="fr-FR"/>
        </w:rPr>
        <w:t>, prononcée le 24</w:t>
      </w:r>
      <w:r w:rsidR="008760ED">
        <w:rPr>
          <w:rFonts w:ascii="Arial" w:eastAsia="Times New Roman" w:hAnsi="Arial" w:cs="Arial"/>
          <w:lang w:eastAsia="fr-FR"/>
        </w:rPr>
        <w:t xml:space="preserve"> </w:t>
      </w:r>
      <w:r w:rsidRPr="00B2691B">
        <w:rPr>
          <w:rFonts w:ascii="Arial" w:eastAsia="Times New Roman" w:hAnsi="Arial" w:cs="Arial"/>
          <w:lang w:eastAsia="fr-FR"/>
        </w:rPr>
        <w:t>mai</w:t>
      </w:r>
      <w:r w:rsidR="008760ED">
        <w:rPr>
          <w:rFonts w:ascii="Arial" w:eastAsia="Times New Roman" w:hAnsi="Arial" w:cs="Arial"/>
          <w:lang w:eastAsia="fr-FR"/>
        </w:rPr>
        <w:t xml:space="preserve"> </w:t>
      </w:r>
      <w:r w:rsidRPr="00B2691B">
        <w:rPr>
          <w:rFonts w:ascii="Arial" w:eastAsia="Times New Roman" w:hAnsi="Arial" w:cs="Arial"/>
          <w:lang w:eastAsia="fr-FR"/>
        </w:rPr>
        <w:t>2012 dans leur totalité, soit 58 109 €, ne lie pas le juge des comptes</w:t>
      </w:r>
      <w:r w:rsidR="008760ED">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color w:val="000000"/>
          <w:lang w:eastAsia="fr-FR"/>
        </w:rPr>
      </w:pPr>
      <w:r w:rsidRPr="00B2691B">
        <w:rPr>
          <w:rFonts w:ascii="Arial" w:eastAsia="Times New Roman" w:hAnsi="Arial" w:cs="Arial"/>
          <w:kern w:val="1"/>
          <w:lang w:eastAsia="ar-SA"/>
        </w:rPr>
        <w:t xml:space="preserve">Attendu </w:t>
      </w:r>
      <w:r w:rsidRPr="00B2691B">
        <w:rPr>
          <w:rFonts w:ascii="Arial" w:eastAsia="Times New Roman" w:hAnsi="Arial" w:cs="Arial"/>
          <w:lang w:eastAsia="fr-FR"/>
        </w:rPr>
        <w:t xml:space="preserve">que le fait que </w:t>
      </w:r>
      <w:r w:rsidR="00825895">
        <w:rPr>
          <w:rFonts w:ascii="Arial" w:eastAsia="Times New Roman" w:hAnsi="Arial" w:cs="Arial"/>
          <w:lang w:eastAsia="fr-FR"/>
        </w:rPr>
        <w:t>M. X</w:t>
      </w:r>
      <w:r w:rsidRPr="00B2691B">
        <w:rPr>
          <w:rFonts w:ascii="Arial" w:eastAsia="Times New Roman" w:hAnsi="Arial" w:cs="Arial"/>
          <w:lang w:eastAsia="fr-FR"/>
        </w:rPr>
        <w:t xml:space="preserve"> ait adressé au mandataire judiciaire copie d’une proposition de rectification et d’un avis de mise en recouvrement et lui ait remis la déclaration des deux créances authentifiées est sans effet sur son erreur de base juridique déclarative ; </w:t>
      </w:r>
      <w:r w:rsidRPr="00B2691B">
        <w:rPr>
          <w:rFonts w:ascii="Arial" w:eastAsia="Times New Roman" w:hAnsi="Arial" w:cs="Arial"/>
          <w:color w:val="000000"/>
          <w:lang w:eastAsia="fr-FR"/>
        </w:rPr>
        <w:t xml:space="preserve">que </w:t>
      </w:r>
      <w:r w:rsidRPr="00B2691B">
        <w:rPr>
          <w:rFonts w:ascii="Arial" w:eastAsia="Times New Roman" w:hAnsi="Arial" w:cs="Arial"/>
          <w:lang w:eastAsia="fr-FR"/>
        </w:rPr>
        <w:t>ces sommes étaient exigibles, quelque appréciation que puisse porter le comptable sur une surévaluation éventuelle des droits liquidés au regard de la réalité économique ;</w:t>
      </w:r>
      <w:r w:rsidRPr="00B2691B">
        <w:rPr>
          <w:rFonts w:ascii="Arial" w:eastAsia="Times New Roman" w:hAnsi="Arial" w:cs="Arial"/>
          <w:color w:val="000000"/>
          <w:lang w:eastAsia="fr-FR"/>
        </w:rPr>
        <w:t xml:space="preserve"> </w:t>
      </w:r>
      <w:r w:rsidRPr="00B2691B">
        <w:rPr>
          <w:rFonts w:ascii="Arial" w:eastAsia="Times New Roman" w:hAnsi="Arial" w:cs="Arial"/>
          <w:lang w:eastAsia="fr-FR"/>
        </w:rPr>
        <w:t>que les créances nées postérieurement à l’ouverture de la procédure de redressement judiciaire, pour une somme totale de 52 109 €, à défaut d’avoir été déclarées sur le fondement de l’article L. 622</w:t>
      </w:r>
      <w:r w:rsidR="008760ED">
        <w:rPr>
          <w:rFonts w:ascii="Arial" w:eastAsia="Times New Roman" w:hAnsi="Arial" w:cs="Arial"/>
          <w:lang w:eastAsia="fr-FR"/>
        </w:rPr>
        <w:t>-</w:t>
      </w:r>
      <w:r w:rsidRPr="00B2691B">
        <w:rPr>
          <w:rFonts w:ascii="Arial" w:eastAsia="Times New Roman" w:hAnsi="Arial" w:cs="Arial"/>
          <w:lang w:eastAsia="fr-FR"/>
        </w:rPr>
        <w:t>17 précité du code de commerce</w:t>
      </w:r>
      <w:r w:rsidRPr="00B2691B">
        <w:rPr>
          <w:rFonts w:ascii="Arial" w:eastAsia="Times New Roman" w:hAnsi="Arial" w:cs="Arial"/>
          <w:kern w:val="1"/>
          <w:lang w:eastAsia="ar-SA"/>
        </w:rPr>
        <w:t xml:space="preserve">, ont perdu </w:t>
      </w:r>
      <w:r w:rsidRPr="00B2691B">
        <w:rPr>
          <w:rFonts w:ascii="Arial" w:eastAsia="Times New Roman" w:hAnsi="Arial" w:cs="Arial"/>
          <w:lang w:eastAsia="fr-FR"/>
        </w:rPr>
        <w:t xml:space="preserve">leur </w:t>
      </w:r>
      <w:r w:rsidRPr="00B2691B">
        <w:rPr>
          <w:rFonts w:ascii="Arial" w:eastAsia="Times New Roman" w:hAnsi="Arial" w:cs="Arial"/>
          <w:color w:val="000000"/>
          <w:lang w:eastAsia="fr-FR"/>
        </w:rPr>
        <w:t>traitement préférentiel et notamment leur droit de priorité</w:t>
      </w:r>
      <w:r w:rsidR="008760ED">
        <w:rPr>
          <w:rFonts w:ascii="Arial" w:eastAsia="Times New Roman" w:hAnsi="Arial" w:cs="Arial"/>
          <w:color w:val="000000"/>
          <w:lang w:eastAsia="fr-FR"/>
        </w:rPr>
        <w:t> ;</w:t>
      </w:r>
    </w:p>
    <w:p w:rsidR="008760ED" w:rsidRDefault="008760ED" w:rsidP="00976F7F">
      <w:pPr>
        <w:spacing w:before="120" w:after="240" w:line="240" w:lineRule="auto"/>
        <w:ind w:right="142"/>
        <w:jc w:val="both"/>
        <w:rPr>
          <w:rFonts w:ascii="Arial" w:eastAsia="Times New Roman" w:hAnsi="Arial" w:cs="Arial"/>
          <w:lang w:eastAsia="fr-FR"/>
        </w:rPr>
      </w:pP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 xml:space="preserve">Attendu ainsi qu’en s’abstenant de déclarer les créances comme nées après le jugement d’ouverture, </w:t>
      </w:r>
      <w:r w:rsidR="00825895">
        <w:rPr>
          <w:rFonts w:ascii="Arial" w:eastAsia="Times New Roman" w:hAnsi="Arial" w:cs="Arial"/>
          <w:lang w:eastAsia="fr-FR"/>
        </w:rPr>
        <w:t>M. X</w:t>
      </w:r>
      <w:r w:rsidRPr="00B2691B">
        <w:rPr>
          <w:rFonts w:ascii="Arial" w:eastAsia="Times New Roman" w:hAnsi="Arial" w:cs="Arial"/>
          <w:lang w:eastAsia="fr-FR"/>
        </w:rPr>
        <w:t xml:space="preserve"> a manqué à ses obligations de diligences visant à les préserver</w:t>
      </w:r>
      <w:r w:rsidR="008760ED">
        <w:rPr>
          <w:rFonts w:ascii="Arial" w:eastAsia="Times New Roman" w:hAnsi="Arial" w:cs="Arial"/>
          <w:lang w:eastAsia="fr-FR"/>
        </w:rPr>
        <w:t> ;</w:t>
      </w:r>
      <w:r w:rsidRPr="00B2691B">
        <w:rPr>
          <w:rFonts w:ascii="Arial" w:eastAsia="Times New Roman" w:hAnsi="Arial" w:cs="Arial"/>
          <w:lang w:eastAsia="fr-FR"/>
        </w:rPr>
        <w:t xml:space="preserve"> qu’il y a donc lieu d’engager sa responsabilité personnelle et pécuniaire sur sa gestion 2009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Sur l’existence d’un préjudice financier pour l’Etat</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8760ED">
        <w:rPr>
          <w:rFonts w:ascii="Arial" w:eastAsia="Times New Roman" w:hAnsi="Arial" w:cs="Arial"/>
          <w:lang w:eastAsia="fr-FR"/>
        </w:rPr>
        <w:t>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qu’en l’espèce l’état de reddition des comptes de la procédure collective atteste que le Trésor n’aurait pu en toute hypothèse être désintéressé</w:t>
      </w:r>
      <w:r w:rsidR="008760ED">
        <w:rPr>
          <w:rFonts w:ascii="Arial" w:eastAsia="Times New Roman" w:hAnsi="Arial" w:cs="Arial"/>
          <w:lang w:eastAsia="fr-FR"/>
        </w:rPr>
        <w:t> ;</w:t>
      </w:r>
      <w:r w:rsidRPr="00B2691B">
        <w:rPr>
          <w:rFonts w:ascii="Arial" w:eastAsia="Times New Roman" w:hAnsi="Arial" w:cs="Arial"/>
          <w:lang w:eastAsia="fr-FR"/>
        </w:rPr>
        <w:t xml:space="preserve"> qu’il doit donc être considéré que le manquement du comptable n’a pas causé de préjudice financier pour l’État ;</w:t>
      </w:r>
    </w:p>
    <w:p w:rsidR="0023067F" w:rsidRPr="00B2691B" w:rsidRDefault="0023067F"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i/>
          <w:lang w:eastAsia="fr-FR"/>
        </w:rPr>
        <w:t>Sur la fixation du montant de la somme non rémissible</w:t>
      </w:r>
    </w:p>
    <w:p w:rsidR="0023067F" w:rsidRPr="00B2691B" w:rsidRDefault="0023067F" w:rsidP="00976F7F">
      <w:pPr>
        <w:spacing w:before="120" w:after="240" w:line="240" w:lineRule="auto"/>
        <w:ind w:right="142"/>
        <w:jc w:val="both"/>
        <w:rPr>
          <w:rFonts w:ascii="Arial" w:eastAsia="Times New Roman" w:hAnsi="Arial" w:cs="Arial"/>
          <w:iCs/>
          <w:lang w:eastAsia="fr-FR"/>
        </w:rPr>
      </w:pPr>
      <w:r w:rsidRPr="00B2691B">
        <w:rPr>
          <w:rFonts w:ascii="Arial" w:eastAsia="Times New Roman" w:hAnsi="Arial" w:cs="Arial"/>
          <w:iCs/>
          <w:lang w:eastAsia="fr-FR"/>
        </w:rPr>
        <w:t>Attendu qu’aux termes des dispositions du deuxième alinéa du paragraphe VI de l’article 60 de la loi du 23 février 1963 susvisée, «</w:t>
      </w:r>
      <w:r w:rsidRPr="00B2691B">
        <w:rPr>
          <w:rFonts w:ascii="Arial" w:eastAsia="Times New Roman" w:hAnsi="Arial" w:cs="Arial"/>
          <w:i/>
          <w:iCs/>
          <w:lang w:eastAsia="fr-FR"/>
        </w:rPr>
        <w:t> lorsque le manquement du comptable […] n’a pas causé de préjudice financier à l’organisme public concerné, le juge des comptes peut l’obliger à s’acquitter d’une somme arrêtée, pour chaque exercice, en tenant compte des circonstances de l’espèce </w:t>
      </w:r>
      <w:r w:rsidRPr="00B2691B">
        <w:rPr>
          <w:rFonts w:ascii="Arial" w:eastAsia="Times New Roman" w:hAnsi="Arial" w:cs="Arial"/>
          <w:iCs/>
          <w:lang w:eastAsia="fr-FR"/>
        </w:rPr>
        <w:t>»</w:t>
      </w:r>
      <w:r w:rsidR="008760ED">
        <w:rPr>
          <w:rFonts w:ascii="Arial" w:eastAsia="Times New Roman" w:hAnsi="Arial" w:cs="Arial"/>
          <w:iCs/>
          <w:lang w:eastAsia="fr-FR"/>
        </w:rPr>
        <w:t> ;</w:t>
      </w:r>
      <w:r w:rsidRPr="00B2691B">
        <w:rPr>
          <w:rFonts w:ascii="Arial" w:eastAsia="Times New Roman" w:hAnsi="Arial" w:cs="Arial"/>
          <w:iCs/>
          <w:lang w:eastAsia="fr-FR"/>
        </w:rPr>
        <w:t xml:space="preserve"> que le décret du 10 décembre 2012 susvisé, fixe le montant maximal de cette somme à un millième et demi du montant du cautionnement prévu pour le poste comptable ;</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que le montant du cautionnement prévu pour le poste comptable considéré pour l’exercice 2009 est fixé à 151 107 € ; qu’il s’ensuit que le montant maximum de la somme susceptible d’être mise à la charge de M. </w:t>
      </w:r>
      <w:r w:rsidR="005E01AB">
        <w:rPr>
          <w:rFonts w:ascii="Arial" w:eastAsia="Times New Roman" w:hAnsi="Arial" w:cs="Arial"/>
          <w:lang w:eastAsia="fr-FR"/>
        </w:rPr>
        <w:t>X</w:t>
      </w:r>
      <w:r w:rsidRPr="00B2691B">
        <w:rPr>
          <w:rFonts w:ascii="Arial" w:eastAsia="Times New Roman" w:hAnsi="Arial" w:cs="Arial"/>
          <w:lang w:eastAsia="fr-FR"/>
        </w:rPr>
        <w:t xml:space="preserve"> s’élève à 227 € ;</w:t>
      </w:r>
    </w:p>
    <w:p w:rsidR="0023067F" w:rsidRDefault="0023067F" w:rsidP="00976F7F">
      <w:pPr>
        <w:spacing w:before="120" w:after="240" w:line="240" w:lineRule="auto"/>
        <w:ind w:right="142"/>
        <w:jc w:val="both"/>
        <w:rPr>
          <w:rFonts w:ascii="Arial" w:eastAsia="Times New Roman" w:hAnsi="Arial" w:cs="Arial"/>
          <w:lang w:eastAsia="fr-FR"/>
        </w:rPr>
      </w:pPr>
      <w:r w:rsidRPr="00B2691B">
        <w:rPr>
          <w:rFonts w:ascii="Arial" w:eastAsia="Times New Roman" w:hAnsi="Arial" w:cs="Arial"/>
          <w:lang w:eastAsia="fr-FR"/>
        </w:rPr>
        <w:t>Attendu qu’il sera fait une exacte appréciation des circonstances de l’espèce en arrêtant cette somme à cent euros (100 €) ;</w:t>
      </w:r>
    </w:p>
    <w:p w:rsidR="00D776D9" w:rsidRPr="00B2691B" w:rsidRDefault="00D776D9" w:rsidP="00976F7F">
      <w:pPr>
        <w:spacing w:before="120" w:after="240" w:line="240" w:lineRule="auto"/>
        <w:ind w:right="142"/>
        <w:jc w:val="both"/>
        <w:rPr>
          <w:rFonts w:ascii="Arial" w:eastAsia="Times New Roman" w:hAnsi="Arial" w:cs="Arial"/>
          <w:i/>
          <w:lang w:eastAsia="fr-FR"/>
        </w:rPr>
      </w:pPr>
      <w:r w:rsidRPr="00B2691B">
        <w:rPr>
          <w:rFonts w:ascii="Arial" w:eastAsia="Times New Roman" w:hAnsi="Arial" w:cs="Arial"/>
          <w:lang w:eastAsia="fr-FR"/>
        </w:rPr>
        <w:t>Par ces motifs,</w:t>
      </w:r>
    </w:p>
    <w:p w:rsidR="0023067F" w:rsidRPr="00B2691B" w:rsidRDefault="0023067F" w:rsidP="00976F7F">
      <w:pPr>
        <w:tabs>
          <w:tab w:val="center" w:pos="4536"/>
          <w:tab w:val="right" w:pos="9072"/>
        </w:tabs>
        <w:spacing w:before="120" w:after="240" w:line="240" w:lineRule="auto"/>
        <w:ind w:right="142"/>
        <w:jc w:val="both"/>
        <w:rPr>
          <w:rFonts w:ascii="Arial" w:eastAsia="Times New Roman" w:hAnsi="Arial" w:cs="Arial"/>
          <w:b/>
          <w:lang w:eastAsia="fr-FR"/>
        </w:rPr>
      </w:pPr>
      <w:r w:rsidRPr="00B2691B">
        <w:rPr>
          <w:rFonts w:ascii="Arial" w:eastAsia="Times New Roman" w:hAnsi="Arial" w:cs="Arial"/>
          <w:b/>
          <w:lang w:eastAsia="fr-FR"/>
        </w:rPr>
        <w:t>DÉCIDE :</w:t>
      </w:r>
    </w:p>
    <w:p w:rsidR="0023067F" w:rsidRPr="008760ED" w:rsidRDefault="0023067F" w:rsidP="00976F7F">
      <w:pPr>
        <w:tabs>
          <w:tab w:val="center" w:pos="4536"/>
          <w:tab w:val="right" w:pos="9072"/>
        </w:tabs>
        <w:spacing w:before="120" w:after="240" w:line="240" w:lineRule="auto"/>
        <w:ind w:right="142"/>
        <w:jc w:val="both"/>
        <w:rPr>
          <w:rFonts w:ascii="Arial" w:eastAsia="Times New Roman" w:hAnsi="Arial" w:cs="Arial"/>
          <w:i/>
          <w:lang w:eastAsia="fr-FR"/>
        </w:rPr>
      </w:pPr>
      <w:r w:rsidRPr="008760ED">
        <w:rPr>
          <w:rFonts w:ascii="Arial" w:eastAsia="Times New Roman" w:hAnsi="Arial" w:cs="Arial"/>
          <w:i/>
          <w:lang w:eastAsia="fr-FR"/>
        </w:rPr>
        <w:t>Présomption de charge n°</w:t>
      </w:r>
      <w:r w:rsidR="00A90C03" w:rsidRPr="008760ED">
        <w:rPr>
          <w:rFonts w:ascii="Arial" w:eastAsia="Times New Roman" w:hAnsi="Arial" w:cs="Arial"/>
          <w:i/>
          <w:lang w:eastAsia="fr-FR"/>
        </w:rPr>
        <w:t xml:space="preserve"> </w:t>
      </w:r>
      <w:r w:rsidRPr="008760ED">
        <w:rPr>
          <w:rFonts w:ascii="Arial" w:eastAsia="Times New Roman" w:hAnsi="Arial" w:cs="Arial"/>
          <w:i/>
          <w:lang w:eastAsia="fr-FR"/>
        </w:rPr>
        <w:t>1, exercice 2008</w:t>
      </w:r>
    </w:p>
    <w:p w:rsidR="0023067F" w:rsidRPr="00B2691B" w:rsidRDefault="0023067F" w:rsidP="00976F7F">
      <w:pPr>
        <w:tabs>
          <w:tab w:val="center" w:pos="4536"/>
          <w:tab w:val="right" w:pos="9072"/>
        </w:tabs>
        <w:spacing w:before="120" w:after="240" w:line="240" w:lineRule="auto"/>
        <w:ind w:right="142"/>
        <w:jc w:val="both"/>
        <w:rPr>
          <w:rFonts w:ascii="Arial" w:eastAsia="Times New Roman" w:hAnsi="Arial" w:cs="Arial"/>
          <w:lang w:eastAsia="fr-FR"/>
        </w:rPr>
      </w:pPr>
      <w:r w:rsidRPr="008760ED">
        <w:rPr>
          <w:rFonts w:ascii="Arial" w:eastAsia="Times New Roman" w:hAnsi="Arial" w:cs="Arial"/>
          <w:b/>
          <w:u w:val="single"/>
          <w:lang w:eastAsia="fr-FR"/>
        </w:rPr>
        <w:t>Article 1</w:t>
      </w:r>
      <w:r w:rsidRPr="008760ED">
        <w:rPr>
          <w:rFonts w:ascii="Arial" w:eastAsia="Times New Roman" w:hAnsi="Arial" w:cs="Arial"/>
          <w:b/>
          <w:u w:val="single"/>
          <w:vertAlign w:val="superscript"/>
          <w:lang w:eastAsia="fr-FR"/>
        </w:rPr>
        <w:t>er</w:t>
      </w:r>
      <w:r w:rsidRPr="00B2691B">
        <w:rPr>
          <w:rFonts w:ascii="Arial" w:eastAsia="Times New Roman" w:hAnsi="Arial" w:cs="Arial"/>
          <w:lang w:eastAsia="fr-FR"/>
        </w:rPr>
        <w:t xml:space="preserve">. – </w:t>
      </w:r>
      <w:r w:rsidR="00825895">
        <w:rPr>
          <w:rFonts w:ascii="Arial" w:eastAsia="Times New Roman" w:hAnsi="Arial" w:cs="Arial"/>
          <w:lang w:eastAsia="fr-FR"/>
        </w:rPr>
        <w:t>M. X</w:t>
      </w:r>
      <w:r w:rsidR="00A90C03" w:rsidRPr="00B2691B">
        <w:rPr>
          <w:rFonts w:ascii="Arial" w:eastAsia="Times New Roman" w:hAnsi="Arial" w:cs="Arial"/>
          <w:lang w:eastAsia="fr-FR"/>
        </w:rPr>
        <w:t xml:space="preserve"> </w:t>
      </w:r>
      <w:r w:rsidRPr="00B2691B">
        <w:rPr>
          <w:rFonts w:ascii="Arial" w:eastAsia="Times New Roman" w:hAnsi="Arial" w:cs="Arial"/>
          <w:lang w:eastAsia="fr-FR"/>
        </w:rPr>
        <w:t>est constitué débiteur de l’Etat au titre de l’exercice 2008, pour la somme de cent quatre-vingt mille neuf cent quarante-neuf euros (180 949</w:t>
      </w:r>
      <w:r w:rsidRPr="00B2691B">
        <w:rPr>
          <w:rFonts w:ascii="Arial" w:eastAsia="Times New Roman" w:hAnsi="Arial" w:cs="Arial"/>
          <w:i/>
          <w:lang w:eastAsia="fr-FR"/>
        </w:rPr>
        <w:t xml:space="preserve"> </w:t>
      </w:r>
      <w:r w:rsidRPr="00B2691B">
        <w:rPr>
          <w:rFonts w:ascii="Arial" w:eastAsia="Times New Roman" w:hAnsi="Arial" w:cs="Arial"/>
          <w:lang w:eastAsia="fr-FR"/>
        </w:rPr>
        <w:t>€), augmentée des intérêts de droit à compter du 11 juillet 2014.</w:t>
      </w:r>
    </w:p>
    <w:p w:rsidR="0023067F" w:rsidRPr="008760ED" w:rsidRDefault="0023067F" w:rsidP="00976F7F">
      <w:pPr>
        <w:spacing w:before="120" w:after="240" w:line="240" w:lineRule="auto"/>
        <w:ind w:right="142"/>
        <w:jc w:val="both"/>
        <w:rPr>
          <w:rFonts w:ascii="Arial" w:eastAsia="Times New Roman" w:hAnsi="Arial" w:cs="Arial"/>
          <w:i/>
          <w:lang w:eastAsia="fr-FR"/>
        </w:rPr>
      </w:pPr>
      <w:r w:rsidRPr="008760ED">
        <w:rPr>
          <w:rFonts w:ascii="Arial" w:eastAsia="Times New Roman" w:hAnsi="Arial" w:cs="Arial"/>
          <w:i/>
          <w:lang w:eastAsia="fr-FR"/>
        </w:rPr>
        <w:t>Présomption de charge n°</w:t>
      </w:r>
      <w:r w:rsidR="00A90C03" w:rsidRPr="008760ED">
        <w:rPr>
          <w:rFonts w:ascii="Arial" w:eastAsia="Times New Roman" w:hAnsi="Arial" w:cs="Arial"/>
          <w:i/>
          <w:lang w:eastAsia="fr-FR"/>
        </w:rPr>
        <w:t xml:space="preserve"> </w:t>
      </w:r>
      <w:r w:rsidRPr="008760ED">
        <w:rPr>
          <w:rFonts w:ascii="Arial" w:eastAsia="Times New Roman" w:hAnsi="Arial" w:cs="Arial"/>
          <w:i/>
          <w:lang w:eastAsia="fr-FR"/>
        </w:rPr>
        <w:t>2, exercice 2009</w:t>
      </w:r>
    </w:p>
    <w:p w:rsidR="0023067F" w:rsidRPr="00B2691B" w:rsidRDefault="0023067F" w:rsidP="00976F7F">
      <w:pPr>
        <w:tabs>
          <w:tab w:val="center" w:pos="4536"/>
          <w:tab w:val="right" w:pos="9072"/>
        </w:tabs>
        <w:spacing w:before="120" w:after="240" w:line="240" w:lineRule="auto"/>
        <w:ind w:right="142"/>
        <w:jc w:val="both"/>
        <w:rPr>
          <w:rFonts w:ascii="Arial" w:eastAsia="Times New Roman" w:hAnsi="Arial" w:cs="Arial"/>
          <w:lang w:eastAsia="fr-FR"/>
        </w:rPr>
      </w:pPr>
      <w:r w:rsidRPr="008760ED">
        <w:rPr>
          <w:rFonts w:ascii="Arial" w:eastAsia="Times New Roman" w:hAnsi="Arial" w:cs="Arial"/>
          <w:b/>
          <w:u w:val="single"/>
          <w:lang w:eastAsia="fr-FR"/>
        </w:rPr>
        <w:t>Article 2</w:t>
      </w:r>
      <w:r w:rsidRPr="00B2691B">
        <w:rPr>
          <w:rFonts w:ascii="Arial" w:eastAsia="Times New Roman" w:hAnsi="Arial" w:cs="Arial"/>
          <w:lang w:eastAsia="fr-FR"/>
        </w:rPr>
        <w:t xml:space="preserve">. – </w:t>
      </w:r>
      <w:r w:rsidR="00825895">
        <w:rPr>
          <w:rFonts w:ascii="Arial" w:eastAsia="Times New Roman" w:hAnsi="Arial" w:cs="Arial"/>
          <w:lang w:eastAsia="fr-FR"/>
        </w:rPr>
        <w:t>M. X</w:t>
      </w:r>
      <w:r w:rsidR="00A90C03" w:rsidRPr="00B2691B">
        <w:rPr>
          <w:rFonts w:ascii="Arial" w:eastAsia="Times New Roman" w:hAnsi="Arial" w:cs="Arial"/>
          <w:lang w:eastAsia="fr-FR"/>
        </w:rPr>
        <w:t xml:space="preserve"> </w:t>
      </w:r>
      <w:r w:rsidRPr="00B2691B">
        <w:rPr>
          <w:rFonts w:ascii="Arial" w:eastAsia="Times New Roman" w:hAnsi="Arial" w:cs="Arial"/>
          <w:lang w:eastAsia="fr-FR"/>
        </w:rPr>
        <w:t>devra s’acquitter d’une somme de 100 €, en application du deuxième alinéa du paragraphe VI de l’article 60 de la loi n° 63-156 du 23 février 1963 ; cette somme ne peut faire l’objet d’une remise gracieuse en vertu du paragraphe IX de l’article 60 précité.</w:t>
      </w:r>
    </w:p>
    <w:p w:rsidR="0023067F" w:rsidRPr="00B2691B" w:rsidRDefault="0023067F" w:rsidP="00976F7F">
      <w:pPr>
        <w:spacing w:before="120" w:after="240" w:line="240" w:lineRule="auto"/>
        <w:ind w:right="142"/>
        <w:jc w:val="both"/>
        <w:rPr>
          <w:rFonts w:ascii="Arial" w:eastAsia="Times New Roman" w:hAnsi="Arial" w:cs="Arial"/>
          <w:lang w:eastAsia="fr-FR"/>
        </w:rPr>
      </w:pPr>
      <w:r w:rsidRPr="008760ED">
        <w:rPr>
          <w:rFonts w:ascii="Arial" w:eastAsia="Times New Roman" w:hAnsi="Arial" w:cs="Arial"/>
          <w:b/>
          <w:u w:val="single"/>
          <w:lang w:eastAsia="fr-FR"/>
        </w:rPr>
        <w:t>Article 3</w:t>
      </w:r>
      <w:r w:rsidRPr="00B2691B">
        <w:rPr>
          <w:rFonts w:ascii="Arial" w:eastAsia="Times New Roman" w:hAnsi="Arial" w:cs="Arial"/>
          <w:lang w:eastAsia="fr-FR"/>
        </w:rPr>
        <w:t xml:space="preserve">. - La décharge de </w:t>
      </w:r>
      <w:r w:rsidR="00825895">
        <w:rPr>
          <w:rFonts w:ascii="Arial" w:eastAsia="Times New Roman" w:hAnsi="Arial" w:cs="Arial"/>
          <w:lang w:eastAsia="fr-FR"/>
        </w:rPr>
        <w:t>M. X</w:t>
      </w:r>
      <w:r w:rsidRPr="00B2691B">
        <w:rPr>
          <w:rFonts w:ascii="Arial" w:eastAsia="Times New Roman" w:hAnsi="Arial" w:cs="Arial"/>
          <w:lang w:eastAsia="fr-FR"/>
        </w:rPr>
        <w:t xml:space="preserve"> ne pourra être donnée qu’après apurement du débet et de la somme à acquitter, fixés ci-dessus.</w:t>
      </w:r>
    </w:p>
    <w:p w:rsidR="0023067F" w:rsidRDefault="0023067F" w:rsidP="00B2691B">
      <w:pPr>
        <w:tabs>
          <w:tab w:val="center" w:pos="4536"/>
          <w:tab w:val="right" w:pos="9072"/>
        </w:tabs>
        <w:spacing w:before="120" w:after="120" w:line="240" w:lineRule="auto"/>
        <w:jc w:val="both"/>
        <w:rPr>
          <w:rFonts w:ascii="Arial" w:eastAsia="Times New Roman" w:hAnsi="Arial" w:cs="Arial"/>
          <w:lang w:eastAsia="fr-FR"/>
        </w:rPr>
      </w:pPr>
    </w:p>
    <w:p w:rsidR="00B2691B" w:rsidRPr="00B2691B" w:rsidRDefault="00B2691B" w:rsidP="00B2691B">
      <w:pPr>
        <w:tabs>
          <w:tab w:val="center" w:pos="4536"/>
          <w:tab w:val="right" w:pos="9072"/>
        </w:tabs>
        <w:spacing w:before="120" w:after="120" w:line="240" w:lineRule="auto"/>
        <w:jc w:val="both"/>
        <w:rPr>
          <w:rFonts w:ascii="Arial" w:eastAsia="Times New Roman" w:hAnsi="Arial" w:cs="Arial"/>
          <w:lang w:eastAsia="fr-FR"/>
        </w:rPr>
      </w:pPr>
    </w:p>
    <w:p w:rsidR="00B2691B" w:rsidRDefault="00B2691B" w:rsidP="00B2691B">
      <w:pPr>
        <w:tabs>
          <w:tab w:val="center" w:pos="4536"/>
          <w:tab w:val="right" w:pos="9072"/>
        </w:tabs>
        <w:spacing w:before="120" w:after="120" w:line="240" w:lineRule="auto"/>
        <w:jc w:val="both"/>
        <w:rPr>
          <w:rFonts w:ascii="Arial" w:eastAsia="Times New Roman" w:hAnsi="Arial" w:cs="Arial"/>
          <w:lang w:eastAsia="fr-FR"/>
        </w:rPr>
      </w:pPr>
      <w:r w:rsidRPr="00B2691B">
        <w:rPr>
          <w:rFonts w:ascii="Arial" w:eastAsia="Times New Roman" w:hAnsi="Arial" w:cs="Arial"/>
          <w:lang w:eastAsia="fr-FR"/>
        </w:rPr>
        <w:lastRenderedPageBreak/>
        <w:t>Fait et jugé le 26 janvier 2015 par M. Philippe Geoffroy, président de section, présidant la séance, MM. Jean</w:t>
      </w:r>
      <w:r w:rsidR="008760ED">
        <w:rPr>
          <w:rFonts w:ascii="Arial" w:eastAsia="Times New Roman" w:hAnsi="Arial" w:cs="Arial"/>
          <w:lang w:eastAsia="fr-FR"/>
        </w:rPr>
        <w:t>-</w:t>
      </w:r>
      <w:r w:rsidRPr="00B2691B">
        <w:rPr>
          <w:rFonts w:ascii="Arial" w:eastAsia="Times New Roman" w:hAnsi="Arial" w:cs="Arial"/>
          <w:lang w:eastAsia="fr-FR"/>
        </w:rPr>
        <w:t xml:space="preserve">Michel de </w:t>
      </w:r>
      <w:proofErr w:type="spellStart"/>
      <w:r w:rsidRPr="00B2691B">
        <w:rPr>
          <w:rFonts w:ascii="Arial" w:eastAsia="Times New Roman" w:hAnsi="Arial" w:cs="Arial"/>
          <w:lang w:eastAsia="fr-FR"/>
        </w:rPr>
        <w:t>Mourgues</w:t>
      </w:r>
      <w:proofErr w:type="spellEnd"/>
      <w:r w:rsidRPr="00B2691B">
        <w:rPr>
          <w:rFonts w:ascii="Arial" w:eastAsia="Times New Roman" w:hAnsi="Arial" w:cs="Arial"/>
          <w:lang w:eastAsia="fr-FR"/>
        </w:rPr>
        <w:t xml:space="preserve">, Daniel-Georges Courtois, Vincent </w:t>
      </w:r>
      <w:proofErr w:type="spellStart"/>
      <w:r w:rsidRPr="00B2691B">
        <w:rPr>
          <w:rFonts w:ascii="Arial" w:eastAsia="Times New Roman" w:hAnsi="Arial" w:cs="Arial"/>
          <w:lang w:eastAsia="fr-FR"/>
        </w:rPr>
        <w:t>Feller</w:t>
      </w:r>
      <w:proofErr w:type="spellEnd"/>
      <w:r w:rsidRPr="00B2691B">
        <w:rPr>
          <w:rFonts w:ascii="Arial" w:eastAsia="Times New Roman" w:hAnsi="Arial" w:cs="Arial"/>
          <w:lang w:eastAsia="fr-FR"/>
        </w:rPr>
        <w:t xml:space="preserve"> et Jean</w:t>
      </w:r>
      <w:r w:rsidR="008760ED">
        <w:rPr>
          <w:rFonts w:ascii="Arial" w:eastAsia="Times New Roman" w:hAnsi="Arial" w:cs="Arial"/>
          <w:lang w:eastAsia="fr-FR"/>
        </w:rPr>
        <w:t>-</w:t>
      </w:r>
      <w:bookmarkStart w:id="0" w:name="_GoBack"/>
      <w:bookmarkEnd w:id="0"/>
      <w:r w:rsidRPr="00B2691B">
        <w:rPr>
          <w:rFonts w:ascii="Arial" w:eastAsia="Times New Roman" w:hAnsi="Arial" w:cs="Arial"/>
          <w:lang w:eastAsia="fr-FR"/>
        </w:rPr>
        <w:t>Christophe Chouvet, conseillers maîtres.</w:t>
      </w:r>
    </w:p>
    <w:p w:rsidR="00B2691B" w:rsidRPr="00B2691B" w:rsidRDefault="00B2691B" w:rsidP="00B2691B">
      <w:pPr>
        <w:tabs>
          <w:tab w:val="center" w:pos="4536"/>
          <w:tab w:val="right" w:pos="9072"/>
        </w:tabs>
        <w:spacing w:before="120" w:after="120" w:line="240" w:lineRule="auto"/>
        <w:jc w:val="both"/>
        <w:rPr>
          <w:rFonts w:ascii="Arial" w:eastAsia="Times New Roman" w:hAnsi="Arial" w:cs="Arial"/>
          <w:lang w:eastAsia="fr-FR"/>
        </w:rPr>
      </w:pPr>
    </w:p>
    <w:p w:rsidR="00B2691B" w:rsidRPr="00B2691B" w:rsidRDefault="00B2691B" w:rsidP="00B2691B">
      <w:pPr>
        <w:tabs>
          <w:tab w:val="center" w:pos="4536"/>
          <w:tab w:val="right" w:pos="9072"/>
        </w:tabs>
        <w:spacing w:before="240" w:after="0" w:line="240" w:lineRule="auto"/>
        <w:jc w:val="both"/>
        <w:rPr>
          <w:rFonts w:ascii="Arial" w:eastAsia="Times New Roman" w:hAnsi="Arial" w:cs="Arial"/>
          <w:lang w:eastAsia="fr-FR"/>
        </w:rPr>
      </w:pPr>
      <w:r w:rsidRPr="00B2691B">
        <w:rPr>
          <w:rFonts w:ascii="Arial" w:eastAsia="Times New Roman" w:hAnsi="Arial" w:cs="Arial"/>
          <w:lang w:eastAsia="fr-FR"/>
        </w:rPr>
        <w:t>En présence d’Annie Lebaron, greffière de séance.</w:t>
      </w:r>
    </w:p>
    <w:tbl>
      <w:tblPr>
        <w:tblW w:w="0" w:type="auto"/>
        <w:tblInd w:w="34" w:type="dxa"/>
        <w:tblLook w:val="00A0" w:firstRow="1" w:lastRow="0" w:firstColumn="1" w:lastColumn="0" w:noHBand="0" w:noVBand="0"/>
      </w:tblPr>
      <w:tblGrid>
        <w:gridCol w:w="4611"/>
        <w:gridCol w:w="4641"/>
      </w:tblGrid>
      <w:tr w:rsidR="00B2691B" w:rsidRPr="00B2691B" w:rsidTr="00293210">
        <w:tc>
          <w:tcPr>
            <w:tcW w:w="5413" w:type="dxa"/>
          </w:tcPr>
          <w:p w:rsidR="00B2691B" w:rsidRPr="00B2691B" w:rsidRDefault="00B2691B" w:rsidP="00A90C03">
            <w:pPr>
              <w:tabs>
                <w:tab w:val="center" w:pos="4536"/>
                <w:tab w:val="right" w:pos="9072"/>
              </w:tabs>
              <w:spacing w:before="2040" w:after="120" w:line="240" w:lineRule="auto"/>
              <w:jc w:val="center"/>
              <w:rPr>
                <w:rFonts w:ascii="Arial" w:eastAsia="Times New Roman" w:hAnsi="Arial" w:cs="Arial"/>
                <w:b/>
                <w:lang w:eastAsia="fr-FR"/>
              </w:rPr>
            </w:pPr>
            <w:r w:rsidRPr="00B2691B">
              <w:rPr>
                <w:rFonts w:ascii="Arial" w:eastAsia="Times New Roman" w:hAnsi="Arial" w:cs="Arial"/>
                <w:b/>
                <w:lang w:eastAsia="fr-FR"/>
              </w:rPr>
              <w:t>Annie LEBARON</w:t>
            </w:r>
          </w:p>
        </w:tc>
        <w:tc>
          <w:tcPr>
            <w:tcW w:w="5414" w:type="dxa"/>
          </w:tcPr>
          <w:p w:rsidR="00B2691B" w:rsidRPr="00B2691B" w:rsidRDefault="00B2691B" w:rsidP="00A90C03">
            <w:pPr>
              <w:tabs>
                <w:tab w:val="center" w:pos="4536"/>
                <w:tab w:val="right" w:pos="9072"/>
              </w:tabs>
              <w:spacing w:before="2040" w:after="120" w:line="240" w:lineRule="auto"/>
              <w:jc w:val="center"/>
              <w:rPr>
                <w:rFonts w:ascii="Arial" w:eastAsia="Times New Roman" w:hAnsi="Arial" w:cs="Arial"/>
                <w:b/>
                <w:lang w:eastAsia="fr-FR"/>
              </w:rPr>
            </w:pPr>
            <w:r w:rsidRPr="00B2691B">
              <w:rPr>
                <w:rFonts w:ascii="Arial" w:eastAsia="Times New Roman" w:hAnsi="Arial" w:cs="Arial"/>
                <w:b/>
                <w:lang w:eastAsia="fr-FR"/>
              </w:rPr>
              <w:t>Philippe GEOFFROY</w:t>
            </w:r>
          </w:p>
        </w:tc>
      </w:tr>
    </w:tbl>
    <w:p w:rsidR="00A90C03" w:rsidRDefault="00A90C03" w:rsidP="00B2691B">
      <w:pPr>
        <w:tabs>
          <w:tab w:val="center" w:pos="4536"/>
          <w:tab w:val="right" w:pos="9072"/>
        </w:tabs>
        <w:spacing w:before="120" w:after="120" w:line="240" w:lineRule="auto"/>
        <w:jc w:val="both"/>
        <w:rPr>
          <w:rFonts w:ascii="Arial" w:eastAsia="Times New Roman" w:hAnsi="Arial" w:cs="Arial"/>
          <w:lang w:eastAsia="fr-FR"/>
        </w:rPr>
      </w:pPr>
    </w:p>
    <w:p w:rsidR="00A90C03" w:rsidRPr="00B2691B" w:rsidRDefault="00A90C03" w:rsidP="00B2691B">
      <w:pPr>
        <w:tabs>
          <w:tab w:val="center" w:pos="4536"/>
          <w:tab w:val="right" w:pos="9072"/>
        </w:tabs>
        <w:spacing w:before="120" w:after="120" w:line="240" w:lineRule="auto"/>
        <w:jc w:val="both"/>
        <w:rPr>
          <w:rFonts w:ascii="Arial" w:eastAsia="Times New Roman" w:hAnsi="Arial" w:cs="Arial"/>
          <w:lang w:eastAsia="fr-FR"/>
        </w:rPr>
      </w:pPr>
    </w:p>
    <w:p w:rsidR="00B2691B" w:rsidRDefault="00B2691B" w:rsidP="00B2691B">
      <w:pPr>
        <w:tabs>
          <w:tab w:val="center" w:pos="4536"/>
          <w:tab w:val="right" w:pos="9072"/>
        </w:tabs>
        <w:spacing w:before="120" w:after="120" w:line="240" w:lineRule="auto"/>
        <w:jc w:val="both"/>
        <w:rPr>
          <w:rFonts w:ascii="Arial" w:eastAsia="Times New Roman" w:hAnsi="Arial" w:cs="Arial"/>
          <w:lang w:eastAsia="fr-FR"/>
        </w:rPr>
      </w:pPr>
      <w:r w:rsidRPr="00B2691B">
        <w:rPr>
          <w:rFonts w:ascii="Arial" w:eastAsia="Times New Roman" w:hAnsi="Arial" w:cs="Arial"/>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A90C03" w:rsidRDefault="00A90C03" w:rsidP="00B2691B">
      <w:pPr>
        <w:tabs>
          <w:tab w:val="center" w:pos="4536"/>
          <w:tab w:val="right" w:pos="9072"/>
        </w:tabs>
        <w:spacing w:before="120" w:after="120" w:line="240" w:lineRule="auto"/>
        <w:jc w:val="both"/>
        <w:rPr>
          <w:rFonts w:ascii="Arial" w:eastAsia="Times New Roman" w:hAnsi="Arial" w:cs="Arial"/>
          <w:lang w:eastAsia="fr-FR"/>
        </w:rPr>
      </w:pPr>
    </w:p>
    <w:p w:rsidR="00A90C03" w:rsidRPr="00B2691B" w:rsidRDefault="00A90C03" w:rsidP="00B2691B">
      <w:pPr>
        <w:tabs>
          <w:tab w:val="center" w:pos="4536"/>
          <w:tab w:val="right" w:pos="9072"/>
        </w:tabs>
        <w:spacing w:before="120" w:after="120" w:line="240" w:lineRule="auto"/>
        <w:jc w:val="both"/>
        <w:rPr>
          <w:rFonts w:ascii="Arial" w:eastAsia="Times New Roman" w:hAnsi="Arial" w:cs="Arial"/>
          <w:lang w:eastAsia="fr-FR"/>
        </w:rPr>
      </w:pPr>
    </w:p>
    <w:p w:rsidR="000F4B07" w:rsidRDefault="00B2691B" w:rsidP="00B2691B">
      <w:pPr>
        <w:tabs>
          <w:tab w:val="center" w:pos="4536"/>
          <w:tab w:val="right" w:pos="9072"/>
        </w:tabs>
        <w:spacing w:before="120" w:after="120" w:line="240" w:lineRule="auto"/>
        <w:jc w:val="both"/>
      </w:pPr>
      <w:r w:rsidRPr="00B2691B">
        <w:rPr>
          <w:rFonts w:ascii="Arial" w:eastAsia="Times New Roman" w:hAnsi="Arial" w:cs="Arial"/>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r>
        <w:rPr>
          <w:rFonts w:ascii="Arial" w:eastAsia="Times New Roman" w:hAnsi="Arial" w:cs="Arial"/>
          <w:lang w:eastAsia="fr-FR"/>
        </w:rPr>
        <w:t>.</w:t>
      </w:r>
    </w:p>
    <w:sectPr w:rsidR="000F4B07" w:rsidSect="00B2691B">
      <w:headerReference w:type="default" r:id="rId8"/>
      <w:footerReference w:type="default" r:id="rId9"/>
      <w:headerReference w:type="first" r:id="rId10"/>
      <w:footerReference w:type="first" r:id="rId11"/>
      <w:pgSz w:w="11906" w:h="16838" w:code="9"/>
      <w:pgMar w:top="680" w:right="1418" w:bottom="567" w:left="1418" w:header="0" w:footer="31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093" w:rsidRDefault="004B0093">
      <w:pPr>
        <w:spacing w:after="0" w:line="240" w:lineRule="auto"/>
      </w:pPr>
      <w:r>
        <w:separator/>
      </w:r>
    </w:p>
  </w:endnote>
  <w:endnote w:type="continuationSeparator" w:id="0">
    <w:p w:rsidR="004B0093" w:rsidRDefault="004B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193C76" w:rsidTr="00193C76">
      <w:trPr>
        <w:jc w:val="center"/>
      </w:trPr>
      <w:tc>
        <w:tcPr>
          <w:tcW w:w="9212" w:type="dxa"/>
          <w:shd w:val="clear" w:color="auto" w:fill="auto"/>
        </w:tcPr>
        <w:p w:rsidR="00193C76" w:rsidRPr="00193C76" w:rsidRDefault="0023067F" w:rsidP="00193C76">
          <w:pPr>
            <w:pStyle w:val="Pieddepage"/>
            <w:rPr>
              <w:rFonts w:cs="Arial"/>
            </w:rPr>
          </w:pPr>
          <w:r w:rsidRPr="00193C76">
            <w:rPr>
              <w:rFonts w:cs="Arial"/>
            </w:rPr>
            <w:t>13 rue Cambon - 75100 PARIS CEDEX 01 - T +33 1 42 98 95 00 - www.ccomptes.fr</w:t>
          </w:r>
        </w:p>
      </w:tc>
    </w:tr>
    <w:tr w:rsidR="00193C76" w:rsidTr="00193C76">
      <w:trPr>
        <w:jc w:val="center"/>
      </w:trPr>
      <w:tc>
        <w:tcPr>
          <w:tcW w:w="9212" w:type="dxa"/>
          <w:shd w:val="clear" w:color="auto" w:fill="auto"/>
        </w:tcPr>
        <w:p w:rsidR="00193C76" w:rsidRPr="00193C76" w:rsidRDefault="0023067F" w:rsidP="00193C76">
          <w:pPr>
            <w:pStyle w:val="Pieddepage"/>
            <w:rPr>
              <w:rFonts w:cs="Arial"/>
            </w:rPr>
          </w:pPr>
          <w:r w:rsidRPr="00193C76">
            <w:rPr>
              <w:rFonts w:cs="Arial"/>
            </w:rPr>
            <w:t>.</w:t>
          </w:r>
        </w:p>
      </w:tc>
    </w:tr>
  </w:tbl>
  <w:p w:rsidR="00193C76" w:rsidRDefault="004B009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193C76" w:rsidTr="00193C76">
      <w:trPr>
        <w:jc w:val="center"/>
      </w:trPr>
      <w:tc>
        <w:tcPr>
          <w:tcW w:w="9212" w:type="dxa"/>
          <w:shd w:val="clear" w:color="auto" w:fill="auto"/>
        </w:tcPr>
        <w:p w:rsidR="00193C76" w:rsidRPr="00B2691B" w:rsidRDefault="0023067F" w:rsidP="00B2691B">
          <w:pPr>
            <w:pStyle w:val="Pieddepage"/>
            <w:jc w:val="center"/>
            <w:rPr>
              <w:rFonts w:ascii="Arial" w:hAnsi="Arial" w:cs="Arial"/>
              <w:sz w:val="20"/>
              <w:szCs w:val="20"/>
            </w:rPr>
          </w:pPr>
          <w:r w:rsidRPr="00B2691B">
            <w:rPr>
              <w:rFonts w:ascii="Arial" w:hAnsi="Arial" w:cs="Arial"/>
              <w:sz w:val="20"/>
              <w:szCs w:val="20"/>
            </w:rPr>
            <w:t>13 rue Cambon - 75100 PARIS CEDEX 01 - T +33 1 42 98 95 00 - www.ccomptes.fr</w:t>
          </w:r>
        </w:p>
      </w:tc>
    </w:tr>
  </w:tbl>
  <w:p w:rsidR="00193C76" w:rsidRDefault="004B0093" w:rsidP="00B2691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093" w:rsidRDefault="004B0093">
      <w:pPr>
        <w:spacing w:after="0" w:line="240" w:lineRule="auto"/>
      </w:pPr>
      <w:r>
        <w:separator/>
      </w:r>
    </w:p>
  </w:footnote>
  <w:footnote w:type="continuationSeparator" w:id="0">
    <w:p w:rsidR="004B0093" w:rsidRDefault="004B0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810809"/>
      <w:docPartObj>
        <w:docPartGallery w:val="Page Numbers (Top of Page)"/>
        <w:docPartUnique/>
      </w:docPartObj>
    </w:sdtPr>
    <w:sdtEndPr>
      <w:rPr>
        <w:sz w:val="20"/>
        <w:szCs w:val="20"/>
      </w:rPr>
    </w:sdtEndPr>
    <w:sdtContent>
      <w:p w:rsidR="00B2691B" w:rsidRDefault="00B2691B">
        <w:pPr>
          <w:pStyle w:val="En-tte"/>
          <w:jc w:val="right"/>
        </w:pPr>
      </w:p>
      <w:p w:rsidR="00123F8C" w:rsidRPr="00B2691B" w:rsidRDefault="00123F8C">
        <w:pPr>
          <w:pStyle w:val="En-tte"/>
          <w:jc w:val="right"/>
          <w:rPr>
            <w:sz w:val="20"/>
            <w:szCs w:val="20"/>
          </w:rPr>
        </w:pPr>
        <w:r w:rsidRPr="00B2691B">
          <w:rPr>
            <w:sz w:val="20"/>
            <w:szCs w:val="20"/>
          </w:rPr>
          <w:fldChar w:fldCharType="begin"/>
        </w:r>
        <w:r w:rsidRPr="00B2691B">
          <w:rPr>
            <w:sz w:val="20"/>
            <w:szCs w:val="20"/>
          </w:rPr>
          <w:instrText>PAGE   \* MERGEFORMAT</w:instrText>
        </w:r>
        <w:r w:rsidRPr="00B2691B">
          <w:rPr>
            <w:sz w:val="20"/>
            <w:szCs w:val="20"/>
          </w:rPr>
          <w:fldChar w:fldCharType="separate"/>
        </w:r>
        <w:r w:rsidR="008760ED">
          <w:rPr>
            <w:noProof/>
            <w:sz w:val="20"/>
            <w:szCs w:val="20"/>
          </w:rPr>
          <w:t>7</w:t>
        </w:r>
        <w:r w:rsidRPr="00B2691B">
          <w:rPr>
            <w:sz w:val="20"/>
            <w:szCs w:val="20"/>
          </w:rPr>
          <w:fldChar w:fldCharType="end"/>
        </w:r>
        <w:r w:rsidRPr="00B2691B">
          <w:rPr>
            <w:sz w:val="20"/>
            <w:szCs w:val="20"/>
          </w:rPr>
          <w:t>/</w:t>
        </w:r>
        <w:r w:rsidR="006A7F51">
          <w:rPr>
            <w:sz w:val="20"/>
            <w:szCs w:val="20"/>
          </w:rPr>
          <w:t>7</w:t>
        </w:r>
      </w:p>
    </w:sdtContent>
  </w:sdt>
  <w:p w:rsidR="00193C76" w:rsidRDefault="004B0093" w:rsidP="00193C76">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F8C" w:rsidRDefault="00123F8C">
    <w:pPr>
      <w:pStyle w:val="En-tte"/>
      <w:jc w:val="right"/>
    </w:pPr>
  </w:p>
  <w:p w:rsidR="00193C76" w:rsidRDefault="00B2691B">
    <w:pPr>
      <w:pStyle w:val="En-tte"/>
    </w:pPr>
    <w:r>
      <w:rPr>
        <w:noProof/>
        <w:lang w:eastAsia="fr-FR"/>
      </w:rPr>
      <w:drawing>
        <wp:anchor distT="0" distB="0" distL="114300" distR="114300" simplePos="0" relativeHeight="251658240" behindDoc="0" locked="0" layoutInCell="1" allowOverlap="1" wp14:anchorId="3A5D4087" wp14:editId="26814E4A">
          <wp:simplePos x="0" y="0"/>
          <wp:positionH relativeFrom="column">
            <wp:posOffset>0</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67F"/>
    <w:rsid w:val="000F4B07"/>
    <w:rsid w:val="00123F8C"/>
    <w:rsid w:val="0023067F"/>
    <w:rsid w:val="002A4E59"/>
    <w:rsid w:val="0047103E"/>
    <w:rsid w:val="004B0093"/>
    <w:rsid w:val="00533ED5"/>
    <w:rsid w:val="005E01AB"/>
    <w:rsid w:val="006A7F51"/>
    <w:rsid w:val="00825895"/>
    <w:rsid w:val="00827F9E"/>
    <w:rsid w:val="008760ED"/>
    <w:rsid w:val="00976F7F"/>
    <w:rsid w:val="009D1AAC"/>
    <w:rsid w:val="00A63508"/>
    <w:rsid w:val="00A90C03"/>
    <w:rsid w:val="00B2691B"/>
    <w:rsid w:val="00D538B7"/>
    <w:rsid w:val="00D776D9"/>
    <w:rsid w:val="00FB497C"/>
    <w:rsid w:val="00FC0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067F"/>
    <w:pPr>
      <w:tabs>
        <w:tab w:val="center" w:pos="4536"/>
        <w:tab w:val="right" w:pos="9072"/>
      </w:tabs>
      <w:spacing w:after="0" w:line="240" w:lineRule="auto"/>
    </w:pPr>
  </w:style>
  <w:style w:type="character" w:customStyle="1" w:styleId="En-tteCar">
    <w:name w:val="En-tête Car"/>
    <w:basedOn w:val="Policepardfaut"/>
    <w:link w:val="En-tte"/>
    <w:uiPriority w:val="99"/>
    <w:rsid w:val="0023067F"/>
  </w:style>
  <w:style w:type="paragraph" w:styleId="Pieddepage">
    <w:name w:val="footer"/>
    <w:basedOn w:val="Normal"/>
    <w:link w:val="PieddepageCar"/>
    <w:uiPriority w:val="99"/>
    <w:unhideWhenUsed/>
    <w:rsid w:val="002306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67F"/>
  </w:style>
  <w:style w:type="character" w:styleId="Marquedecommentaire">
    <w:name w:val="annotation reference"/>
    <w:basedOn w:val="Policepardfaut"/>
    <w:uiPriority w:val="99"/>
    <w:semiHidden/>
    <w:unhideWhenUsed/>
    <w:rsid w:val="00D538B7"/>
    <w:rPr>
      <w:sz w:val="16"/>
      <w:szCs w:val="16"/>
    </w:rPr>
  </w:style>
  <w:style w:type="paragraph" w:styleId="Commentaire">
    <w:name w:val="annotation text"/>
    <w:basedOn w:val="Normal"/>
    <w:link w:val="CommentaireCar"/>
    <w:uiPriority w:val="99"/>
    <w:semiHidden/>
    <w:unhideWhenUsed/>
    <w:rsid w:val="00D538B7"/>
    <w:pPr>
      <w:spacing w:line="240" w:lineRule="auto"/>
    </w:pPr>
    <w:rPr>
      <w:sz w:val="20"/>
      <w:szCs w:val="20"/>
    </w:rPr>
  </w:style>
  <w:style w:type="character" w:customStyle="1" w:styleId="CommentaireCar">
    <w:name w:val="Commentaire Car"/>
    <w:basedOn w:val="Policepardfaut"/>
    <w:link w:val="Commentaire"/>
    <w:uiPriority w:val="99"/>
    <w:semiHidden/>
    <w:rsid w:val="00D538B7"/>
    <w:rPr>
      <w:sz w:val="20"/>
      <w:szCs w:val="20"/>
    </w:rPr>
  </w:style>
  <w:style w:type="paragraph" w:styleId="Objetducommentaire">
    <w:name w:val="annotation subject"/>
    <w:basedOn w:val="Commentaire"/>
    <w:next w:val="Commentaire"/>
    <w:link w:val="ObjetducommentaireCar"/>
    <w:uiPriority w:val="99"/>
    <w:semiHidden/>
    <w:unhideWhenUsed/>
    <w:rsid w:val="00D538B7"/>
    <w:rPr>
      <w:b/>
      <w:bCs/>
    </w:rPr>
  </w:style>
  <w:style w:type="character" w:customStyle="1" w:styleId="ObjetducommentaireCar">
    <w:name w:val="Objet du commentaire Car"/>
    <w:basedOn w:val="CommentaireCar"/>
    <w:link w:val="Objetducommentaire"/>
    <w:uiPriority w:val="99"/>
    <w:semiHidden/>
    <w:rsid w:val="00D538B7"/>
    <w:rPr>
      <w:b/>
      <w:bCs/>
      <w:sz w:val="20"/>
      <w:szCs w:val="20"/>
    </w:rPr>
  </w:style>
  <w:style w:type="paragraph" w:styleId="Rvision">
    <w:name w:val="Revision"/>
    <w:hidden/>
    <w:uiPriority w:val="99"/>
    <w:semiHidden/>
    <w:rsid w:val="00D538B7"/>
    <w:pPr>
      <w:spacing w:after="0" w:line="240" w:lineRule="auto"/>
    </w:pPr>
  </w:style>
  <w:style w:type="paragraph" w:styleId="Textedebulles">
    <w:name w:val="Balloon Text"/>
    <w:basedOn w:val="Normal"/>
    <w:link w:val="TextedebullesCar"/>
    <w:uiPriority w:val="99"/>
    <w:semiHidden/>
    <w:unhideWhenUsed/>
    <w:rsid w:val="00D538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38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067F"/>
    <w:pPr>
      <w:tabs>
        <w:tab w:val="center" w:pos="4536"/>
        <w:tab w:val="right" w:pos="9072"/>
      </w:tabs>
      <w:spacing w:after="0" w:line="240" w:lineRule="auto"/>
    </w:pPr>
  </w:style>
  <w:style w:type="character" w:customStyle="1" w:styleId="En-tteCar">
    <w:name w:val="En-tête Car"/>
    <w:basedOn w:val="Policepardfaut"/>
    <w:link w:val="En-tte"/>
    <w:uiPriority w:val="99"/>
    <w:rsid w:val="0023067F"/>
  </w:style>
  <w:style w:type="paragraph" w:styleId="Pieddepage">
    <w:name w:val="footer"/>
    <w:basedOn w:val="Normal"/>
    <w:link w:val="PieddepageCar"/>
    <w:uiPriority w:val="99"/>
    <w:unhideWhenUsed/>
    <w:rsid w:val="002306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67F"/>
  </w:style>
  <w:style w:type="character" w:styleId="Marquedecommentaire">
    <w:name w:val="annotation reference"/>
    <w:basedOn w:val="Policepardfaut"/>
    <w:uiPriority w:val="99"/>
    <w:semiHidden/>
    <w:unhideWhenUsed/>
    <w:rsid w:val="00D538B7"/>
    <w:rPr>
      <w:sz w:val="16"/>
      <w:szCs w:val="16"/>
    </w:rPr>
  </w:style>
  <w:style w:type="paragraph" w:styleId="Commentaire">
    <w:name w:val="annotation text"/>
    <w:basedOn w:val="Normal"/>
    <w:link w:val="CommentaireCar"/>
    <w:uiPriority w:val="99"/>
    <w:semiHidden/>
    <w:unhideWhenUsed/>
    <w:rsid w:val="00D538B7"/>
    <w:pPr>
      <w:spacing w:line="240" w:lineRule="auto"/>
    </w:pPr>
    <w:rPr>
      <w:sz w:val="20"/>
      <w:szCs w:val="20"/>
    </w:rPr>
  </w:style>
  <w:style w:type="character" w:customStyle="1" w:styleId="CommentaireCar">
    <w:name w:val="Commentaire Car"/>
    <w:basedOn w:val="Policepardfaut"/>
    <w:link w:val="Commentaire"/>
    <w:uiPriority w:val="99"/>
    <w:semiHidden/>
    <w:rsid w:val="00D538B7"/>
    <w:rPr>
      <w:sz w:val="20"/>
      <w:szCs w:val="20"/>
    </w:rPr>
  </w:style>
  <w:style w:type="paragraph" w:styleId="Objetducommentaire">
    <w:name w:val="annotation subject"/>
    <w:basedOn w:val="Commentaire"/>
    <w:next w:val="Commentaire"/>
    <w:link w:val="ObjetducommentaireCar"/>
    <w:uiPriority w:val="99"/>
    <w:semiHidden/>
    <w:unhideWhenUsed/>
    <w:rsid w:val="00D538B7"/>
    <w:rPr>
      <w:b/>
      <w:bCs/>
    </w:rPr>
  </w:style>
  <w:style w:type="character" w:customStyle="1" w:styleId="ObjetducommentaireCar">
    <w:name w:val="Objet du commentaire Car"/>
    <w:basedOn w:val="CommentaireCar"/>
    <w:link w:val="Objetducommentaire"/>
    <w:uiPriority w:val="99"/>
    <w:semiHidden/>
    <w:rsid w:val="00D538B7"/>
    <w:rPr>
      <w:b/>
      <w:bCs/>
      <w:sz w:val="20"/>
      <w:szCs w:val="20"/>
    </w:rPr>
  </w:style>
  <w:style w:type="paragraph" w:styleId="Rvision">
    <w:name w:val="Revision"/>
    <w:hidden/>
    <w:uiPriority w:val="99"/>
    <w:semiHidden/>
    <w:rsid w:val="00D538B7"/>
    <w:pPr>
      <w:spacing w:after="0" w:line="240" w:lineRule="auto"/>
    </w:pPr>
  </w:style>
  <w:style w:type="paragraph" w:styleId="Textedebulles">
    <w:name w:val="Balloon Text"/>
    <w:basedOn w:val="Normal"/>
    <w:link w:val="TextedebullesCar"/>
    <w:uiPriority w:val="99"/>
    <w:semiHidden/>
    <w:unhideWhenUsed/>
    <w:rsid w:val="00D538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38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gifrance.gouv.fr/affichCodeArticle.do?cidTexte=LEGITEXT000005634379&amp;idArticle=LEGIARTI000006236686&amp;dateTexte=&amp;categorieLien=cid"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3029</Words>
  <Characters>16661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Marcou, Jean</dc:creator>
  <cp:lastModifiedBy>Jean-Pierre Bonin</cp:lastModifiedBy>
  <cp:revision>5</cp:revision>
  <dcterms:created xsi:type="dcterms:W3CDTF">2015-04-27T10:00:00Z</dcterms:created>
  <dcterms:modified xsi:type="dcterms:W3CDTF">2015-05-07T17:19:00Z</dcterms:modified>
</cp:coreProperties>
</file>