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EC4" w:rsidRDefault="00FA2EC4" w:rsidP="004A1A11"/>
    <w:tbl>
      <w:tblPr>
        <w:tblW w:w="9855" w:type="dxa"/>
        <w:tblLook w:val="00A0" w:firstRow="1" w:lastRow="0" w:firstColumn="1" w:lastColumn="0" w:noHBand="0" w:noVBand="0"/>
      </w:tblPr>
      <w:tblGrid>
        <w:gridCol w:w="4644"/>
        <w:gridCol w:w="5211"/>
      </w:tblGrid>
      <w:tr w:rsidR="00C13095" w:rsidRPr="00C13095" w:rsidTr="00A124A7">
        <w:tc>
          <w:tcPr>
            <w:tcW w:w="4644" w:type="dxa"/>
          </w:tcPr>
          <w:p w:rsidR="00A124A7" w:rsidRPr="00A124A7" w:rsidRDefault="00A124A7" w:rsidP="0066302B">
            <w:pPr>
              <w:spacing w:line="240" w:lineRule="auto"/>
              <w:ind w:right="1026"/>
              <w:jc w:val="center"/>
              <w:rPr>
                <w:rFonts w:eastAsia="Times New Roman" w:cs="Arial"/>
                <w:sz w:val="22"/>
                <w:lang w:eastAsia="fr-FR"/>
              </w:rPr>
            </w:pPr>
            <w:r w:rsidRPr="00A124A7">
              <w:rPr>
                <w:rFonts w:eastAsia="Times New Roman" w:cs="Arial"/>
                <w:sz w:val="22"/>
                <w:lang w:eastAsia="fr-FR"/>
              </w:rPr>
              <w:t>QUATRIÈME CHAMBRE</w:t>
            </w:r>
          </w:p>
          <w:p w:rsidR="00A124A7" w:rsidRPr="00A124A7" w:rsidRDefault="00A124A7" w:rsidP="0066302B">
            <w:pPr>
              <w:spacing w:line="240" w:lineRule="auto"/>
              <w:ind w:right="1026"/>
              <w:jc w:val="center"/>
              <w:rPr>
                <w:rFonts w:eastAsia="Times New Roman" w:cs="Arial"/>
                <w:b/>
                <w:sz w:val="22"/>
                <w:lang w:eastAsia="fr-FR"/>
              </w:rPr>
            </w:pPr>
            <w:r w:rsidRPr="00A124A7">
              <w:rPr>
                <w:rFonts w:eastAsia="Times New Roman" w:cs="Arial"/>
                <w:b/>
                <w:sz w:val="22"/>
                <w:lang w:eastAsia="fr-FR"/>
              </w:rPr>
              <w:t>-------</w:t>
            </w:r>
          </w:p>
          <w:p w:rsidR="00A124A7" w:rsidRPr="00A124A7" w:rsidRDefault="00A124A7" w:rsidP="0066302B">
            <w:pPr>
              <w:tabs>
                <w:tab w:val="center" w:pos="4819"/>
                <w:tab w:val="right" w:pos="9071"/>
              </w:tabs>
              <w:spacing w:line="240" w:lineRule="auto"/>
              <w:ind w:right="1026"/>
              <w:jc w:val="center"/>
              <w:rPr>
                <w:rFonts w:eastAsia="Times New Roman" w:cs="Arial"/>
                <w:sz w:val="22"/>
                <w:lang w:eastAsia="fr-FR"/>
              </w:rPr>
            </w:pPr>
            <w:r w:rsidRPr="00A124A7">
              <w:rPr>
                <w:rFonts w:eastAsia="Times New Roman" w:cs="Arial"/>
                <w:sz w:val="22"/>
                <w:lang w:eastAsia="fr-FR"/>
              </w:rPr>
              <w:t>Première section</w:t>
            </w:r>
          </w:p>
          <w:p w:rsidR="00A124A7" w:rsidRPr="00A124A7" w:rsidRDefault="00A124A7" w:rsidP="0066302B">
            <w:pPr>
              <w:tabs>
                <w:tab w:val="center" w:pos="4819"/>
                <w:tab w:val="right" w:pos="9071"/>
              </w:tabs>
              <w:spacing w:line="240" w:lineRule="auto"/>
              <w:ind w:right="1026"/>
              <w:jc w:val="center"/>
              <w:rPr>
                <w:rFonts w:eastAsia="Times New Roman" w:cs="Arial"/>
                <w:b/>
                <w:sz w:val="22"/>
                <w:lang w:eastAsia="fr-FR"/>
              </w:rPr>
            </w:pPr>
            <w:r w:rsidRPr="00A124A7">
              <w:rPr>
                <w:rFonts w:eastAsia="Times New Roman" w:cs="Arial"/>
                <w:b/>
                <w:sz w:val="22"/>
                <w:lang w:eastAsia="fr-FR"/>
              </w:rPr>
              <w:t>-------</w:t>
            </w:r>
          </w:p>
          <w:p w:rsidR="00A124A7" w:rsidRPr="00A124A7" w:rsidRDefault="00A124A7" w:rsidP="0066302B">
            <w:pPr>
              <w:tabs>
                <w:tab w:val="center" w:pos="4819"/>
                <w:tab w:val="right" w:pos="9071"/>
              </w:tabs>
              <w:spacing w:line="240" w:lineRule="auto"/>
              <w:ind w:right="1026"/>
              <w:jc w:val="center"/>
              <w:rPr>
                <w:rFonts w:eastAsia="Times New Roman" w:cs="Arial"/>
                <w:sz w:val="22"/>
                <w:lang w:eastAsia="fr-FR"/>
              </w:rPr>
            </w:pPr>
            <w:r w:rsidRPr="00A124A7">
              <w:rPr>
                <w:rFonts w:eastAsia="Times New Roman" w:cs="Arial"/>
                <w:sz w:val="22"/>
                <w:lang w:eastAsia="fr-FR"/>
              </w:rPr>
              <w:t>Arrêt n° 724</w:t>
            </w:r>
            <w:r>
              <w:rPr>
                <w:rFonts w:eastAsia="Times New Roman" w:cs="Arial"/>
                <w:sz w:val="22"/>
                <w:lang w:eastAsia="fr-FR"/>
              </w:rPr>
              <w:t>73</w:t>
            </w:r>
          </w:p>
          <w:p w:rsidR="00A124A7" w:rsidRPr="00A124A7" w:rsidRDefault="00A124A7" w:rsidP="0066302B">
            <w:pPr>
              <w:tabs>
                <w:tab w:val="center" w:pos="4819"/>
                <w:tab w:val="right" w:pos="9071"/>
              </w:tabs>
              <w:spacing w:line="240" w:lineRule="auto"/>
              <w:ind w:right="1026"/>
              <w:jc w:val="center"/>
              <w:rPr>
                <w:rFonts w:eastAsia="Times New Roman" w:cs="Arial"/>
                <w:sz w:val="22"/>
                <w:lang w:eastAsia="fr-FR"/>
              </w:rPr>
            </w:pPr>
          </w:p>
          <w:p w:rsidR="00A124A7" w:rsidRPr="00A124A7" w:rsidRDefault="00A124A7" w:rsidP="0066302B">
            <w:pPr>
              <w:spacing w:line="240" w:lineRule="auto"/>
              <w:ind w:right="1026"/>
              <w:jc w:val="center"/>
              <w:rPr>
                <w:rFonts w:eastAsia="Times New Roman" w:cs="Arial"/>
                <w:sz w:val="22"/>
                <w:lang w:eastAsia="fr-FR"/>
              </w:rPr>
            </w:pPr>
            <w:r w:rsidRPr="00A124A7">
              <w:rPr>
                <w:rFonts w:eastAsia="Times New Roman" w:cs="Arial"/>
                <w:sz w:val="22"/>
                <w:lang w:eastAsia="fr-FR"/>
              </w:rPr>
              <w:t>Audience publique du 21 mai 2015</w:t>
            </w:r>
          </w:p>
          <w:p w:rsidR="00A124A7" w:rsidRPr="00A124A7" w:rsidRDefault="00A124A7" w:rsidP="0066302B">
            <w:pPr>
              <w:spacing w:line="240" w:lineRule="auto"/>
              <w:ind w:right="1026"/>
              <w:jc w:val="center"/>
              <w:rPr>
                <w:rFonts w:eastAsia="Times New Roman" w:cs="Arial"/>
                <w:sz w:val="22"/>
                <w:lang w:eastAsia="fr-FR"/>
              </w:rPr>
            </w:pPr>
          </w:p>
          <w:p w:rsidR="00A124A7" w:rsidRPr="00A124A7" w:rsidRDefault="00A124A7" w:rsidP="0066302B">
            <w:pPr>
              <w:spacing w:line="240" w:lineRule="auto"/>
              <w:ind w:right="1026"/>
              <w:jc w:val="center"/>
              <w:rPr>
                <w:rFonts w:eastAsia="Times New Roman" w:cs="Arial"/>
                <w:i/>
                <w:sz w:val="22"/>
                <w:lang w:eastAsia="fr-FR"/>
              </w:rPr>
            </w:pPr>
            <w:r w:rsidRPr="00A124A7">
              <w:rPr>
                <w:rFonts w:eastAsia="Times New Roman" w:cs="Arial"/>
                <w:sz w:val="22"/>
                <w:lang w:eastAsia="fr-FR"/>
              </w:rPr>
              <w:t>Prononcé du 11 juin 2015</w:t>
            </w:r>
          </w:p>
          <w:p w:rsidR="00C13095" w:rsidRPr="00C13095" w:rsidRDefault="00A941A7" w:rsidP="00C13095">
            <w:pPr>
              <w:spacing w:line="240" w:lineRule="auto"/>
              <w:ind w:firstLine="851"/>
              <w:rPr>
                <w:rFonts w:eastAsia="Times New Roman" w:cs="Arial"/>
                <w:sz w:val="22"/>
                <w:lang w:eastAsia="fr-FR"/>
              </w:rPr>
            </w:pPr>
          </w:p>
        </w:tc>
        <w:tc>
          <w:tcPr>
            <w:tcW w:w="5211" w:type="dxa"/>
          </w:tcPr>
          <w:p w:rsidR="00DC6746" w:rsidRDefault="00DC6746" w:rsidP="00DC6746">
            <w:pPr>
              <w:spacing w:before="120"/>
              <w:rPr>
                <w:sz w:val="22"/>
              </w:rPr>
            </w:pPr>
            <w:r>
              <w:rPr>
                <w:sz w:val="22"/>
              </w:rPr>
              <w:t>ARR</w:t>
            </w:r>
            <w:r>
              <w:rPr>
                <w:rFonts w:cs="Arial"/>
                <w:sz w:val="22"/>
              </w:rPr>
              <w:t>Ê</w:t>
            </w:r>
            <w:r>
              <w:rPr>
                <w:sz w:val="22"/>
              </w:rPr>
              <w:t>T</w:t>
            </w:r>
            <w:r>
              <w:rPr>
                <w:rFonts w:cs="Arial"/>
                <w:sz w:val="22"/>
              </w:rPr>
              <w:t>É</w:t>
            </w:r>
            <w:r>
              <w:rPr>
                <w:sz w:val="22"/>
              </w:rPr>
              <w:t xml:space="preserve"> CONSERVATOIRE DE D</w:t>
            </w:r>
            <w:r>
              <w:rPr>
                <w:rFonts w:cs="Arial"/>
                <w:sz w:val="22"/>
              </w:rPr>
              <w:t>É</w:t>
            </w:r>
            <w:r>
              <w:rPr>
                <w:sz w:val="22"/>
              </w:rPr>
              <w:t>BET</w:t>
            </w:r>
          </w:p>
          <w:p w:rsidR="00DC6746" w:rsidRDefault="00DC6746" w:rsidP="004779C2">
            <w:pPr>
              <w:rPr>
                <w:sz w:val="22"/>
              </w:rPr>
            </w:pPr>
          </w:p>
          <w:p w:rsidR="00900969" w:rsidRDefault="002A2A4B" w:rsidP="004779C2">
            <w:pPr>
              <w:rPr>
                <w:sz w:val="22"/>
              </w:rPr>
            </w:pPr>
            <w:r>
              <w:rPr>
                <w:sz w:val="22"/>
              </w:rPr>
              <w:t>INSTITUT FRANÇAIS D’AFRIQUE DU SUD</w:t>
            </w:r>
          </w:p>
          <w:p w:rsidR="004779C2" w:rsidRPr="007F76E8" w:rsidRDefault="00C170D5" w:rsidP="004779C2">
            <w:pPr>
              <w:rPr>
                <w:rFonts w:cs="Arial"/>
                <w:sz w:val="22"/>
              </w:rPr>
            </w:pPr>
            <w:r>
              <w:rPr>
                <w:sz w:val="22"/>
              </w:rPr>
              <w:t xml:space="preserve">(IFAS) </w:t>
            </w:r>
            <w:r w:rsidR="006D4012">
              <w:rPr>
                <w:sz w:val="22"/>
              </w:rPr>
              <w:t>A JOHANNESB</w:t>
            </w:r>
            <w:r w:rsidR="002A2A4B">
              <w:rPr>
                <w:sz w:val="22"/>
              </w:rPr>
              <w:t xml:space="preserve">URG </w:t>
            </w:r>
          </w:p>
          <w:p w:rsidR="007F76E8" w:rsidRPr="007F76E8" w:rsidRDefault="007F76E8" w:rsidP="004779C2">
            <w:pPr>
              <w:rPr>
                <w:rFonts w:cs="Arial"/>
                <w:sz w:val="22"/>
              </w:rPr>
            </w:pPr>
          </w:p>
          <w:p w:rsidR="007F76E8" w:rsidRPr="007F76E8" w:rsidRDefault="007F76E8" w:rsidP="004779C2">
            <w:pPr>
              <w:rPr>
                <w:rFonts w:cs="Arial"/>
                <w:sz w:val="22"/>
              </w:rPr>
            </w:pPr>
          </w:p>
          <w:p w:rsidR="004779C2" w:rsidRPr="007F76E8" w:rsidRDefault="00B64C77" w:rsidP="004779C2">
            <w:pPr>
              <w:rPr>
                <w:rFonts w:cs="Arial"/>
                <w:sz w:val="22"/>
              </w:rPr>
            </w:pPr>
            <w:r>
              <w:rPr>
                <w:rFonts w:cs="Arial"/>
                <w:sz w:val="22"/>
              </w:rPr>
              <w:t xml:space="preserve">Exercice 2010 </w:t>
            </w:r>
          </w:p>
          <w:p w:rsidR="004779C2" w:rsidRPr="007F76E8" w:rsidRDefault="004779C2" w:rsidP="004779C2">
            <w:pPr>
              <w:rPr>
                <w:rFonts w:cs="Arial"/>
                <w:sz w:val="22"/>
              </w:rPr>
            </w:pPr>
          </w:p>
          <w:p w:rsidR="004779C2" w:rsidRPr="007F76E8" w:rsidRDefault="002A2A4B" w:rsidP="004779C2">
            <w:pPr>
              <w:rPr>
                <w:rFonts w:cs="Arial"/>
                <w:sz w:val="22"/>
              </w:rPr>
            </w:pPr>
            <w:r>
              <w:rPr>
                <w:rFonts w:cs="Arial"/>
                <w:noProof/>
                <w:color w:val="000000"/>
                <w:sz w:val="22"/>
              </w:rPr>
              <w:t>Rapport n° 2015-</w:t>
            </w:r>
            <w:r w:rsidR="003D58FB">
              <w:rPr>
                <w:rFonts w:cs="Arial"/>
                <w:noProof/>
                <w:color w:val="000000"/>
                <w:sz w:val="22"/>
              </w:rPr>
              <w:t>1</w:t>
            </w:r>
            <w:r>
              <w:rPr>
                <w:rFonts w:cs="Arial"/>
                <w:noProof/>
                <w:color w:val="000000"/>
                <w:sz w:val="22"/>
              </w:rPr>
              <w:t>65</w:t>
            </w:r>
            <w:r w:rsidR="00E96FA2">
              <w:rPr>
                <w:rFonts w:cs="Arial"/>
                <w:noProof/>
                <w:color w:val="000000"/>
                <w:sz w:val="22"/>
              </w:rPr>
              <w:t>-0</w:t>
            </w:r>
          </w:p>
          <w:p w:rsidR="00C13095" w:rsidRPr="00C13095" w:rsidRDefault="00A941A7" w:rsidP="004779C2">
            <w:pPr>
              <w:spacing w:line="240" w:lineRule="auto"/>
              <w:jc w:val="both"/>
              <w:rPr>
                <w:rFonts w:eastAsia="Times New Roman" w:cs="Arial"/>
                <w:sz w:val="22"/>
                <w:lang w:eastAsia="fr-FR"/>
              </w:rPr>
            </w:pPr>
          </w:p>
        </w:tc>
      </w:tr>
    </w:tbl>
    <w:p w:rsidR="00C13095" w:rsidRPr="00C13095" w:rsidRDefault="00A941A7" w:rsidP="00C13095">
      <w:pPr>
        <w:spacing w:line="240" w:lineRule="auto"/>
        <w:ind w:left="5670"/>
        <w:rPr>
          <w:rFonts w:eastAsia="Times New Roman" w:cs="Arial"/>
          <w:sz w:val="22"/>
          <w:lang w:eastAsia="fr-FR"/>
        </w:rPr>
      </w:pPr>
    </w:p>
    <w:p w:rsidR="00C13095" w:rsidRPr="00BE6831" w:rsidRDefault="00F02B00" w:rsidP="006B3C58">
      <w:pPr>
        <w:tabs>
          <w:tab w:val="center" w:pos="9072"/>
        </w:tabs>
        <w:spacing w:after="120" w:line="240" w:lineRule="auto"/>
        <w:jc w:val="center"/>
        <w:rPr>
          <w:rFonts w:eastAsia="Times New Roman" w:cs="Arial"/>
          <w:sz w:val="24"/>
          <w:szCs w:val="24"/>
          <w:lang w:eastAsia="fr-FR"/>
        </w:rPr>
      </w:pPr>
      <w:r w:rsidRPr="00BE6831">
        <w:rPr>
          <w:rFonts w:eastAsia="Times New Roman" w:cs="Arial"/>
          <w:sz w:val="24"/>
          <w:szCs w:val="24"/>
          <w:lang w:eastAsia="fr-FR"/>
        </w:rPr>
        <w:t>République Française,</w:t>
      </w:r>
    </w:p>
    <w:p w:rsidR="00C13095" w:rsidRPr="00BE6831" w:rsidRDefault="00F02B00" w:rsidP="00C13095">
      <w:pPr>
        <w:tabs>
          <w:tab w:val="center" w:pos="9072"/>
        </w:tabs>
        <w:spacing w:line="240" w:lineRule="auto"/>
        <w:jc w:val="center"/>
        <w:rPr>
          <w:rFonts w:eastAsia="Times New Roman" w:cs="Arial"/>
          <w:sz w:val="24"/>
          <w:szCs w:val="24"/>
          <w:lang w:eastAsia="fr-FR"/>
        </w:rPr>
      </w:pPr>
      <w:r w:rsidRPr="00BE6831">
        <w:rPr>
          <w:rFonts w:eastAsia="Times New Roman" w:cs="Arial"/>
          <w:sz w:val="24"/>
          <w:szCs w:val="24"/>
          <w:lang w:eastAsia="fr-FR"/>
        </w:rPr>
        <w:t>Au nom du peuple français,</w:t>
      </w:r>
    </w:p>
    <w:p w:rsidR="00C13095" w:rsidRPr="00BE6831" w:rsidRDefault="00A941A7" w:rsidP="00C13095">
      <w:pPr>
        <w:tabs>
          <w:tab w:val="center" w:pos="9072"/>
        </w:tabs>
        <w:spacing w:line="240" w:lineRule="auto"/>
        <w:jc w:val="center"/>
        <w:rPr>
          <w:rFonts w:eastAsia="Times New Roman" w:cs="Arial"/>
          <w:sz w:val="24"/>
          <w:szCs w:val="24"/>
          <w:lang w:eastAsia="fr-FR"/>
        </w:rPr>
      </w:pPr>
    </w:p>
    <w:p w:rsidR="006B3C58" w:rsidRPr="00BE6831" w:rsidRDefault="006B3C58" w:rsidP="00C13095">
      <w:pPr>
        <w:tabs>
          <w:tab w:val="center" w:pos="9072"/>
        </w:tabs>
        <w:spacing w:line="240" w:lineRule="auto"/>
        <w:jc w:val="center"/>
        <w:rPr>
          <w:rFonts w:eastAsia="Times New Roman" w:cs="Arial"/>
          <w:sz w:val="24"/>
          <w:szCs w:val="24"/>
          <w:lang w:eastAsia="fr-FR"/>
        </w:rPr>
      </w:pPr>
    </w:p>
    <w:p w:rsidR="00C13095" w:rsidRPr="00BE6831" w:rsidRDefault="00F02B00" w:rsidP="00C13095">
      <w:pPr>
        <w:tabs>
          <w:tab w:val="center" w:pos="9072"/>
        </w:tabs>
        <w:spacing w:line="240" w:lineRule="auto"/>
        <w:jc w:val="center"/>
        <w:rPr>
          <w:rFonts w:eastAsia="Times New Roman" w:cs="Arial"/>
          <w:sz w:val="24"/>
          <w:szCs w:val="24"/>
          <w:lang w:eastAsia="fr-FR"/>
        </w:rPr>
      </w:pPr>
      <w:r w:rsidRPr="00BE6831">
        <w:rPr>
          <w:rFonts w:eastAsia="Times New Roman" w:cs="Arial"/>
          <w:sz w:val="24"/>
          <w:szCs w:val="24"/>
          <w:lang w:eastAsia="fr-FR"/>
        </w:rPr>
        <w:t>La Cour,</w:t>
      </w:r>
    </w:p>
    <w:p w:rsidR="007F76E8" w:rsidRDefault="007F76E8" w:rsidP="00E96FA2">
      <w:pPr>
        <w:spacing w:before="120" w:after="80" w:line="240" w:lineRule="auto"/>
      </w:pPr>
    </w:p>
    <w:p w:rsidR="00AA2B1F" w:rsidRDefault="00AA2B1F" w:rsidP="00DD1915">
      <w:pPr>
        <w:spacing w:before="120" w:after="240" w:line="240" w:lineRule="auto"/>
        <w:jc w:val="both"/>
        <w:rPr>
          <w:sz w:val="22"/>
        </w:rPr>
      </w:pPr>
    </w:p>
    <w:p w:rsidR="00C708CF" w:rsidRDefault="003D58FB" w:rsidP="00DD1915">
      <w:pPr>
        <w:spacing w:before="120" w:after="240" w:line="240" w:lineRule="auto"/>
        <w:jc w:val="both"/>
        <w:rPr>
          <w:sz w:val="22"/>
        </w:rPr>
      </w:pPr>
      <w:r w:rsidRPr="00365ED7">
        <w:rPr>
          <w:sz w:val="22"/>
        </w:rPr>
        <w:t xml:space="preserve">Vu le réquisitoire </w:t>
      </w:r>
      <w:r w:rsidR="00B64C77">
        <w:rPr>
          <w:sz w:val="22"/>
        </w:rPr>
        <w:t>à fin d’instruction de charges n° 2014</w:t>
      </w:r>
      <w:r w:rsidR="00365ED7" w:rsidRPr="00365ED7">
        <w:rPr>
          <w:sz w:val="22"/>
        </w:rPr>
        <w:t>-</w:t>
      </w:r>
      <w:r w:rsidR="002A2A4B">
        <w:rPr>
          <w:sz w:val="22"/>
        </w:rPr>
        <w:t>114</w:t>
      </w:r>
      <w:r w:rsidR="00365ED7" w:rsidRPr="00365ED7">
        <w:rPr>
          <w:sz w:val="22"/>
        </w:rPr>
        <w:t xml:space="preserve"> </w:t>
      </w:r>
      <w:r w:rsidR="00B64C77">
        <w:rPr>
          <w:sz w:val="22"/>
        </w:rPr>
        <w:t xml:space="preserve">RQ-DB </w:t>
      </w:r>
      <w:r w:rsidR="00365ED7">
        <w:rPr>
          <w:sz w:val="22"/>
        </w:rPr>
        <w:t xml:space="preserve">du </w:t>
      </w:r>
      <w:r w:rsidR="002A2A4B">
        <w:rPr>
          <w:sz w:val="22"/>
        </w:rPr>
        <w:t xml:space="preserve">17 octobre </w:t>
      </w:r>
      <w:r w:rsidR="00B64C77">
        <w:rPr>
          <w:sz w:val="22"/>
        </w:rPr>
        <w:t>2014</w:t>
      </w:r>
      <w:r w:rsidR="00365ED7">
        <w:rPr>
          <w:sz w:val="22"/>
        </w:rPr>
        <w:t> ;</w:t>
      </w:r>
    </w:p>
    <w:p w:rsidR="00365ED7" w:rsidRPr="00BE6831" w:rsidRDefault="00365ED7" w:rsidP="00DD1915">
      <w:pPr>
        <w:spacing w:before="120" w:after="240" w:line="240" w:lineRule="auto"/>
        <w:jc w:val="both"/>
        <w:rPr>
          <w:rFonts w:cs="Arial"/>
          <w:sz w:val="22"/>
        </w:rPr>
      </w:pPr>
      <w:r>
        <w:rPr>
          <w:sz w:val="22"/>
        </w:rPr>
        <w:t xml:space="preserve">Vu </w:t>
      </w:r>
      <w:r w:rsidR="00B64C77">
        <w:rPr>
          <w:sz w:val="22"/>
        </w:rPr>
        <w:t>la notification dudit réquisitoire</w:t>
      </w:r>
      <w:r w:rsidR="002A2A4B">
        <w:rPr>
          <w:sz w:val="22"/>
        </w:rPr>
        <w:t xml:space="preserve"> le 3 février 2015</w:t>
      </w:r>
      <w:r w:rsidR="00B64C77">
        <w:rPr>
          <w:sz w:val="22"/>
        </w:rPr>
        <w:t xml:space="preserve"> à </w:t>
      </w:r>
      <w:r w:rsidR="00864EA4">
        <w:rPr>
          <w:sz w:val="22"/>
        </w:rPr>
        <w:t>M.</w:t>
      </w:r>
      <w:r w:rsidR="00845E12">
        <w:rPr>
          <w:sz w:val="22"/>
        </w:rPr>
        <w:t> </w:t>
      </w:r>
      <w:r w:rsidR="00864EA4">
        <w:rPr>
          <w:sz w:val="22"/>
        </w:rPr>
        <w:t>X</w:t>
      </w:r>
      <w:r w:rsidR="00B64C77">
        <w:rPr>
          <w:sz w:val="22"/>
        </w:rPr>
        <w:t xml:space="preserve"> </w:t>
      </w:r>
      <w:r w:rsidR="00AA2B1F">
        <w:rPr>
          <w:sz w:val="22"/>
        </w:rPr>
        <w:t>et</w:t>
      </w:r>
      <w:r w:rsidR="00B64C77" w:rsidRPr="00B64C77">
        <w:rPr>
          <w:color w:val="FF0000"/>
          <w:sz w:val="22"/>
        </w:rPr>
        <w:t xml:space="preserve"> </w:t>
      </w:r>
      <w:r w:rsidR="002A2A4B" w:rsidRPr="002A2A4B">
        <w:rPr>
          <w:sz w:val="22"/>
        </w:rPr>
        <w:t xml:space="preserve">au directeur de l’institut français d’Afrique du Sud à </w:t>
      </w:r>
      <w:r w:rsidR="006D4012" w:rsidRPr="002A2A4B">
        <w:rPr>
          <w:sz w:val="22"/>
        </w:rPr>
        <w:t>Johannesburg</w:t>
      </w:r>
      <w:r w:rsidR="00845E12">
        <w:rPr>
          <w:sz w:val="22"/>
        </w:rPr>
        <w:t> </w:t>
      </w:r>
      <w:r w:rsidRPr="00BE6831">
        <w:rPr>
          <w:rFonts w:cs="Arial"/>
          <w:sz w:val="22"/>
        </w:rPr>
        <w:t>;</w:t>
      </w:r>
    </w:p>
    <w:p w:rsidR="00365ED7" w:rsidRDefault="007F76E8" w:rsidP="00DD1915">
      <w:pPr>
        <w:spacing w:before="120" w:after="240" w:line="240" w:lineRule="auto"/>
        <w:jc w:val="both"/>
        <w:rPr>
          <w:rFonts w:cs="Arial"/>
          <w:sz w:val="22"/>
        </w:rPr>
      </w:pPr>
      <w:r w:rsidRPr="00BE6831">
        <w:rPr>
          <w:rFonts w:cs="Arial"/>
          <w:sz w:val="22"/>
        </w:rPr>
        <w:t xml:space="preserve">Vu </w:t>
      </w:r>
      <w:r w:rsidR="00B64C77">
        <w:rPr>
          <w:rFonts w:cs="Arial"/>
          <w:sz w:val="22"/>
        </w:rPr>
        <w:t>l’arrêté conservatoire de débet en date du</w:t>
      </w:r>
      <w:r w:rsidR="00C065C7">
        <w:rPr>
          <w:rFonts w:cs="Arial"/>
          <w:sz w:val="22"/>
        </w:rPr>
        <w:t xml:space="preserve"> </w:t>
      </w:r>
      <w:r w:rsidR="002A2A4B">
        <w:rPr>
          <w:rFonts w:cs="Arial"/>
          <w:sz w:val="22"/>
        </w:rPr>
        <w:t>23 juillet 2013</w:t>
      </w:r>
      <w:r w:rsidR="00B64C77">
        <w:rPr>
          <w:rFonts w:cs="Arial"/>
          <w:sz w:val="22"/>
        </w:rPr>
        <w:t xml:space="preserve">, transmis à </w:t>
      </w:r>
      <w:r w:rsidR="006D4012">
        <w:rPr>
          <w:rFonts w:cs="Arial"/>
          <w:sz w:val="22"/>
        </w:rPr>
        <w:t>la Cour par lequel le trésorier-</w:t>
      </w:r>
      <w:r w:rsidR="00B64C77">
        <w:rPr>
          <w:rFonts w:cs="Arial"/>
          <w:sz w:val="22"/>
        </w:rPr>
        <w:t>payeur</w:t>
      </w:r>
      <w:r w:rsidR="00C065C7">
        <w:rPr>
          <w:rFonts w:cs="Arial"/>
          <w:sz w:val="22"/>
        </w:rPr>
        <w:t xml:space="preserve"> général pour l’étranger a mis en jeu la responsabilité de </w:t>
      </w:r>
      <w:r w:rsidR="00864EA4">
        <w:rPr>
          <w:rFonts w:cs="Arial"/>
          <w:sz w:val="22"/>
        </w:rPr>
        <w:t>M. X</w:t>
      </w:r>
      <w:r w:rsidR="006D4012">
        <w:rPr>
          <w:rFonts w:cs="Arial"/>
          <w:sz w:val="22"/>
        </w:rPr>
        <w:t xml:space="preserve"> en sa qualité d’agent </w:t>
      </w:r>
      <w:r w:rsidR="00C065C7">
        <w:rPr>
          <w:rFonts w:cs="Arial"/>
          <w:sz w:val="22"/>
        </w:rPr>
        <w:t>comptable</w:t>
      </w:r>
      <w:r w:rsidR="00752576">
        <w:rPr>
          <w:rFonts w:cs="Arial"/>
          <w:sz w:val="22"/>
        </w:rPr>
        <w:t xml:space="preserve"> de</w:t>
      </w:r>
      <w:r w:rsidR="00C065C7">
        <w:rPr>
          <w:rFonts w:cs="Arial"/>
          <w:sz w:val="22"/>
        </w:rPr>
        <w:t xml:space="preserve"> </w:t>
      </w:r>
      <w:r w:rsidR="002A2A4B" w:rsidRPr="002A2A4B">
        <w:rPr>
          <w:sz w:val="22"/>
        </w:rPr>
        <w:t xml:space="preserve">l’institut français d’Afrique du </w:t>
      </w:r>
      <w:r w:rsidR="006D4012">
        <w:rPr>
          <w:sz w:val="22"/>
        </w:rPr>
        <w:t>Sud à Johannesb</w:t>
      </w:r>
      <w:r w:rsidR="002A2A4B" w:rsidRPr="002A2A4B">
        <w:rPr>
          <w:sz w:val="22"/>
        </w:rPr>
        <w:t>urg</w:t>
      </w:r>
      <w:r w:rsidR="002A2A4B">
        <w:rPr>
          <w:sz w:val="22"/>
        </w:rPr>
        <w:t xml:space="preserve"> </w:t>
      </w:r>
      <w:r w:rsidR="00C065C7">
        <w:rPr>
          <w:rFonts w:cs="Arial"/>
          <w:sz w:val="22"/>
        </w:rPr>
        <w:t>au titre de l’exercice 2010 ;</w:t>
      </w:r>
    </w:p>
    <w:p w:rsidR="007F76E8" w:rsidRPr="00BE6831" w:rsidRDefault="007F76E8" w:rsidP="00DD1915">
      <w:pPr>
        <w:spacing w:before="120" w:after="240" w:line="240" w:lineRule="auto"/>
        <w:jc w:val="both"/>
        <w:rPr>
          <w:rFonts w:cs="Arial"/>
          <w:sz w:val="22"/>
        </w:rPr>
      </w:pPr>
      <w:r w:rsidRPr="00BE6831">
        <w:rPr>
          <w:rFonts w:cs="Arial"/>
          <w:sz w:val="22"/>
        </w:rPr>
        <w:t xml:space="preserve">Vu </w:t>
      </w:r>
      <w:r w:rsidR="00C065C7">
        <w:rPr>
          <w:rFonts w:cs="Arial"/>
          <w:sz w:val="22"/>
        </w:rPr>
        <w:t xml:space="preserve">les bordereaux d’observations et </w:t>
      </w:r>
      <w:r w:rsidR="006D4012">
        <w:rPr>
          <w:rFonts w:cs="Arial"/>
          <w:sz w:val="22"/>
        </w:rPr>
        <w:t>ceux d’injonctions du trésorier-</w:t>
      </w:r>
      <w:r w:rsidR="00C065C7">
        <w:rPr>
          <w:rFonts w:cs="Arial"/>
          <w:sz w:val="22"/>
        </w:rPr>
        <w:t>payeur général pour l’étranger chargé de l’apurement des comptes des établissements de diffusion culturelle à l’étranger, ensemble les réponses des comptables et les pièces justificatives visées au réquisitoire</w:t>
      </w:r>
      <w:r w:rsidRPr="00BE6831">
        <w:rPr>
          <w:rFonts w:cs="Arial"/>
          <w:sz w:val="22"/>
        </w:rPr>
        <w:t> </w:t>
      </w:r>
      <w:r w:rsidR="002A2A4B">
        <w:rPr>
          <w:rFonts w:cs="Arial"/>
          <w:sz w:val="22"/>
        </w:rPr>
        <w:t>du 17 octobre</w:t>
      </w:r>
      <w:r w:rsidR="00C065C7">
        <w:rPr>
          <w:rFonts w:cs="Arial"/>
          <w:sz w:val="22"/>
        </w:rPr>
        <w:t xml:space="preserve"> 2014</w:t>
      </w:r>
      <w:r w:rsidR="00845E12">
        <w:rPr>
          <w:rFonts w:cs="Arial"/>
          <w:sz w:val="22"/>
        </w:rPr>
        <w:t> ;</w:t>
      </w:r>
    </w:p>
    <w:p w:rsidR="007F76E8" w:rsidRDefault="007F76E8" w:rsidP="00DD1915">
      <w:pPr>
        <w:spacing w:before="120" w:after="240" w:line="240" w:lineRule="auto"/>
        <w:jc w:val="both"/>
        <w:rPr>
          <w:rFonts w:cs="Arial"/>
          <w:sz w:val="22"/>
        </w:rPr>
      </w:pPr>
      <w:r w:rsidRPr="00BE6831">
        <w:rPr>
          <w:rFonts w:cs="Arial"/>
          <w:sz w:val="22"/>
        </w:rPr>
        <w:t>Vu l’article 60 de la loi de finances n°</w:t>
      </w:r>
      <w:r w:rsidR="00411920">
        <w:rPr>
          <w:rFonts w:cs="Arial"/>
          <w:sz w:val="22"/>
        </w:rPr>
        <w:t> </w:t>
      </w:r>
      <w:r w:rsidRPr="00BE6831">
        <w:rPr>
          <w:rFonts w:cs="Arial"/>
          <w:sz w:val="22"/>
        </w:rPr>
        <w:t>63-156 du 23 février 1963 modifiée</w:t>
      </w:r>
      <w:r w:rsidR="00845E12">
        <w:rPr>
          <w:rFonts w:cs="Arial"/>
          <w:sz w:val="22"/>
        </w:rPr>
        <w:t> ;</w:t>
      </w:r>
    </w:p>
    <w:p w:rsidR="00752576" w:rsidRPr="00BE6831" w:rsidRDefault="00752576" w:rsidP="00DD1915">
      <w:pPr>
        <w:spacing w:before="120" w:after="240" w:line="240" w:lineRule="auto"/>
        <w:jc w:val="both"/>
        <w:rPr>
          <w:rFonts w:cs="Arial"/>
          <w:sz w:val="22"/>
        </w:rPr>
      </w:pPr>
      <w:r>
        <w:rPr>
          <w:rFonts w:cs="Arial"/>
          <w:sz w:val="22"/>
        </w:rPr>
        <w:t>Vu le code des juridictions financières et notamment ses articles L.</w:t>
      </w:r>
      <w:r w:rsidR="00845E12">
        <w:rPr>
          <w:rFonts w:cs="Arial"/>
          <w:sz w:val="22"/>
        </w:rPr>
        <w:t> </w:t>
      </w:r>
      <w:r>
        <w:rPr>
          <w:rFonts w:cs="Arial"/>
          <w:sz w:val="22"/>
        </w:rPr>
        <w:t>131-5 et D.</w:t>
      </w:r>
      <w:r w:rsidR="00845E12">
        <w:rPr>
          <w:rFonts w:cs="Arial"/>
          <w:sz w:val="22"/>
        </w:rPr>
        <w:t> </w:t>
      </w:r>
      <w:r>
        <w:rPr>
          <w:rFonts w:cs="Arial"/>
          <w:sz w:val="22"/>
        </w:rPr>
        <w:t>131-29 à D.</w:t>
      </w:r>
      <w:r w:rsidR="00845E12">
        <w:rPr>
          <w:rFonts w:cs="Arial"/>
          <w:sz w:val="22"/>
        </w:rPr>
        <w:t> </w:t>
      </w:r>
      <w:r>
        <w:rPr>
          <w:rFonts w:cs="Arial"/>
          <w:sz w:val="22"/>
        </w:rPr>
        <w:t>131-32 ;</w:t>
      </w:r>
    </w:p>
    <w:p w:rsidR="007F76E8" w:rsidRDefault="007F76E8" w:rsidP="00DD1915">
      <w:pPr>
        <w:spacing w:before="120" w:after="240" w:line="240" w:lineRule="auto"/>
        <w:jc w:val="both"/>
        <w:rPr>
          <w:rFonts w:cs="Arial"/>
          <w:sz w:val="22"/>
        </w:rPr>
      </w:pPr>
      <w:r w:rsidRPr="00BE6831">
        <w:rPr>
          <w:rFonts w:cs="Arial"/>
          <w:sz w:val="22"/>
        </w:rPr>
        <w:t>Vu le décret n°</w:t>
      </w:r>
      <w:r w:rsidR="00411920">
        <w:rPr>
          <w:rFonts w:cs="Arial"/>
          <w:sz w:val="22"/>
        </w:rPr>
        <w:t> </w:t>
      </w:r>
      <w:r w:rsidRPr="00BE6831">
        <w:rPr>
          <w:rFonts w:cs="Arial"/>
          <w:sz w:val="22"/>
        </w:rPr>
        <w:t>62-1587 du 29 décembre 1962 modifié portant règlement général sur la comptabilité publique, en vigueur au moment des faits ;</w:t>
      </w:r>
    </w:p>
    <w:p w:rsidR="00C065C7" w:rsidRDefault="00C065C7" w:rsidP="00DD1915">
      <w:pPr>
        <w:spacing w:before="120" w:after="240" w:line="240" w:lineRule="auto"/>
        <w:jc w:val="both"/>
        <w:rPr>
          <w:rFonts w:cs="Arial"/>
          <w:sz w:val="22"/>
        </w:rPr>
      </w:pPr>
      <w:r>
        <w:rPr>
          <w:rFonts w:cs="Arial"/>
          <w:sz w:val="22"/>
        </w:rPr>
        <w:t>Vu le décret n° 2008-228 du 5 mars 2008 relatif à la constatation et à l’apurement des débets des comptables publics et assimilés ;</w:t>
      </w:r>
    </w:p>
    <w:p w:rsidR="00C065C7" w:rsidRDefault="00C065C7" w:rsidP="00DD1915">
      <w:pPr>
        <w:spacing w:before="120" w:after="240" w:line="240" w:lineRule="auto"/>
        <w:jc w:val="both"/>
        <w:rPr>
          <w:rFonts w:cs="Arial"/>
          <w:sz w:val="22"/>
        </w:rPr>
      </w:pPr>
      <w:r>
        <w:rPr>
          <w:rFonts w:cs="Arial"/>
          <w:sz w:val="22"/>
        </w:rPr>
        <w:t>Vu les lois et règlements applicables aux établissements de diffusion culturelle à l’étranger dotés de l’autonomie financière et notamment le décret modifié n°</w:t>
      </w:r>
      <w:r w:rsidR="00845E12">
        <w:rPr>
          <w:rFonts w:cs="Arial"/>
          <w:sz w:val="22"/>
        </w:rPr>
        <w:t> </w:t>
      </w:r>
      <w:r>
        <w:rPr>
          <w:rFonts w:cs="Arial"/>
          <w:sz w:val="22"/>
        </w:rPr>
        <w:t>76-832 du 24 août 1976 relatif à l’organisation financière de certains établissements ou organismes de diffusion culturelle dépendant du ministère des affaires étrangères ou du ministère de la coopération modifié, ainsi que ses textes d’application ;</w:t>
      </w:r>
    </w:p>
    <w:p w:rsidR="00C065C7" w:rsidRPr="00BE6831" w:rsidRDefault="00C065C7" w:rsidP="00DD1915">
      <w:pPr>
        <w:spacing w:before="120" w:after="240" w:line="240" w:lineRule="auto"/>
        <w:jc w:val="both"/>
        <w:rPr>
          <w:rFonts w:cs="Arial"/>
          <w:sz w:val="22"/>
        </w:rPr>
      </w:pPr>
      <w:r>
        <w:rPr>
          <w:rFonts w:cs="Arial"/>
          <w:sz w:val="22"/>
        </w:rPr>
        <w:lastRenderedPageBreak/>
        <w:t>Vu l’instruction M 9-7 sur l’organisation financière et comptable</w:t>
      </w:r>
      <w:r w:rsidR="00055973">
        <w:rPr>
          <w:rFonts w:cs="Arial"/>
          <w:sz w:val="22"/>
        </w:rPr>
        <w:t xml:space="preserve"> de</w:t>
      </w:r>
      <w:r w:rsidR="00055973" w:rsidRPr="00055973">
        <w:rPr>
          <w:rFonts w:cs="Arial"/>
          <w:sz w:val="22"/>
        </w:rPr>
        <w:t>s établissements ou organismes de diffusion culturelle</w:t>
      </w:r>
      <w:r w:rsidR="00055973">
        <w:rPr>
          <w:rFonts w:cs="Arial"/>
          <w:sz w:val="22"/>
        </w:rPr>
        <w:t xml:space="preserve"> à l’étranger ;</w:t>
      </w:r>
    </w:p>
    <w:p w:rsidR="007F76E8" w:rsidRPr="00BE6831" w:rsidRDefault="007F76E8" w:rsidP="00DD1915">
      <w:pPr>
        <w:spacing w:before="120" w:after="240" w:line="240" w:lineRule="auto"/>
        <w:jc w:val="both"/>
        <w:rPr>
          <w:rFonts w:cs="Arial"/>
          <w:sz w:val="22"/>
        </w:rPr>
      </w:pPr>
      <w:r w:rsidRPr="00BE6831">
        <w:rPr>
          <w:rFonts w:cs="Arial"/>
          <w:sz w:val="22"/>
        </w:rPr>
        <w:t xml:space="preserve">Vu le rapport de M. </w:t>
      </w:r>
      <w:r w:rsidR="003D58FB">
        <w:rPr>
          <w:rFonts w:cs="Arial"/>
          <w:sz w:val="22"/>
        </w:rPr>
        <w:t>Yves Rolland</w:t>
      </w:r>
      <w:r w:rsidRPr="00BE6831">
        <w:rPr>
          <w:rFonts w:cs="Arial"/>
          <w:sz w:val="22"/>
        </w:rPr>
        <w:t>, conseiller maître ;</w:t>
      </w:r>
    </w:p>
    <w:p w:rsidR="007F76E8" w:rsidRPr="00BE6831" w:rsidRDefault="007F76E8" w:rsidP="00DD1915">
      <w:pPr>
        <w:spacing w:before="120" w:after="240" w:line="240" w:lineRule="auto"/>
        <w:jc w:val="both"/>
        <w:rPr>
          <w:rFonts w:cs="Arial"/>
          <w:sz w:val="22"/>
        </w:rPr>
      </w:pPr>
      <w:r w:rsidRPr="00BE6831">
        <w:rPr>
          <w:rFonts w:cs="Arial"/>
          <w:sz w:val="22"/>
        </w:rPr>
        <w:t>V</w:t>
      </w:r>
      <w:r w:rsidR="00CA2B9B">
        <w:rPr>
          <w:rFonts w:cs="Arial"/>
          <w:sz w:val="22"/>
        </w:rPr>
        <w:t>u</w:t>
      </w:r>
      <w:r w:rsidRPr="00BE6831">
        <w:rPr>
          <w:rFonts w:cs="Arial"/>
          <w:sz w:val="22"/>
        </w:rPr>
        <w:t xml:space="preserve"> les conclusions du Procureur général </w:t>
      </w:r>
      <w:r w:rsidR="008F0F94">
        <w:rPr>
          <w:rFonts w:cs="Arial"/>
          <w:sz w:val="22"/>
        </w:rPr>
        <w:t>n°</w:t>
      </w:r>
      <w:r w:rsidR="00E96FA2">
        <w:rPr>
          <w:rFonts w:cs="Arial"/>
          <w:sz w:val="22"/>
        </w:rPr>
        <w:t xml:space="preserve"> </w:t>
      </w:r>
      <w:r w:rsidR="002A2A4B">
        <w:rPr>
          <w:rFonts w:cs="Arial"/>
          <w:sz w:val="22"/>
        </w:rPr>
        <w:t>249</w:t>
      </w:r>
      <w:r w:rsidR="003D58FB">
        <w:rPr>
          <w:rFonts w:cs="Arial"/>
          <w:sz w:val="22"/>
        </w:rPr>
        <w:t xml:space="preserve"> du </w:t>
      </w:r>
      <w:r w:rsidR="002A2A4B">
        <w:rPr>
          <w:rFonts w:cs="Arial"/>
          <w:sz w:val="22"/>
        </w:rPr>
        <w:t>13</w:t>
      </w:r>
      <w:r w:rsidR="003D58FB">
        <w:rPr>
          <w:rFonts w:cs="Arial"/>
          <w:sz w:val="22"/>
        </w:rPr>
        <w:t xml:space="preserve"> avril</w:t>
      </w:r>
      <w:r w:rsidR="008F0F94">
        <w:rPr>
          <w:rFonts w:cs="Arial"/>
          <w:sz w:val="22"/>
        </w:rPr>
        <w:t xml:space="preserve"> 2015</w:t>
      </w:r>
      <w:r w:rsidR="00845E12">
        <w:rPr>
          <w:rFonts w:cs="Arial"/>
          <w:sz w:val="22"/>
        </w:rPr>
        <w:t> ;</w:t>
      </w:r>
    </w:p>
    <w:p w:rsidR="007F76E8" w:rsidRPr="00BE6831" w:rsidRDefault="007F76E8" w:rsidP="00DD1915">
      <w:pPr>
        <w:spacing w:before="120" w:after="240" w:line="240" w:lineRule="auto"/>
        <w:jc w:val="both"/>
        <w:rPr>
          <w:rFonts w:cs="Arial"/>
          <w:sz w:val="22"/>
        </w:rPr>
      </w:pPr>
      <w:r w:rsidRPr="00BE6831">
        <w:rPr>
          <w:rFonts w:cs="Arial"/>
          <w:sz w:val="22"/>
        </w:rPr>
        <w:t>Entendu, lors de l’audience publique de ce jour, M.</w:t>
      </w:r>
      <w:r w:rsidR="00411920">
        <w:rPr>
          <w:rFonts w:cs="Arial"/>
          <w:sz w:val="22"/>
        </w:rPr>
        <w:t> </w:t>
      </w:r>
      <w:r w:rsidR="003D58FB">
        <w:rPr>
          <w:rFonts w:cs="Arial"/>
          <w:sz w:val="22"/>
        </w:rPr>
        <w:t>Yves Rolland</w:t>
      </w:r>
      <w:r w:rsidRPr="00BE6831">
        <w:rPr>
          <w:rFonts w:cs="Arial"/>
          <w:sz w:val="22"/>
        </w:rPr>
        <w:t xml:space="preserve">, </w:t>
      </w:r>
      <w:r w:rsidR="0039517C">
        <w:rPr>
          <w:rFonts w:cs="Arial"/>
          <w:sz w:val="22"/>
        </w:rPr>
        <w:t xml:space="preserve">conseiller maître, </w:t>
      </w:r>
      <w:r w:rsidRPr="00BE6831">
        <w:rPr>
          <w:rFonts w:cs="Arial"/>
          <w:sz w:val="22"/>
        </w:rPr>
        <w:t xml:space="preserve">en son rapport, </w:t>
      </w:r>
      <w:r w:rsidRPr="0039517C">
        <w:rPr>
          <w:rFonts w:cs="Arial"/>
          <w:sz w:val="22"/>
        </w:rPr>
        <w:t xml:space="preserve">M. </w:t>
      </w:r>
      <w:r w:rsidR="002A2A4B">
        <w:rPr>
          <w:rFonts w:cs="Arial"/>
          <w:sz w:val="22"/>
        </w:rPr>
        <w:t>Christian Michaut</w:t>
      </w:r>
      <w:r w:rsidRPr="0039517C">
        <w:rPr>
          <w:rFonts w:cs="Arial"/>
          <w:sz w:val="22"/>
        </w:rPr>
        <w:t>, avocat général, en les conclusions du ministère public ;</w:t>
      </w:r>
    </w:p>
    <w:p w:rsidR="007F76E8" w:rsidRDefault="007F76E8" w:rsidP="00DD1915">
      <w:pPr>
        <w:spacing w:before="120" w:after="240" w:line="240" w:lineRule="auto"/>
        <w:jc w:val="both"/>
        <w:rPr>
          <w:rFonts w:cs="Arial"/>
          <w:sz w:val="22"/>
        </w:rPr>
      </w:pPr>
      <w:r w:rsidRPr="0039517C">
        <w:rPr>
          <w:rFonts w:cs="Arial"/>
          <w:sz w:val="22"/>
        </w:rPr>
        <w:t xml:space="preserve">Entendu, en délibéré, M. </w:t>
      </w:r>
      <w:r w:rsidR="00DE32E4">
        <w:rPr>
          <w:rFonts w:cs="Arial"/>
          <w:sz w:val="22"/>
        </w:rPr>
        <w:t>Jean-Pierre Lafaure</w:t>
      </w:r>
      <w:r w:rsidR="008F0F94" w:rsidRPr="0039517C">
        <w:rPr>
          <w:rFonts w:cs="Arial"/>
          <w:sz w:val="22"/>
        </w:rPr>
        <w:t>, conseiller</w:t>
      </w:r>
      <w:r w:rsidR="00C170D5">
        <w:rPr>
          <w:rFonts w:cs="Arial"/>
          <w:sz w:val="22"/>
        </w:rPr>
        <w:t xml:space="preserve"> </w:t>
      </w:r>
      <w:r w:rsidR="008F0F94" w:rsidRPr="0039517C">
        <w:rPr>
          <w:rFonts w:cs="Arial"/>
          <w:sz w:val="22"/>
        </w:rPr>
        <w:t>maître</w:t>
      </w:r>
      <w:r w:rsidRPr="0039517C">
        <w:rPr>
          <w:rFonts w:cs="Arial"/>
          <w:sz w:val="22"/>
        </w:rPr>
        <w:t>, en ses observations ;</w:t>
      </w:r>
    </w:p>
    <w:p w:rsidR="00DE32E4" w:rsidRPr="00DE32E4" w:rsidRDefault="00DE32E4" w:rsidP="00DD1915">
      <w:pPr>
        <w:spacing w:before="360" w:after="240"/>
        <w:jc w:val="both"/>
        <w:rPr>
          <w:rFonts w:cs="Arial"/>
          <w:b/>
          <w:i/>
          <w:sz w:val="22"/>
        </w:rPr>
      </w:pPr>
      <w:r w:rsidRPr="00DE32E4">
        <w:rPr>
          <w:rFonts w:cs="Arial"/>
          <w:b/>
          <w:i/>
          <w:sz w:val="22"/>
        </w:rPr>
        <w:t>Sur l’injonction n°1</w:t>
      </w:r>
    </w:p>
    <w:p w:rsidR="00DE32E4" w:rsidRDefault="00DE32E4" w:rsidP="00DD1915">
      <w:pPr>
        <w:spacing w:before="120" w:after="240" w:line="240" w:lineRule="auto"/>
        <w:jc w:val="both"/>
        <w:rPr>
          <w:rFonts w:cs="Arial"/>
          <w:sz w:val="22"/>
        </w:rPr>
      </w:pPr>
      <w:r>
        <w:rPr>
          <w:rFonts w:cs="Arial"/>
          <w:sz w:val="22"/>
        </w:rPr>
        <w:t xml:space="preserve">Attendu qu’il est fait grief à </w:t>
      </w:r>
      <w:r w:rsidR="00864EA4">
        <w:rPr>
          <w:rFonts w:cs="Arial"/>
          <w:sz w:val="22"/>
        </w:rPr>
        <w:t>M.</w:t>
      </w:r>
      <w:r w:rsidR="00845E12">
        <w:rPr>
          <w:rFonts w:cs="Arial"/>
          <w:sz w:val="22"/>
        </w:rPr>
        <w:t> </w:t>
      </w:r>
      <w:r w:rsidR="00864EA4">
        <w:rPr>
          <w:rFonts w:cs="Arial"/>
          <w:sz w:val="22"/>
        </w:rPr>
        <w:t>X</w:t>
      </w:r>
      <w:r>
        <w:rPr>
          <w:rFonts w:cs="Arial"/>
          <w:sz w:val="22"/>
        </w:rPr>
        <w:t xml:space="preserve"> d’avoir procédé </w:t>
      </w:r>
      <w:r w:rsidR="00DD0F8F">
        <w:rPr>
          <w:rFonts w:cs="Arial"/>
          <w:sz w:val="22"/>
        </w:rPr>
        <w:t xml:space="preserve">sur l’exercice 2010 </w:t>
      </w:r>
      <w:r>
        <w:rPr>
          <w:rFonts w:cs="Arial"/>
          <w:sz w:val="22"/>
        </w:rPr>
        <w:t xml:space="preserve">au paiement d’une facture sans mandatement pour un montant de </w:t>
      </w:r>
      <w:r w:rsidR="00ED514E">
        <w:rPr>
          <w:rFonts w:cs="Arial"/>
          <w:sz w:val="22"/>
        </w:rPr>
        <w:t>19 </w:t>
      </w:r>
      <w:r w:rsidR="00E96FA2">
        <w:rPr>
          <w:rFonts w:cs="Arial"/>
          <w:sz w:val="22"/>
        </w:rPr>
        <w:t>230,77</w:t>
      </w:r>
      <w:r w:rsidR="00845E12">
        <w:rPr>
          <w:rFonts w:cs="Arial"/>
          <w:sz w:val="22"/>
        </w:rPr>
        <w:t> </w:t>
      </w:r>
      <w:r w:rsidR="00E96FA2">
        <w:rPr>
          <w:rFonts w:cs="Arial"/>
          <w:sz w:val="22"/>
        </w:rPr>
        <w:t>rands</w:t>
      </w:r>
      <w:r>
        <w:rPr>
          <w:rFonts w:cs="Arial"/>
          <w:sz w:val="22"/>
        </w:rPr>
        <w:t xml:space="preserve"> ; qu’il invoque l’absence de la personne qualifiée pour procéder au mandatement et la nécessité de procéder au règlement pour assurer la tenue d’un colloque qui aurait été remise en cause en l’absence dudit paiement ; qu’il indique avoir demandé, sans succès, à l’ordonnateur et au comptable qui lui a succédé, cette opération étant intervenue en fin de sa gestion, de faire diligence pour mandater et régulariser ce paiement ; qu’il </w:t>
      </w:r>
      <w:r w:rsidR="002B443B">
        <w:rPr>
          <w:rFonts w:cs="Arial"/>
          <w:sz w:val="22"/>
        </w:rPr>
        <w:t>demande de considérer les absences simultanées de l’ordonnateur e</w:t>
      </w:r>
      <w:r w:rsidR="00E96FA2">
        <w:rPr>
          <w:rFonts w:cs="Arial"/>
          <w:sz w:val="22"/>
        </w:rPr>
        <w:t>t</w:t>
      </w:r>
      <w:r w:rsidR="002B443B">
        <w:rPr>
          <w:rFonts w:cs="Arial"/>
          <w:sz w:val="22"/>
        </w:rPr>
        <w:t xml:space="preserve"> de la responsable budgétaire</w:t>
      </w:r>
      <w:r w:rsidR="00FE25CB">
        <w:rPr>
          <w:rFonts w:cs="Arial"/>
          <w:sz w:val="22"/>
        </w:rPr>
        <w:t>,</w:t>
      </w:r>
      <w:r w:rsidR="002B443B">
        <w:rPr>
          <w:rFonts w:cs="Arial"/>
          <w:sz w:val="22"/>
        </w:rPr>
        <w:t xml:space="preserve"> conjuguée</w:t>
      </w:r>
      <w:r w:rsidR="00FE25CB">
        <w:rPr>
          <w:rFonts w:cs="Arial"/>
          <w:sz w:val="22"/>
        </w:rPr>
        <w:t>s</w:t>
      </w:r>
      <w:r w:rsidR="002B443B">
        <w:rPr>
          <w:rFonts w:cs="Arial"/>
          <w:sz w:val="22"/>
        </w:rPr>
        <w:t xml:space="preserve"> à l’imminence de son départ du poste comptable</w:t>
      </w:r>
      <w:r w:rsidR="00FE25CB">
        <w:rPr>
          <w:rFonts w:cs="Arial"/>
          <w:sz w:val="22"/>
        </w:rPr>
        <w:t>,</w:t>
      </w:r>
      <w:r w:rsidR="002B443B">
        <w:rPr>
          <w:rFonts w:cs="Arial"/>
          <w:sz w:val="22"/>
        </w:rPr>
        <w:t xml:space="preserve"> comme des circonstances constitutives de la force majeure ;</w:t>
      </w:r>
    </w:p>
    <w:p w:rsidR="002B443B" w:rsidRDefault="002B443B" w:rsidP="00DD1915">
      <w:pPr>
        <w:spacing w:before="120" w:after="240" w:line="240" w:lineRule="auto"/>
        <w:jc w:val="both"/>
        <w:rPr>
          <w:rFonts w:cs="Arial"/>
          <w:sz w:val="22"/>
        </w:rPr>
      </w:pPr>
      <w:r>
        <w:rPr>
          <w:rFonts w:cs="Arial"/>
          <w:sz w:val="22"/>
        </w:rPr>
        <w:t xml:space="preserve">Attendu que pour être considérées comme constitutives d’un cas de force majeure, les circonstances invoquées doivent être extérieures au fonctionnement du service, être imprévisibles et irrésistibles ; qu’en l’espèce, ces trois conditions n’étant pas réunies, la force majeure n’est pas établie ; </w:t>
      </w:r>
    </w:p>
    <w:p w:rsidR="002B443B" w:rsidRDefault="002B443B" w:rsidP="00DD1915">
      <w:pPr>
        <w:spacing w:before="120" w:after="240" w:line="240" w:lineRule="auto"/>
        <w:jc w:val="both"/>
        <w:rPr>
          <w:rFonts w:cs="Arial"/>
          <w:sz w:val="22"/>
        </w:rPr>
      </w:pPr>
      <w:r>
        <w:rPr>
          <w:rFonts w:cs="Arial"/>
          <w:sz w:val="22"/>
        </w:rPr>
        <w:t xml:space="preserve">Attendu que le manquement du comptable à ses </w:t>
      </w:r>
      <w:r w:rsidR="0061509F">
        <w:rPr>
          <w:rFonts w:cs="Arial"/>
          <w:sz w:val="22"/>
        </w:rPr>
        <w:t>obligations étant</w:t>
      </w:r>
      <w:r>
        <w:rPr>
          <w:rFonts w:cs="Arial"/>
          <w:sz w:val="22"/>
        </w:rPr>
        <w:t xml:space="preserve"> avéré, il y a lieu de mettre en jeu sa responsabilité personnelle et pécuniaire ;</w:t>
      </w:r>
    </w:p>
    <w:p w:rsidR="002B443B" w:rsidRDefault="002B443B" w:rsidP="00DD1915">
      <w:pPr>
        <w:spacing w:before="120" w:after="240" w:line="240" w:lineRule="auto"/>
        <w:jc w:val="both"/>
        <w:rPr>
          <w:rFonts w:cs="Arial"/>
          <w:sz w:val="22"/>
        </w:rPr>
      </w:pPr>
      <w:r>
        <w:rPr>
          <w:rFonts w:cs="Arial"/>
          <w:sz w:val="22"/>
        </w:rPr>
        <w:t>Attendu que la dépense visée par l’injonction, si elle a été payée sans mandatement préalable, correspond à un engagement de l’ordonnateur</w:t>
      </w:r>
      <w:r w:rsidR="0061509F">
        <w:rPr>
          <w:rFonts w:cs="Arial"/>
          <w:sz w:val="22"/>
        </w:rPr>
        <w:t xml:space="preserve"> sous la forme d’un contrat signé du directeur de l’IFAS, ordonnateur</w:t>
      </w:r>
      <w:r w:rsidR="00E96FA2">
        <w:rPr>
          <w:rFonts w:cs="Arial"/>
          <w:sz w:val="22"/>
        </w:rPr>
        <w:t>,</w:t>
      </w:r>
      <w:r w:rsidR="0061509F">
        <w:rPr>
          <w:rFonts w:cs="Arial"/>
          <w:sz w:val="22"/>
        </w:rPr>
        <w:t xml:space="preserve"> et que le comptable disposait, à l’appui de la dépense, d’une facture en bonne et due forme établie par le cocontractant ; que le montant payé par l’agent comptable correspondait à une somme effectivement due par l’établissement ;</w:t>
      </w:r>
      <w:r w:rsidR="00C170D5">
        <w:rPr>
          <w:rFonts w:cs="Arial"/>
          <w:sz w:val="22"/>
        </w:rPr>
        <w:t xml:space="preserve"> </w:t>
      </w:r>
      <w:r w:rsidR="0061509F">
        <w:rPr>
          <w:rFonts w:cs="Arial"/>
          <w:sz w:val="22"/>
        </w:rPr>
        <w:t>que ce dernier n’a donc pas subi de préjudice financier du fait du manquement du comptable ;</w:t>
      </w:r>
    </w:p>
    <w:p w:rsidR="006A024E" w:rsidRDefault="006A024E" w:rsidP="00DD1915">
      <w:pPr>
        <w:spacing w:before="120" w:after="240" w:line="240" w:lineRule="auto"/>
        <w:jc w:val="both"/>
        <w:rPr>
          <w:rFonts w:cs="Arial"/>
          <w:sz w:val="22"/>
        </w:rPr>
      </w:pPr>
      <w:r>
        <w:rPr>
          <w:rFonts w:cs="Arial"/>
          <w:sz w:val="22"/>
        </w:rPr>
        <w:t xml:space="preserve">Attendu qu’aucune circonstance de l’espèce </w:t>
      </w:r>
      <w:r w:rsidR="00DD0F8F">
        <w:rPr>
          <w:rFonts w:cs="Arial"/>
          <w:sz w:val="22"/>
        </w:rPr>
        <w:t xml:space="preserve">ne </w:t>
      </w:r>
      <w:r>
        <w:rPr>
          <w:rFonts w:cs="Arial"/>
          <w:sz w:val="22"/>
        </w:rPr>
        <w:t>serait de nature à atténuer la responsabilité du comptable ; qu’il y a donc lieu de retenir à son encontre une somme non rémissible équivalente au plafond mentionné à l’article 1</w:t>
      </w:r>
      <w:r w:rsidRPr="006A024E">
        <w:rPr>
          <w:rFonts w:cs="Arial"/>
          <w:sz w:val="22"/>
          <w:vertAlign w:val="superscript"/>
        </w:rPr>
        <w:t>er</w:t>
      </w:r>
      <w:r>
        <w:rPr>
          <w:rFonts w:cs="Arial"/>
          <w:sz w:val="22"/>
        </w:rPr>
        <w:t xml:space="preserve"> du décret n°</w:t>
      </w:r>
      <w:r w:rsidR="00BB3CFB">
        <w:rPr>
          <w:rFonts w:cs="Arial"/>
          <w:sz w:val="22"/>
        </w:rPr>
        <w:t> 2012-1386 du 10</w:t>
      </w:r>
      <w:r w:rsidR="00845E12">
        <w:rPr>
          <w:rFonts w:cs="Arial"/>
          <w:sz w:val="22"/>
        </w:rPr>
        <w:t xml:space="preserve"> </w:t>
      </w:r>
      <w:r w:rsidR="00BB3CFB">
        <w:rPr>
          <w:rFonts w:cs="Arial"/>
          <w:sz w:val="22"/>
        </w:rPr>
        <w:t>décembre</w:t>
      </w:r>
      <w:r w:rsidR="00845E12">
        <w:rPr>
          <w:rFonts w:cs="Arial"/>
          <w:sz w:val="22"/>
        </w:rPr>
        <w:t xml:space="preserve"> </w:t>
      </w:r>
      <w:r>
        <w:rPr>
          <w:rFonts w:cs="Arial"/>
          <w:sz w:val="22"/>
        </w:rPr>
        <w:t>2012</w:t>
      </w:r>
      <w:r w:rsidR="00FE25CB">
        <w:rPr>
          <w:rFonts w:cs="Arial"/>
          <w:sz w:val="22"/>
        </w:rPr>
        <w:t>, à savoir</w:t>
      </w:r>
      <w:r>
        <w:rPr>
          <w:rFonts w:cs="Arial"/>
          <w:sz w:val="22"/>
        </w:rPr>
        <w:t xml:space="preserve"> 1,5 pour mille du montant du cautionnement prévu pour le poste comptable considéré (9</w:t>
      </w:r>
      <w:r w:rsidR="00845E12">
        <w:rPr>
          <w:rFonts w:cs="Arial"/>
          <w:sz w:val="22"/>
        </w:rPr>
        <w:t> </w:t>
      </w:r>
      <w:r>
        <w:rPr>
          <w:rFonts w:cs="Arial"/>
          <w:sz w:val="22"/>
        </w:rPr>
        <w:t>100</w:t>
      </w:r>
      <w:r w:rsidR="00845E12">
        <w:rPr>
          <w:rFonts w:cs="Arial"/>
          <w:sz w:val="22"/>
        </w:rPr>
        <w:t> </w:t>
      </w:r>
      <w:r>
        <w:rPr>
          <w:rFonts w:cs="Arial"/>
          <w:sz w:val="22"/>
        </w:rPr>
        <w:t>€) soit 13,65</w:t>
      </w:r>
      <w:r w:rsidR="00845E12">
        <w:rPr>
          <w:rFonts w:cs="Arial"/>
          <w:sz w:val="22"/>
        </w:rPr>
        <w:t> </w:t>
      </w:r>
      <w:r>
        <w:rPr>
          <w:rFonts w:cs="Arial"/>
          <w:sz w:val="22"/>
        </w:rPr>
        <w:t>€ ;</w:t>
      </w:r>
    </w:p>
    <w:p w:rsidR="006A024E" w:rsidRPr="006A024E" w:rsidRDefault="006A024E" w:rsidP="00DD1915">
      <w:pPr>
        <w:spacing w:before="360" w:after="240"/>
        <w:jc w:val="both"/>
        <w:rPr>
          <w:rFonts w:cs="Arial"/>
          <w:b/>
          <w:i/>
          <w:sz w:val="22"/>
        </w:rPr>
      </w:pPr>
      <w:r w:rsidRPr="006A024E">
        <w:rPr>
          <w:rFonts w:cs="Arial"/>
          <w:b/>
          <w:i/>
          <w:sz w:val="22"/>
        </w:rPr>
        <w:t>Sur l’injonction n° 2</w:t>
      </w:r>
    </w:p>
    <w:p w:rsidR="006A024E" w:rsidRDefault="006A024E" w:rsidP="00DD1915">
      <w:pPr>
        <w:spacing w:before="120" w:after="240" w:line="240" w:lineRule="auto"/>
        <w:jc w:val="both"/>
        <w:rPr>
          <w:rFonts w:cs="Arial"/>
          <w:sz w:val="22"/>
        </w:rPr>
      </w:pPr>
      <w:r>
        <w:rPr>
          <w:rFonts w:cs="Arial"/>
          <w:sz w:val="22"/>
        </w:rPr>
        <w:t>Attendu qu</w:t>
      </w:r>
      <w:r w:rsidR="002F4EB2">
        <w:rPr>
          <w:rFonts w:cs="Arial"/>
          <w:sz w:val="22"/>
        </w:rPr>
        <w:t>’il est fait grief au</w:t>
      </w:r>
      <w:r>
        <w:rPr>
          <w:rFonts w:cs="Arial"/>
          <w:sz w:val="22"/>
        </w:rPr>
        <w:t xml:space="preserve"> comptable </w:t>
      </w:r>
      <w:r w:rsidR="002F4EB2">
        <w:rPr>
          <w:rFonts w:cs="Arial"/>
          <w:sz w:val="22"/>
        </w:rPr>
        <w:t>d’</w:t>
      </w:r>
      <w:r>
        <w:rPr>
          <w:rFonts w:cs="Arial"/>
          <w:sz w:val="22"/>
        </w:rPr>
        <w:t>a</w:t>
      </w:r>
      <w:r w:rsidR="002F4EB2">
        <w:rPr>
          <w:rFonts w:cs="Arial"/>
          <w:sz w:val="22"/>
        </w:rPr>
        <w:t>voir</w:t>
      </w:r>
      <w:r>
        <w:rPr>
          <w:rFonts w:cs="Arial"/>
          <w:sz w:val="22"/>
        </w:rPr>
        <w:t xml:space="preserve"> versé des pourboires à une femme de ménage de l’IFAS entre le 12 avril et le 13 août 2010 sur la base de </w:t>
      </w:r>
      <w:r w:rsidR="002F4EB2">
        <w:rPr>
          <w:rFonts w:cs="Arial"/>
          <w:sz w:val="22"/>
        </w:rPr>
        <w:t xml:space="preserve">huit </w:t>
      </w:r>
      <w:r>
        <w:rPr>
          <w:rFonts w:cs="Arial"/>
          <w:sz w:val="22"/>
        </w:rPr>
        <w:t xml:space="preserve">mandats justifiés uniquement par des certificats administratifs </w:t>
      </w:r>
      <w:r w:rsidR="002F4EB2">
        <w:rPr>
          <w:rFonts w:cs="Arial"/>
          <w:sz w:val="22"/>
        </w:rPr>
        <w:t>datés postérieurement aux paiement</w:t>
      </w:r>
      <w:r w:rsidR="00C170D5">
        <w:rPr>
          <w:rFonts w:cs="Arial"/>
          <w:sz w:val="22"/>
        </w:rPr>
        <w:t>s</w:t>
      </w:r>
      <w:r w:rsidR="002F4EB2">
        <w:rPr>
          <w:rFonts w:cs="Arial"/>
          <w:sz w:val="22"/>
        </w:rPr>
        <w:t xml:space="preserve"> </w:t>
      </w:r>
      <w:r>
        <w:rPr>
          <w:rFonts w:cs="Arial"/>
          <w:sz w:val="22"/>
        </w:rPr>
        <w:t xml:space="preserve">et des reçus signés de la bénéficiaire pour un montant total de 1 400 </w:t>
      </w:r>
      <w:r w:rsidR="00E96FA2">
        <w:rPr>
          <w:rFonts w:cs="Arial"/>
          <w:sz w:val="22"/>
        </w:rPr>
        <w:t>rands</w:t>
      </w:r>
      <w:r>
        <w:rPr>
          <w:rFonts w:cs="Arial"/>
          <w:sz w:val="22"/>
        </w:rPr>
        <w:t xml:space="preserve"> ; que le comptable affirme que la pratique du versement de pourboires aux femmes de ménage ne résulte pas d’un accord écrit mais </w:t>
      </w:r>
      <w:r w:rsidRPr="006A024E">
        <w:rPr>
          <w:rFonts w:cs="Arial"/>
          <w:i/>
          <w:sz w:val="22"/>
        </w:rPr>
        <w:t>« d’une obligation en Afrique du Sud</w:t>
      </w:r>
      <w:r>
        <w:rPr>
          <w:rFonts w:cs="Arial"/>
          <w:sz w:val="22"/>
        </w:rPr>
        <w:t> » et que cette pratique, qui existait avant son arrivée dans le poste comptable n’avait jamais fait l’objet de remarques</w:t>
      </w:r>
      <w:r w:rsidR="002F4EB2">
        <w:rPr>
          <w:rFonts w:cs="Arial"/>
          <w:sz w:val="22"/>
        </w:rPr>
        <w:t> ;</w:t>
      </w:r>
    </w:p>
    <w:p w:rsidR="002F4EB2" w:rsidRDefault="002F4EB2" w:rsidP="00DD1915">
      <w:pPr>
        <w:spacing w:before="120" w:after="240" w:line="240" w:lineRule="auto"/>
        <w:jc w:val="both"/>
        <w:rPr>
          <w:rFonts w:cs="Arial"/>
          <w:sz w:val="22"/>
        </w:rPr>
      </w:pPr>
      <w:r>
        <w:rPr>
          <w:rFonts w:cs="Arial"/>
          <w:sz w:val="22"/>
        </w:rPr>
        <w:t xml:space="preserve">Attendu qu’en procédant aux paiements de ces huit mandats, le comptable a méconnu ses obligations en matière de dépenses telles que mentionnées aux articles 12 et 13 du décret </w:t>
      </w:r>
      <w:r>
        <w:rPr>
          <w:rFonts w:cs="Arial"/>
          <w:sz w:val="22"/>
        </w:rPr>
        <w:lastRenderedPageBreak/>
        <w:t xml:space="preserve">du 29 décembre 1962 ; qu’il y a donc lieu de mettre en jeu sa responsabilité personnelle et pécuniaire ; </w:t>
      </w:r>
    </w:p>
    <w:p w:rsidR="002F4EB2" w:rsidRDefault="002F4EB2" w:rsidP="00DD1915">
      <w:pPr>
        <w:spacing w:before="120" w:after="240" w:line="240" w:lineRule="auto"/>
        <w:jc w:val="both"/>
        <w:rPr>
          <w:rFonts w:cs="Arial"/>
          <w:sz w:val="22"/>
        </w:rPr>
      </w:pPr>
      <w:r>
        <w:rPr>
          <w:rFonts w:cs="Arial"/>
          <w:sz w:val="22"/>
        </w:rPr>
        <w:t>Attendu que ces paiements</w:t>
      </w:r>
      <w:r w:rsidR="00CE3848">
        <w:rPr>
          <w:rFonts w:cs="Arial"/>
          <w:sz w:val="22"/>
        </w:rPr>
        <w:t>,</w:t>
      </w:r>
      <w:r>
        <w:rPr>
          <w:rFonts w:cs="Arial"/>
          <w:sz w:val="22"/>
        </w:rPr>
        <w:t xml:space="preserve"> en l’absence de pièces justificatives valides au moment du paiement, ont entraîné un préjudice financier pour l’établissement ; qu’il y a donc lieu de constituer </w:t>
      </w:r>
      <w:r w:rsidR="00864EA4">
        <w:rPr>
          <w:rFonts w:cs="Arial"/>
          <w:sz w:val="22"/>
        </w:rPr>
        <w:t>M. X</w:t>
      </w:r>
      <w:r>
        <w:rPr>
          <w:rFonts w:cs="Arial"/>
          <w:sz w:val="22"/>
        </w:rPr>
        <w:t xml:space="preserve"> débiteur de </w:t>
      </w:r>
      <w:r w:rsidR="00FA7127">
        <w:rPr>
          <w:rFonts w:cs="Arial"/>
          <w:sz w:val="22"/>
        </w:rPr>
        <w:t>l’IFAS</w:t>
      </w:r>
      <w:r w:rsidR="00DD0F8F">
        <w:rPr>
          <w:rFonts w:cs="Arial"/>
          <w:sz w:val="22"/>
        </w:rPr>
        <w:t xml:space="preserve"> de  la somme de 1 400 rands</w:t>
      </w:r>
      <w:r>
        <w:rPr>
          <w:rFonts w:cs="Arial"/>
          <w:sz w:val="22"/>
        </w:rPr>
        <w:t xml:space="preserve"> </w:t>
      </w:r>
      <w:r w:rsidR="00CE3848">
        <w:rPr>
          <w:rFonts w:cs="Arial"/>
          <w:sz w:val="22"/>
        </w:rPr>
        <w:t>augmentée des intérêts de droits à compter du 17 janvier 2013, date du bordereau d’injonctions ;</w:t>
      </w:r>
    </w:p>
    <w:p w:rsidR="0061509F" w:rsidRDefault="0061509F" w:rsidP="00E96FA2">
      <w:pPr>
        <w:spacing w:before="120" w:after="120" w:line="240" w:lineRule="auto"/>
        <w:jc w:val="both"/>
        <w:rPr>
          <w:rFonts w:cs="Arial"/>
          <w:sz w:val="22"/>
        </w:rPr>
      </w:pPr>
    </w:p>
    <w:p w:rsidR="00CE3848" w:rsidRPr="00CE3848" w:rsidRDefault="00CE3848" w:rsidP="00251668">
      <w:pPr>
        <w:spacing w:after="280"/>
        <w:jc w:val="both"/>
        <w:rPr>
          <w:rFonts w:cs="Arial"/>
          <w:b/>
          <w:i/>
          <w:sz w:val="22"/>
        </w:rPr>
      </w:pPr>
      <w:r w:rsidRPr="00CE3848">
        <w:rPr>
          <w:rFonts w:cs="Arial"/>
          <w:b/>
          <w:i/>
          <w:sz w:val="22"/>
        </w:rPr>
        <w:t>Sur l’injonction n° 3</w:t>
      </w:r>
    </w:p>
    <w:p w:rsidR="00CE3848" w:rsidRDefault="00CE3848" w:rsidP="00E96FA2">
      <w:pPr>
        <w:spacing w:before="120" w:after="120" w:line="240" w:lineRule="auto"/>
        <w:jc w:val="both"/>
        <w:rPr>
          <w:rFonts w:cs="Arial"/>
          <w:sz w:val="22"/>
        </w:rPr>
      </w:pPr>
      <w:r>
        <w:rPr>
          <w:rFonts w:cs="Arial"/>
          <w:sz w:val="22"/>
        </w:rPr>
        <w:t xml:space="preserve">Attendu qu’il est fait grief au comptable d’avoir procédé au paiement de frais de réception sur la base d’un mandat émis le 30 juin 2010 non accompagné des originaux des factures et des certificats de l’ordonnateur pour un montant de 20 949,50 </w:t>
      </w:r>
      <w:r w:rsidR="00E96FA2">
        <w:rPr>
          <w:rFonts w:cs="Arial"/>
          <w:sz w:val="22"/>
        </w:rPr>
        <w:t>rands</w:t>
      </w:r>
      <w:r>
        <w:rPr>
          <w:rFonts w:cs="Arial"/>
          <w:sz w:val="22"/>
        </w:rPr>
        <w:t xml:space="preserve"> ; </w:t>
      </w:r>
    </w:p>
    <w:p w:rsidR="00CE3848" w:rsidRDefault="00CE3848" w:rsidP="00E96FA2">
      <w:pPr>
        <w:spacing w:before="120" w:after="120" w:line="240" w:lineRule="auto"/>
        <w:jc w:val="both"/>
        <w:rPr>
          <w:rFonts w:cs="Arial"/>
          <w:sz w:val="22"/>
        </w:rPr>
      </w:pPr>
      <w:r>
        <w:rPr>
          <w:rFonts w:cs="Arial"/>
          <w:sz w:val="22"/>
        </w:rPr>
        <w:t>Attendu que la nomenclature M9-7 qui régit l’organisation financière et comptable des établissements ou organismes de diffusion culturelle à l’étranger prévoit que les dépenses liée</w:t>
      </w:r>
      <w:r w:rsidR="00DD0F8F">
        <w:rPr>
          <w:rFonts w:cs="Arial"/>
          <w:sz w:val="22"/>
        </w:rPr>
        <w:t xml:space="preserve">s à des frais de réception doivent </w:t>
      </w:r>
      <w:r>
        <w:rPr>
          <w:rFonts w:cs="Arial"/>
          <w:sz w:val="22"/>
        </w:rPr>
        <w:t xml:space="preserve">être accompagnées des originaux des factures et d’une attestation de l’organisateur de la réception </w:t>
      </w:r>
      <w:r w:rsidR="00C629A6">
        <w:rPr>
          <w:rFonts w:cs="Arial"/>
          <w:sz w:val="22"/>
        </w:rPr>
        <w:t xml:space="preserve">visée par l’ordonnateur </w:t>
      </w:r>
      <w:r>
        <w:rPr>
          <w:rFonts w:cs="Arial"/>
          <w:sz w:val="22"/>
        </w:rPr>
        <w:t>indiquant son objet</w:t>
      </w:r>
      <w:r w:rsidR="00C629A6">
        <w:rPr>
          <w:rFonts w:cs="Arial"/>
          <w:sz w:val="22"/>
        </w:rPr>
        <w:t xml:space="preserve"> ; </w:t>
      </w:r>
    </w:p>
    <w:p w:rsidR="00C629A6" w:rsidRDefault="00C629A6" w:rsidP="00E96FA2">
      <w:pPr>
        <w:spacing w:before="120" w:after="120" w:line="240" w:lineRule="auto"/>
        <w:jc w:val="both"/>
        <w:rPr>
          <w:rFonts w:cs="Arial"/>
          <w:sz w:val="22"/>
        </w:rPr>
      </w:pPr>
      <w:r>
        <w:rPr>
          <w:rFonts w:cs="Arial"/>
          <w:sz w:val="22"/>
        </w:rPr>
        <w:t>Attendu que le comptable invoque d’une part le fait que l’IFAS ait déménagé à deux reprises depuis 2010, ce qui s’est traduit par la perte de certains documents et que, d’autre part, les documents originaux ont été réclamés par un organisme gouvernemental sud-africain,</w:t>
      </w:r>
      <w:r w:rsidR="00845E12">
        <w:rPr>
          <w:rFonts w:cs="Arial"/>
          <w:sz w:val="22"/>
        </w:rPr>
        <w:t xml:space="preserve"> </w:t>
      </w:r>
      <w:r>
        <w:rPr>
          <w:rFonts w:cs="Arial"/>
          <w:sz w:val="22"/>
        </w:rPr>
        <w:t>partenaire financier de la réception en cause ;</w:t>
      </w:r>
    </w:p>
    <w:p w:rsidR="00C629A6" w:rsidRDefault="00C629A6" w:rsidP="00E96FA2">
      <w:pPr>
        <w:spacing w:before="120" w:after="120" w:line="240" w:lineRule="auto"/>
        <w:jc w:val="both"/>
        <w:rPr>
          <w:rFonts w:cs="Arial"/>
          <w:sz w:val="22"/>
        </w:rPr>
      </w:pPr>
      <w:r>
        <w:rPr>
          <w:rFonts w:cs="Arial"/>
          <w:sz w:val="22"/>
        </w:rPr>
        <w:t>Attendu que ces éléments d’explication ne sont pas de nature à exonérer le comptable de sa responsabilité personnelle et pécuniaire qui doit donc être mise en jeu ;</w:t>
      </w:r>
    </w:p>
    <w:p w:rsidR="00C629A6" w:rsidRDefault="00C629A6" w:rsidP="00E96FA2">
      <w:pPr>
        <w:spacing w:before="120" w:after="120" w:line="240" w:lineRule="auto"/>
        <w:jc w:val="both"/>
        <w:rPr>
          <w:rFonts w:cs="Arial"/>
          <w:sz w:val="22"/>
        </w:rPr>
      </w:pPr>
      <w:r>
        <w:rPr>
          <w:rFonts w:cs="Arial"/>
          <w:sz w:val="22"/>
        </w:rPr>
        <w:t xml:space="preserve">Attendu </w:t>
      </w:r>
      <w:r w:rsidR="00215411">
        <w:rPr>
          <w:rFonts w:cs="Arial"/>
          <w:sz w:val="22"/>
        </w:rPr>
        <w:t xml:space="preserve">que </w:t>
      </w:r>
      <w:r>
        <w:rPr>
          <w:rFonts w:cs="Arial"/>
          <w:sz w:val="22"/>
        </w:rPr>
        <w:t>si le paiement en l’absence de documents originaux constitue un manquement aux obligations du comptable, les photocopies des factures et de l’attestation de l’organisateur de la réception visée par l’ordonnateur permettent de vérifier la validité de la dépense ; que l’établissement n’a donc pas subi de préjudice financier du fait du manquement du compta</w:t>
      </w:r>
      <w:r w:rsidR="00775226">
        <w:rPr>
          <w:rFonts w:cs="Arial"/>
          <w:sz w:val="22"/>
        </w:rPr>
        <w:t xml:space="preserve">ble ; que, le </w:t>
      </w:r>
      <w:r>
        <w:rPr>
          <w:rFonts w:cs="Arial"/>
          <w:sz w:val="22"/>
        </w:rPr>
        <w:t>plafond mentionné à l’article 1</w:t>
      </w:r>
      <w:r w:rsidRPr="006A024E">
        <w:rPr>
          <w:rFonts w:cs="Arial"/>
          <w:sz w:val="22"/>
          <w:vertAlign w:val="superscript"/>
        </w:rPr>
        <w:t>er</w:t>
      </w:r>
      <w:r>
        <w:rPr>
          <w:rFonts w:cs="Arial"/>
          <w:sz w:val="22"/>
        </w:rPr>
        <w:t xml:space="preserve"> du décret n°</w:t>
      </w:r>
      <w:r w:rsidR="008D67E1">
        <w:rPr>
          <w:rFonts w:cs="Arial"/>
          <w:sz w:val="22"/>
        </w:rPr>
        <w:t xml:space="preserve"> </w:t>
      </w:r>
      <w:r w:rsidR="00F93466">
        <w:rPr>
          <w:rFonts w:cs="Arial"/>
          <w:sz w:val="22"/>
        </w:rPr>
        <w:t>2012-1386 du 10 </w:t>
      </w:r>
      <w:r>
        <w:rPr>
          <w:rFonts w:cs="Arial"/>
          <w:sz w:val="22"/>
        </w:rPr>
        <w:t>dé</w:t>
      </w:r>
      <w:r w:rsidR="00F93466">
        <w:rPr>
          <w:rFonts w:cs="Arial"/>
          <w:sz w:val="22"/>
        </w:rPr>
        <w:t>cembre </w:t>
      </w:r>
      <w:r>
        <w:rPr>
          <w:rFonts w:cs="Arial"/>
          <w:sz w:val="22"/>
        </w:rPr>
        <w:t>2012</w:t>
      </w:r>
      <w:r w:rsidR="00775226">
        <w:rPr>
          <w:rFonts w:cs="Arial"/>
          <w:sz w:val="22"/>
        </w:rPr>
        <w:t>,</w:t>
      </w:r>
      <w:r>
        <w:rPr>
          <w:rFonts w:cs="Arial"/>
          <w:sz w:val="22"/>
        </w:rPr>
        <w:t xml:space="preserve"> soit 1,5 pour mille du montant du cautionnement prévu pour le poste co</w:t>
      </w:r>
      <w:r w:rsidR="00775226">
        <w:rPr>
          <w:rFonts w:cs="Arial"/>
          <w:sz w:val="22"/>
        </w:rPr>
        <w:t>mptable considéré (9 100 €), étant de</w:t>
      </w:r>
      <w:r>
        <w:rPr>
          <w:rFonts w:cs="Arial"/>
          <w:sz w:val="22"/>
        </w:rPr>
        <w:t xml:space="preserve"> 13,65 €</w:t>
      </w:r>
      <w:r w:rsidR="00775226">
        <w:rPr>
          <w:rFonts w:cs="Arial"/>
          <w:sz w:val="22"/>
        </w:rPr>
        <w:t>, la somme non rémissible retenue à l’encontre du comptable est fixée à ce montant</w:t>
      </w:r>
      <w:r>
        <w:rPr>
          <w:rFonts w:cs="Arial"/>
          <w:sz w:val="22"/>
        </w:rPr>
        <w:t> ;</w:t>
      </w:r>
    </w:p>
    <w:p w:rsidR="008D67E1" w:rsidRDefault="008D67E1" w:rsidP="00251668">
      <w:pPr>
        <w:spacing w:after="280"/>
        <w:jc w:val="both"/>
        <w:rPr>
          <w:rFonts w:cs="Arial"/>
          <w:sz w:val="22"/>
        </w:rPr>
      </w:pPr>
    </w:p>
    <w:p w:rsidR="007F76E8" w:rsidRPr="00BE6831" w:rsidRDefault="007F76E8" w:rsidP="00251668">
      <w:pPr>
        <w:spacing w:after="280"/>
        <w:jc w:val="both"/>
        <w:rPr>
          <w:rFonts w:cs="Arial"/>
          <w:sz w:val="22"/>
        </w:rPr>
      </w:pPr>
      <w:r w:rsidRPr="00BE6831">
        <w:rPr>
          <w:rFonts w:cs="Arial"/>
          <w:sz w:val="22"/>
        </w:rPr>
        <w:t>Par ces motifs,</w:t>
      </w:r>
    </w:p>
    <w:p w:rsidR="007F76E8" w:rsidRPr="00BE6831" w:rsidRDefault="007F76E8" w:rsidP="00251668">
      <w:pPr>
        <w:spacing w:after="280"/>
        <w:jc w:val="center"/>
        <w:rPr>
          <w:rFonts w:cs="Arial"/>
          <w:sz w:val="22"/>
        </w:rPr>
      </w:pPr>
      <w:r w:rsidRPr="00BE6831">
        <w:rPr>
          <w:rFonts w:cs="Arial"/>
          <w:sz w:val="22"/>
        </w:rPr>
        <w:t>D</w:t>
      </w:r>
      <w:r w:rsidR="00C232B4">
        <w:rPr>
          <w:rFonts w:cs="Arial"/>
          <w:sz w:val="22"/>
        </w:rPr>
        <w:t>É</w:t>
      </w:r>
      <w:r w:rsidRPr="00BE6831">
        <w:rPr>
          <w:rFonts w:cs="Arial"/>
          <w:sz w:val="22"/>
        </w:rPr>
        <w:t>CIDE :</w:t>
      </w:r>
    </w:p>
    <w:p w:rsidR="00F505D4" w:rsidRDefault="007F76E8" w:rsidP="00251668">
      <w:pPr>
        <w:spacing w:after="280"/>
        <w:jc w:val="both"/>
        <w:rPr>
          <w:rFonts w:cs="Arial"/>
          <w:sz w:val="22"/>
        </w:rPr>
      </w:pPr>
      <w:r w:rsidRPr="00845E12">
        <w:rPr>
          <w:rFonts w:cs="Arial"/>
          <w:b/>
          <w:sz w:val="22"/>
        </w:rPr>
        <w:t>Article 1</w:t>
      </w:r>
      <w:r w:rsidRPr="00BE6831">
        <w:rPr>
          <w:rFonts w:cs="Arial"/>
          <w:sz w:val="22"/>
        </w:rPr>
        <w:t xml:space="preserve"> </w:t>
      </w:r>
      <w:r w:rsidR="0068148D">
        <w:rPr>
          <w:rFonts w:cs="Arial"/>
          <w:sz w:val="22"/>
        </w:rPr>
        <w:t xml:space="preserve">– </w:t>
      </w:r>
      <w:r w:rsidR="00864EA4">
        <w:rPr>
          <w:rFonts w:cs="Arial"/>
          <w:sz w:val="22"/>
        </w:rPr>
        <w:t>M. X</w:t>
      </w:r>
      <w:r w:rsidR="00F505D4">
        <w:rPr>
          <w:rFonts w:cs="Arial"/>
          <w:sz w:val="22"/>
        </w:rPr>
        <w:t xml:space="preserve"> devra s’acquitter de deux sommes</w:t>
      </w:r>
      <w:r w:rsidR="00C15756">
        <w:rPr>
          <w:rFonts w:cs="Arial"/>
          <w:sz w:val="22"/>
        </w:rPr>
        <w:t xml:space="preserve"> </w:t>
      </w:r>
      <w:r w:rsidR="00FA7127">
        <w:rPr>
          <w:rFonts w:cs="Arial"/>
          <w:sz w:val="22"/>
        </w:rPr>
        <w:t xml:space="preserve">non rémissibles </w:t>
      </w:r>
      <w:r w:rsidR="00C15756">
        <w:rPr>
          <w:rFonts w:cs="Arial"/>
          <w:sz w:val="22"/>
        </w:rPr>
        <w:t>de 13,65 €</w:t>
      </w:r>
      <w:r w:rsidR="0068148D">
        <w:rPr>
          <w:rFonts w:cs="Arial"/>
          <w:sz w:val="22"/>
        </w:rPr>
        <w:t xml:space="preserve"> </w:t>
      </w:r>
      <w:r w:rsidR="00C15756">
        <w:rPr>
          <w:rFonts w:cs="Arial"/>
          <w:sz w:val="22"/>
        </w:rPr>
        <w:t>chacune</w:t>
      </w:r>
      <w:r w:rsidR="00F505D4">
        <w:rPr>
          <w:rFonts w:cs="Arial"/>
          <w:sz w:val="22"/>
        </w:rPr>
        <w:t>, en application du deuxième alinéa du paragraphe VI de l’article 60 de la loi n°</w:t>
      </w:r>
      <w:r w:rsidR="00E96FA2">
        <w:rPr>
          <w:rFonts w:cs="Arial"/>
          <w:sz w:val="22"/>
        </w:rPr>
        <w:t xml:space="preserve"> </w:t>
      </w:r>
      <w:r w:rsidR="00F505D4">
        <w:rPr>
          <w:rFonts w:cs="Arial"/>
          <w:sz w:val="22"/>
        </w:rPr>
        <w:t>63-156 du 23 février 1963 ; ces sommes ne peuvent faire l’objet d’une remise gracieuse en vertu du paragraphe IX de l’article 60 précité.</w:t>
      </w:r>
    </w:p>
    <w:p w:rsidR="00C15756" w:rsidRDefault="00C15756" w:rsidP="00251668">
      <w:pPr>
        <w:spacing w:after="280"/>
        <w:jc w:val="both"/>
        <w:rPr>
          <w:rFonts w:cs="Arial"/>
          <w:sz w:val="22"/>
        </w:rPr>
      </w:pPr>
      <w:r w:rsidRPr="00845E12">
        <w:rPr>
          <w:rFonts w:cs="Arial"/>
          <w:b/>
          <w:sz w:val="22"/>
        </w:rPr>
        <w:t>Article 2</w:t>
      </w:r>
      <w:r>
        <w:rPr>
          <w:rFonts w:cs="Arial"/>
          <w:sz w:val="22"/>
        </w:rPr>
        <w:t xml:space="preserve"> – </w:t>
      </w:r>
      <w:r w:rsidR="00864EA4">
        <w:rPr>
          <w:rFonts w:cs="Arial"/>
          <w:sz w:val="22"/>
        </w:rPr>
        <w:t>M. X</w:t>
      </w:r>
      <w:r>
        <w:rPr>
          <w:rFonts w:cs="Arial"/>
          <w:sz w:val="22"/>
        </w:rPr>
        <w:t xml:space="preserve"> est constitué débiteur de </w:t>
      </w:r>
      <w:r w:rsidR="00FA7127">
        <w:rPr>
          <w:rFonts w:cs="Arial"/>
          <w:sz w:val="22"/>
        </w:rPr>
        <w:t>l’IFAS</w:t>
      </w:r>
      <w:r w:rsidR="00F505D4">
        <w:rPr>
          <w:rFonts w:cs="Arial"/>
          <w:sz w:val="22"/>
        </w:rPr>
        <w:t xml:space="preserve"> au titre de l’exercice 2010, pour </w:t>
      </w:r>
      <w:r w:rsidR="0091068D">
        <w:rPr>
          <w:rFonts w:cs="Arial"/>
          <w:sz w:val="22"/>
        </w:rPr>
        <w:t>la somme de 1 400 rands</w:t>
      </w:r>
      <w:r w:rsidR="00F505D4">
        <w:rPr>
          <w:rFonts w:cs="Arial"/>
          <w:sz w:val="22"/>
        </w:rPr>
        <w:t xml:space="preserve">, </w:t>
      </w:r>
      <w:r w:rsidR="00FA7127">
        <w:rPr>
          <w:rFonts w:cs="Arial"/>
          <w:sz w:val="22"/>
        </w:rPr>
        <w:t>augmentée des intérêts de droit à compter du 17</w:t>
      </w:r>
      <w:r w:rsidR="00845E12">
        <w:rPr>
          <w:rFonts w:cs="Arial"/>
          <w:sz w:val="22"/>
        </w:rPr>
        <w:t xml:space="preserve"> </w:t>
      </w:r>
      <w:r w:rsidR="00FA7127">
        <w:rPr>
          <w:rFonts w:cs="Arial"/>
          <w:sz w:val="22"/>
        </w:rPr>
        <w:t>janvier</w:t>
      </w:r>
      <w:r w:rsidR="00845E12">
        <w:rPr>
          <w:rFonts w:cs="Arial"/>
          <w:sz w:val="22"/>
        </w:rPr>
        <w:t xml:space="preserve"> </w:t>
      </w:r>
      <w:r>
        <w:rPr>
          <w:rFonts w:cs="Arial"/>
          <w:sz w:val="22"/>
        </w:rPr>
        <w:t>2013.</w:t>
      </w:r>
    </w:p>
    <w:p w:rsidR="004779C2" w:rsidRPr="00A66B14" w:rsidRDefault="004779C2" w:rsidP="008D67E1">
      <w:pPr>
        <w:tabs>
          <w:tab w:val="center" w:pos="5245"/>
        </w:tabs>
        <w:spacing w:before="360" w:after="360"/>
        <w:jc w:val="center"/>
        <w:rPr>
          <w:rFonts w:cs="Arial"/>
          <w:sz w:val="22"/>
        </w:rPr>
      </w:pPr>
      <w:r w:rsidRPr="00A66B14">
        <w:rPr>
          <w:rFonts w:cs="Arial"/>
          <w:sz w:val="22"/>
        </w:rPr>
        <w:t>------------</w:t>
      </w:r>
    </w:p>
    <w:p w:rsidR="00E96FA2" w:rsidRDefault="00E96FA2" w:rsidP="00640087">
      <w:pPr>
        <w:tabs>
          <w:tab w:val="center" w:pos="4536"/>
          <w:tab w:val="right" w:pos="9072"/>
        </w:tabs>
        <w:spacing w:line="240" w:lineRule="auto"/>
        <w:jc w:val="both"/>
        <w:rPr>
          <w:rFonts w:eastAsia="Times New Roman" w:cs="Arial"/>
          <w:sz w:val="22"/>
          <w:lang w:eastAsia="fr-FR"/>
        </w:rPr>
      </w:pPr>
    </w:p>
    <w:p w:rsidR="00E96FA2" w:rsidRDefault="00E96FA2" w:rsidP="00640087">
      <w:pPr>
        <w:tabs>
          <w:tab w:val="center" w:pos="4536"/>
          <w:tab w:val="right" w:pos="9072"/>
        </w:tabs>
        <w:spacing w:line="240" w:lineRule="auto"/>
        <w:jc w:val="both"/>
        <w:rPr>
          <w:rFonts w:eastAsia="Times New Roman" w:cs="Arial"/>
          <w:sz w:val="22"/>
          <w:lang w:eastAsia="fr-FR"/>
        </w:rPr>
      </w:pPr>
    </w:p>
    <w:p w:rsidR="00E96FA2" w:rsidRDefault="00E96FA2" w:rsidP="00640087">
      <w:pPr>
        <w:tabs>
          <w:tab w:val="center" w:pos="4536"/>
          <w:tab w:val="right" w:pos="9072"/>
        </w:tabs>
        <w:spacing w:line="240" w:lineRule="auto"/>
        <w:jc w:val="both"/>
        <w:rPr>
          <w:rFonts w:eastAsia="Times New Roman" w:cs="Arial"/>
          <w:sz w:val="22"/>
          <w:lang w:eastAsia="fr-FR"/>
        </w:rPr>
      </w:pPr>
    </w:p>
    <w:p w:rsidR="00E96FA2" w:rsidRDefault="00E96FA2" w:rsidP="00640087">
      <w:pPr>
        <w:tabs>
          <w:tab w:val="center" w:pos="4536"/>
          <w:tab w:val="right" w:pos="9072"/>
        </w:tabs>
        <w:spacing w:line="240" w:lineRule="auto"/>
        <w:jc w:val="both"/>
        <w:rPr>
          <w:rFonts w:eastAsia="Times New Roman" w:cs="Arial"/>
          <w:sz w:val="22"/>
          <w:lang w:eastAsia="fr-FR"/>
        </w:rPr>
      </w:pPr>
    </w:p>
    <w:p w:rsidR="00E96FA2" w:rsidRDefault="00E96FA2" w:rsidP="00640087">
      <w:pPr>
        <w:tabs>
          <w:tab w:val="center" w:pos="4536"/>
          <w:tab w:val="right" w:pos="9072"/>
        </w:tabs>
        <w:spacing w:line="240" w:lineRule="auto"/>
        <w:jc w:val="both"/>
        <w:rPr>
          <w:rFonts w:eastAsia="Times New Roman" w:cs="Arial"/>
          <w:sz w:val="22"/>
          <w:lang w:eastAsia="fr-FR"/>
        </w:rPr>
      </w:pPr>
    </w:p>
    <w:p w:rsidR="008B1467" w:rsidRPr="008B1467" w:rsidRDefault="008B1467" w:rsidP="008B1467">
      <w:pPr>
        <w:spacing w:after="80" w:line="240" w:lineRule="auto"/>
        <w:jc w:val="both"/>
        <w:rPr>
          <w:rFonts w:eastAsia="Times New Roman" w:cs="Arial"/>
          <w:sz w:val="22"/>
          <w:lang w:eastAsia="fr-FR"/>
        </w:rPr>
      </w:pPr>
      <w:r w:rsidRPr="008B1467">
        <w:rPr>
          <w:rFonts w:eastAsia="Times New Roman" w:cs="Arial"/>
          <w:sz w:val="22"/>
          <w:lang w:eastAsia="fr-FR"/>
        </w:rPr>
        <w:lastRenderedPageBreak/>
        <w:t>Fait et jugé en la Cour des comptes, quatrième chambre, première section. Présents : M. Jean-Philippe</w:t>
      </w:r>
      <w:r w:rsidR="008D67E1">
        <w:rPr>
          <w:rFonts w:eastAsia="Times New Roman" w:cs="Arial"/>
          <w:sz w:val="22"/>
          <w:lang w:eastAsia="fr-FR"/>
        </w:rPr>
        <w:t xml:space="preserve"> </w:t>
      </w:r>
      <w:r w:rsidR="00EA7EB8">
        <w:rPr>
          <w:rFonts w:eastAsia="Times New Roman" w:cs="Arial"/>
          <w:sz w:val="22"/>
          <w:lang w:eastAsia="fr-FR"/>
        </w:rPr>
        <w:t>V</w:t>
      </w:r>
      <w:r w:rsidR="00EA7EB8" w:rsidRPr="008B1467">
        <w:rPr>
          <w:rFonts w:eastAsia="Times New Roman" w:cs="Arial"/>
          <w:sz w:val="22"/>
          <w:lang w:eastAsia="fr-FR"/>
        </w:rPr>
        <w:t>achia</w:t>
      </w:r>
      <w:r w:rsidRPr="008B1467">
        <w:rPr>
          <w:rFonts w:eastAsia="Times New Roman" w:cs="Arial"/>
          <w:sz w:val="22"/>
          <w:lang w:eastAsia="fr-FR"/>
        </w:rPr>
        <w:t xml:space="preserve">, président de chambre, président de la formation, </w:t>
      </w:r>
      <w:r w:rsidR="00845E12" w:rsidRPr="00845E12">
        <w:rPr>
          <w:rFonts w:eastAsia="Times New Roman" w:cs="Arial"/>
          <w:sz w:val="22"/>
          <w:lang w:eastAsia="fr-FR"/>
        </w:rPr>
        <w:t>M</w:t>
      </w:r>
      <w:r w:rsidR="00845E12" w:rsidRPr="00845E12">
        <w:rPr>
          <w:rFonts w:eastAsia="Times New Roman" w:cs="Arial"/>
          <w:sz w:val="22"/>
          <w:vertAlign w:val="superscript"/>
          <w:lang w:eastAsia="fr-FR"/>
        </w:rPr>
        <w:t>me</w:t>
      </w:r>
      <w:r w:rsidR="00845E12">
        <w:rPr>
          <w:rFonts w:eastAsia="Times New Roman" w:cs="Arial"/>
          <w:sz w:val="22"/>
          <w:lang w:eastAsia="fr-FR"/>
        </w:rPr>
        <w:t> </w:t>
      </w:r>
      <w:r w:rsidR="008D67E1">
        <w:rPr>
          <w:rFonts w:eastAsia="Times New Roman" w:cs="Arial"/>
          <w:sz w:val="22"/>
          <w:lang w:eastAsia="fr-FR"/>
        </w:rPr>
        <w:t xml:space="preserve">Anne </w:t>
      </w:r>
      <w:r w:rsidRPr="008B1467">
        <w:rPr>
          <w:rFonts w:eastAsia="Times New Roman" w:cs="Arial"/>
          <w:sz w:val="22"/>
          <w:lang w:eastAsia="fr-FR"/>
        </w:rPr>
        <w:t>Froment-</w:t>
      </w:r>
      <w:proofErr w:type="spellStart"/>
      <w:r w:rsidRPr="008B1467">
        <w:rPr>
          <w:rFonts w:eastAsia="Times New Roman" w:cs="Arial"/>
          <w:sz w:val="22"/>
          <w:lang w:eastAsia="fr-FR"/>
        </w:rPr>
        <w:t>Meurice</w:t>
      </w:r>
      <w:proofErr w:type="spellEnd"/>
      <w:r w:rsidRPr="008B1467">
        <w:rPr>
          <w:rFonts w:eastAsia="Times New Roman" w:cs="Arial"/>
          <w:sz w:val="22"/>
          <w:lang w:eastAsia="fr-FR"/>
        </w:rPr>
        <w:t>, présidente de chambre maintenue en activité, MM</w:t>
      </w:r>
      <w:r>
        <w:rPr>
          <w:rFonts w:eastAsia="Times New Roman" w:cs="Arial"/>
          <w:sz w:val="22"/>
          <w:lang w:eastAsia="fr-FR"/>
        </w:rPr>
        <w:t>.</w:t>
      </w:r>
      <w:r w:rsidRPr="008B1467">
        <w:rPr>
          <w:rFonts w:eastAsia="Times New Roman" w:cs="Arial"/>
          <w:sz w:val="22"/>
          <w:lang w:eastAsia="fr-FR"/>
        </w:rPr>
        <w:t xml:space="preserve"> </w:t>
      </w:r>
      <w:r w:rsidR="008D67E1">
        <w:rPr>
          <w:rFonts w:eastAsia="Times New Roman" w:cs="Arial"/>
          <w:sz w:val="22"/>
          <w:lang w:eastAsia="fr-FR"/>
        </w:rPr>
        <w:t xml:space="preserve">Gérard </w:t>
      </w:r>
      <w:r w:rsidRPr="008B1467">
        <w:rPr>
          <w:rFonts w:eastAsia="Times New Roman" w:cs="Arial"/>
          <w:sz w:val="22"/>
          <w:lang w:eastAsia="fr-FR"/>
        </w:rPr>
        <w:t xml:space="preserve">Ganser, </w:t>
      </w:r>
      <w:r w:rsidR="008D67E1">
        <w:rPr>
          <w:rFonts w:eastAsia="Times New Roman" w:cs="Arial"/>
          <w:sz w:val="22"/>
          <w:lang w:eastAsia="fr-FR"/>
        </w:rPr>
        <w:t xml:space="preserve">Jean-Pierre </w:t>
      </w:r>
      <w:r w:rsidRPr="008B1467">
        <w:rPr>
          <w:rFonts w:eastAsia="Times New Roman" w:cs="Arial"/>
          <w:sz w:val="22"/>
          <w:lang w:eastAsia="fr-FR"/>
        </w:rPr>
        <w:t>Lafaure</w:t>
      </w:r>
      <w:r w:rsidR="00971AC8">
        <w:rPr>
          <w:rFonts w:eastAsia="Times New Roman" w:cs="Arial"/>
          <w:sz w:val="22"/>
          <w:lang w:eastAsia="fr-FR"/>
        </w:rPr>
        <w:t xml:space="preserve">, Jean-Yves </w:t>
      </w:r>
      <w:proofErr w:type="spellStart"/>
      <w:r w:rsidR="00971AC8">
        <w:rPr>
          <w:rFonts w:eastAsia="Times New Roman" w:cs="Arial"/>
          <w:sz w:val="22"/>
          <w:lang w:eastAsia="fr-FR"/>
        </w:rPr>
        <w:t>Bertucci</w:t>
      </w:r>
      <w:proofErr w:type="spellEnd"/>
      <w:r w:rsidRPr="008B1467">
        <w:rPr>
          <w:rFonts w:eastAsia="Times New Roman" w:cs="Arial"/>
          <w:sz w:val="22"/>
          <w:lang w:eastAsia="fr-FR"/>
        </w:rPr>
        <w:t xml:space="preserve"> et </w:t>
      </w:r>
      <w:r w:rsidR="00845E12" w:rsidRPr="00845E12">
        <w:rPr>
          <w:rFonts w:eastAsia="Times New Roman" w:cs="Arial"/>
          <w:sz w:val="22"/>
          <w:lang w:eastAsia="fr-FR"/>
        </w:rPr>
        <w:t>M</w:t>
      </w:r>
      <w:r w:rsidR="00845E12" w:rsidRPr="00845E12">
        <w:rPr>
          <w:rFonts w:eastAsia="Times New Roman" w:cs="Arial"/>
          <w:sz w:val="22"/>
          <w:vertAlign w:val="superscript"/>
          <w:lang w:eastAsia="fr-FR"/>
        </w:rPr>
        <w:t>me</w:t>
      </w:r>
      <w:r w:rsidR="00845E12">
        <w:rPr>
          <w:rFonts w:eastAsia="Times New Roman" w:cs="Arial"/>
          <w:sz w:val="22"/>
          <w:lang w:eastAsia="fr-FR"/>
        </w:rPr>
        <w:t> </w:t>
      </w:r>
      <w:r w:rsidR="008D67E1">
        <w:rPr>
          <w:rFonts w:eastAsia="Times New Roman" w:cs="Arial"/>
          <w:sz w:val="22"/>
          <w:lang w:eastAsia="fr-FR"/>
        </w:rPr>
        <w:t xml:space="preserve">Laurence </w:t>
      </w:r>
      <w:r w:rsidRPr="008B1467">
        <w:rPr>
          <w:rFonts w:eastAsia="Times New Roman" w:cs="Arial"/>
          <w:sz w:val="22"/>
          <w:lang w:eastAsia="fr-FR"/>
        </w:rPr>
        <w:t>Engel, conseillers maîtres</w:t>
      </w:r>
      <w:r w:rsidR="008D67E1">
        <w:rPr>
          <w:rFonts w:eastAsia="Times New Roman" w:cs="Arial"/>
          <w:sz w:val="22"/>
          <w:lang w:eastAsia="fr-FR"/>
        </w:rPr>
        <w:t>.</w:t>
      </w:r>
      <w:r w:rsidRPr="008B1467">
        <w:rPr>
          <w:rFonts w:eastAsia="Times New Roman" w:cs="Arial"/>
          <w:sz w:val="22"/>
          <w:lang w:eastAsia="fr-FR"/>
        </w:rPr>
        <w:t xml:space="preserve"> </w:t>
      </w:r>
    </w:p>
    <w:p w:rsidR="008B1467" w:rsidRPr="008B1467" w:rsidRDefault="008B1467" w:rsidP="008B1467">
      <w:pPr>
        <w:spacing w:after="80" w:line="240" w:lineRule="auto"/>
        <w:jc w:val="both"/>
        <w:rPr>
          <w:rFonts w:eastAsia="Times New Roman" w:cs="Arial"/>
          <w:sz w:val="22"/>
          <w:lang w:eastAsia="fr-FR"/>
        </w:rPr>
      </w:pPr>
    </w:p>
    <w:p w:rsidR="008B1467" w:rsidRPr="008B1467" w:rsidRDefault="008B1467" w:rsidP="008B1467">
      <w:pPr>
        <w:spacing w:after="80" w:line="240" w:lineRule="auto"/>
        <w:jc w:val="both"/>
        <w:rPr>
          <w:rFonts w:eastAsia="Times New Roman" w:cs="Arial"/>
          <w:sz w:val="22"/>
          <w:lang w:eastAsia="fr-FR"/>
        </w:rPr>
      </w:pPr>
      <w:r w:rsidRPr="008B1467">
        <w:rPr>
          <w:rFonts w:eastAsia="Times New Roman" w:cs="Arial"/>
          <w:sz w:val="22"/>
          <w:lang w:eastAsia="fr-FR"/>
        </w:rPr>
        <w:t xml:space="preserve">En présence de </w:t>
      </w:r>
      <w:r w:rsidR="00845E12" w:rsidRPr="00845E12">
        <w:rPr>
          <w:rFonts w:eastAsia="Times New Roman" w:cs="Arial"/>
          <w:sz w:val="22"/>
          <w:lang w:eastAsia="fr-FR"/>
        </w:rPr>
        <w:t>M</w:t>
      </w:r>
      <w:r w:rsidR="00845E12" w:rsidRPr="00845E12">
        <w:rPr>
          <w:rFonts w:eastAsia="Times New Roman" w:cs="Arial"/>
          <w:sz w:val="22"/>
          <w:vertAlign w:val="superscript"/>
          <w:lang w:eastAsia="fr-FR"/>
        </w:rPr>
        <w:t>me</w:t>
      </w:r>
      <w:r w:rsidR="00845E12">
        <w:rPr>
          <w:rFonts w:eastAsia="Times New Roman" w:cs="Arial"/>
          <w:sz w:val="22"/>
          <w:lang w:eastAsia="fr-FR"/>
        </w:rPr>
        <w:t> </w:t>
      </w:r>
      <w:bookmarkStart w:id="0" w:name="_GoBack"/>
      <w:bookmarkEnd w:id="0"/>
      <w:r w:rsidRPr="008B1467">
        <w:rPr>
          <w:rFonts w:eastAsia="Times New Roman" w:cs="Arial"/>
          <w:sz w:val="22"/>
          <w:lang w:eastAsia="fr-FR"/>
        </w:rPr>
        <w:t xml:space="preserve">Marie-Hélène </w:t>
      </w:r>
      <w:r w:rsidR="00971AC8">
        <w:rPr>
          <w:rFonts w:eastAsia="Times New Roman" w:cs="Arial"/>
          <w:sz w:val="22"/>
          <w:lang w:eastAsia="fr-FR"/>
        </w:rPr>
        <w:t>Paris-V</w:t>
      </w:r>
      <w:r w:rsidR="00971AC8" w:rsidRPr="008B1467">
        <w:rPr>
          <w:rFonts w:eastAsia="Times New Roman" w:cs="Arial"/>
          <w:sz w:val="22"/>
          <w:lang w:eastAsia="fr-FR"/>
        </w:rPr>
        <w:t>arin</w:t>
      </w:r>
      <w:r w:rsidRPr="008B1467">
        <w:rPr>
          <w:rFonts w:eastAsia="Times New Roman" w:cs="Arial"/>
          <w:sz w:val="22"/>
          <w:lang w:eastAsia="fr-FR"/>
        </w:rPr>
        <w:t>, greffière de séance.</w:t>
      </w:r>
    </w:p>
    <w:p w:rsidR="008B1467" w:rsidRPr="008B1467" w:rsidRDefault="008B1467" w:rsidP="008B1467">
      <w:pPr>
        <w:spacing w:after="80" w:line="240" w:lineRule="auto"/>
        <w:jc w:val="both"/>
        <w:rPr>
          <w:rFonts w:eastAsia="Times New Roman" w:cs="Arial"/>
          <w:sz w:val="22"/>
          <w:lang w:eastAsia="fr-FR"/>
        </w:rPr>
      </w:pPr>
    </w:p>
    <w:p w:rsidR="008B1467" w:rsidRPr="008B1467" w:rsidRDefault="008B1467" w:rsidP="008B1467">
      <w:pPr>
        <w:spacing w:after="80" w:line="240" w:lineRule="auto"/>
        <w:ind w:firstLine="851"/>
        <w:jc w:val="both"/>
        <w:rPr>
          <w:rFonts w:eastAsia="Times New Roman" w:cs="Arial"/>
          <w:sz w:val="24"/>
          <w:szCs w:val="24"/>
          <w:lang w:eastAsia="fr-FR"/>
        </w:rPr>
      </w:pPr>
    </w:p>
    <w:p w:rsidR="008B1467" w:rsidRPr="008B1467" w:rsidRDefault="008B1467" w:rsidP="008B1467">
      <w:pPr>
        <w:spacing w:after="80" w:line="240" w:lineRule="auto"/>
        <w:ind w:firstLine="851"/>
        <w:jc w:val="both"/>
        <w:rPr>
          <w:rFonts w:eastAsia="Times New Roman" w:cs="Arial"/>
          <w:sz w:val="24"/>
          <w:szCs w:val="24"/>
          <w:lang w:eastAsia="fr-FR"/>
        </w:rPr>
      </w:pPr>
    </w:p>
    <w:p w:rsidR="008B1467" w:rsidRPr="008B1467" w:rsidRDefault="008B1467" w:rsidP="008B1467">
      <w:pPr>
        <w:spacing w:after="80" w:line="240" w:lineRule="auto"/>
        <w:ind w:firstLine="851"/>
        <w:jc w:val="both"/>
        <w:rPr>
          <w:rFonts w:eastAsia="Times New Roman" w:cs="Arial"/>
          <w:sz w:val="24"/>
          <w:szCs w:val="24"/>
          <w:lang w:eastAsia="fr-FR"/>
        </w:rPr>
      </w:pPr>
    </w:p>
    <w:p w:rsidR="008B1467" w:rsidRPr="008B1467" w:rsidRDefault="008B1467" w:rsidP="008B1467">
      <w:pPr>
        <w:spacing w:after="80" w:line="240" w:lineRule="auto"/>
        <w:ind w:firstLine="851"/>
        <w:jc w:val="both"/>
        <w:rPr>
          <w:rFonts w:eastAsia="Times New Roman" w:cs="Arial"/>
          <w:sz w:val="24"/>
          <w:szCs w:val="24"/>
          <w:lang w:eastAsia="fr-FR"/>
        </w:rPr>
      </w:pPr>
    </w:p>
    <w:p w:rsidR="008B1467" w:rsidRPr="008B1467" w:rsidRDefault="008B1467" w:rsidP="008B1467">
      <w:pPr>
        <w:spacing w:after="80" w:line="240" w:lineRule="auto"/>
        <w:jc w:val="both"/>
        <w:rPr>
          <w:rFonts w:eastAsia="Times New Roman" w:cs="Arial"/>
          <w:sz w:val="24"/>
          <w:szCs w:val="24"/>
          <w:lang w:eastAsia="fr-FR"/>
        </w:rPr>
      </w:pPr>
    </w:p>
    <w:tbl>
      <w:tblPr>
        <w:tblW w:w="0" w:type="auto"/>
        <w:tblInd w:w="34" w:type="dxa"/>
        <w:tblLook w:val="00A0" w:firstRow="1" w:lastRow="0" w:firstColumn="1" w:lastColumn="0" w:noHBand="0" w:noVBand="0"/>
      </w:tblPr>
      <w:tblGrid>
        <w:gridCol w:w="4616"/>
        <w:gridCol w:w="4636"/>
      </w:tblGrid>
      <w:tr w:rsidR="008B1467" w:rsidRPr="008B1467" w:rsidTr="00110E35">
        <w:tc>
          <w:tcPr>
            <w:tcW w:w="5413" w:type="dxa"/>
          </w:tcPr>
          <w:p w:rsidR="008B1467" w:rsidRPr="008B1467" w:rsidRDefault="008B1467" w:rsidP="008B1467">
            <w:pPr>
              <w:spacing w:after="80" w:line="240" w:lineRule="auto"/>
              <w:ind w:firstLine="851"/>
              <w:jc w:val="both"/>
              <w:rPr>
                <w:rFonts w:eastAsia="Times New Roman" w:cs="Arial"/>
                <w:b/>
                <w:sz w:val="22"/>
                <w:lang w:eastAsia="fr-FR"/>
              </w:rPr>
            </w:pPr>
            <w:r w:rsidRPr="008B1467">
              <w:rPr>
                <w:rFonts w:eastAsia="Times New Roman" w:cs="Arial"/>
                <w:b/>
                <w:sz w:val="22"/>
                <w:lang w:eastAsia="fr-FR"/>
              </w:rPr>
              <w:t>Marie-Hélène PARIS-VARIN</w:t>
            </w:r>
          </w:p>
          <w:p w:rsidR="008B1467" w:rsidRPr="008B1467" w:rsidRDefault="008B1467" w:rsidP="008B1467">
            <w:pPr>
              <w:spacing w:after="80" w:line="240" w:lineRule="auto"/>
              <w:ind w:firstLine="851"/>
              <w:jc w:val="both"/>
              <w:rPr>
                <w:rFonts w:eastAsia="Times New Roman" w:cs="Arial"/>
                <w:b/>
                <w:sz w:val="22"/>
                <w:lang w:eastAsia="fr-FR"/>
              </w:rPr>
            </w:pPr>
          </w:p>
        </w:tc>
        <w:tc>
          <w:tcPr>
            <w:tcW w:w="5414" w:type="dxa"/>
          </w:tcPr>
          <w:p w:rsidR="008B1467" w:rsidRPr="008B1467" w:rsidRDefault="008B1467" w:rsidP="008B1467">
            <w:pPr>
              <w:spacing w:after="80" w:line="240" w:lineRule="auto"/>
              <w:ind w:firstLine="851"/>
              <w:jc w:val="both"/>
              <w:rPr>
                <w:rFonts w:eastAsia="Times New Roman" w:cs="Arial"/>
                <w:b/>
                <w:sz w:val="22"/>
                <w:lang w:eastAsia="fr-FR"/>
              </w:rPr>
            </w:pPr>
            <w:r w:rsidRPr="008B1467">
              <w:rPr>
                <w:rFonts w:eastAsia="Times New Roman" w:cs="Arial"/>
                <w:b/>
                <w:sz w:val="22"/>
                <w:lang w:eastAsia="fr-FR"/>
              </w:rPr>
              <w:t>Jean-Philippe VACHIA</w:t>
            </w:r>
          </w:p>
          <w:p w:rsidR="008B1467" w:rsidRPr="008B1467" w:rsidRDefault="008B1467" w:rsidP="008B1467">
            <w:pPr>
              <w:spacing w:after="80" w:line="240" w:lineRule="auto"/>
              <w:ind w:firstLine="851"/>
              <w:jc w:val="both"/>
              <w:rPr>
                <w:rFonts w:eastAsia="Times New Roman" w:cs="Arial"/>
                <w:b/>
                <w:sz w:val="22"/>
                <w:lang w:eastAsia="fr-FR"/>
              </w:rPr>
            </w:pPr>
          </w:p>
        </w:tc>
      </w:tr>
    </w:tbl>
    <w:p w:rsidR="008B1467" w:rsidRPr="008B1467" w:rsidRDefault="008B1467" w:rsidP="008B1467">
      <w:pPr>
        <w:spacing w:after="80" w:line="240" w:lineRule="auto"/>
        <w:ind w:firstLine="851"/>
        <w:jc w:val="both"/>
        <w:rPr>
          <w:rFonts w:eastAsia="Times New Roman" w:cs="Arial"/>
          <w:sz w:val="22"/>
          <w:lang w:eastAsia="fr-FR"/>
        </w:rPr>
      </w:pPr>
    </w:p>
    <w:p w:rsidR="008B1467" w:rsidRPr="008B1467" w:rsidRDefault="008B1467" w:rsidP="008B1467">
      <w:pPr>
        <w:spacing w:after="80" w:line="240" w:lineRule="auto"/>
        <w:jc w:val="both"/>
        <w:rPr>
          <w:rFonts w:eastAsia="Times New Roman" w:cs="Arial"/>
          <w:sz w:val="22"/>
          <w:lang w:eastAsia="fr-FR"/>
        </w:rPr>
      </w:pPr>
      <w:r w:rsidRPr="008B1467">
        <w:rPr>
          <w:rFonts w:eastAsia="Times New Roman" w:cs="Arial"/>
          <w:sz w:val="22"/>
          <w:lang w:eastAsia="fr-FR"/>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8B1467" w:rsidRPr="008B1467" w:rsidRDefault="008B1467" w:rsidP="008B1467">
      <w:pPr>
        <w:spacing w:after="80" w:line="240" w:lineRule="auto"/>
        <w:jc w:val="both"/>
        <w:rPr>
          <w:rFonts w:eastAsia="Times New Roman" w:cs="Arial"/>
          <w:sz w:val="22"/>
          <w:lang w:eastAsia="fr-FR"/>
        </w:rPr>
      </w:pPr>
    </w:p>
    <w:p w:rsidR="008B1467" w:rsidRPr="008B1467" w:rsidRDefault="008B1467" w:rsidP="008B1467">
      <w:pPr>
        <w:spacing w:after="80" w:line="240" w:lineRule="auto"/>
        <w:jc w:val="both"/>
        <w:rPr>
          <w:rFonts w:eastAsia="Times New Roman" w:cs="Arial"/>
          <w:sz w:val="22"/>
          <w:lang w:eastAsia="fr-FR"/>
        </w:rPr>
      </w:pPr>
      <w:r w:rsidRPr="008B1467">
        <w:rPr>
          <w:rFonts w:eastAsia="Times New Roman" w:cs="Arial"/>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8B1467" w:rsidRPr="008B1467" w:rsidRDefault="008B1467" w:rsidP="008B1467">
      <w:pPr>
        <w:spacing w:after="80" w:line="240" w:lineRule="auto"/>
        <w:jc w:val="both"/>
        <w:rPr>
          <w:rFonts w:eastAsia="Times New Roman" w:cs="Arial"/>
          <w:sz w:val="22"/>
          <w:lang w:eastAsia="fr-FR"/>
        </w:rPr>
      </w:pPr>
    </w:p>
    <w:p w:rsidR="008B1467" w:rsidRPr="008B1467" w:rsidRDefault="008B1467" w:rsidP="008B1467">
      <w:pPr>
        <w:spacing w:after="80" w:line="240" w:lineRule="auto"/>
        <w:ind w:firstLine="851"/>
        <w:jc w:val="both"/>
        <w:rPr>
          <w:rFonts w:eastAsia="Times New Roman" w:cs="Arial"/>
          <w:sz w:val="24"/>
          <w:szCs w:val="24"/>
          <w:lang w:eastAsia="fr-FR"/>
        </w:rPr>
      </w:pPr>
    </w:p>
    <w:p w:rsidR="008B1467" w:rsidRPr="008B1467" w:rsidRDefault="008B1467" w:rsidP="008B1467">
      <w:pPr>
        <w:spacing w:after="80" w:line="240" w:lineRule="auto"/>
        <w:ind w:firstLine="851"/>
        <w:jc w:val="both"/>
        <w:rPr>
          <w:rFonts w:eastAsia="Times New Roman" w:cs="Arial"/>
          <w:sz w:val="24"/>
          <w:szCs w:val="24"/>
          <w:lang w:eastAsia="fr-FR"/>
        </w:rPr>
      </w:pPr>
    </w:p>
    <w:p w:rsidR="008B1467" w:rsidRPr="00C13095" w:rsidRDefault="008B1467" w:rsidP="00C13095"/>
    <w:sectPr w:rsidR="008B1467" w:rsidRPr="00C13095"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1A7" w:rsidRDefault="00A941A7" w:rsidP="00B41656">
      <w:pPr>
        <w:spacing w:line="240" w:lineRule="auto"/>
      </w:pPr>
      <w:r>
        <w:separator/>
      </w:r>
    </w:p>
  </w:endnote>
  <w:endnote w:type="continuationSeparator" w:id="0">
    <w:p w:rsidR="00A941A7" w:rsidRDefault="00A941A7"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w:t>
          </w: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w:t>
          </w: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1A7" w:rsidRDefault="00A941A7" w:rsidP="00B41656">
      <w:pPr>
        <w:spacing w:line="240" w:lineRule="auto"/>
      </w:pPr>
      <w:r>
        <w:separator/>
      </w:r>
    </w:p>
  </w:footnote>
  <w:footnote w:type="continuationSeparator" w:id="0">
    <w:p w:rsidR="00A941A7" w:rsidRDefault="00A941A7"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A941A7"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845E12">
                <w:rPr>
                  <w:b/>
                  <w:noProof/>
                </w:rPr>
                <w:t>4</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845E12">
                <w:rPr>
                  <w:b/>
                  <w:noProof/>
                </w:rPr>
                <w:t>4</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9511091"/>
    <w:multiLevelType w:val="singleLevel"/>
    <w:tmpl w:val="421465B2"/>
    <w:lvl w:ilvl="0">
      <w:start w:val="1"/>
      <w:numFmt w:val="decimal"/>
      <w:pStyle w:val="Titreobservations"/>
      <w:lvlText w:val="Obs. %1 "/>
      <w:lvlJc w:val="left"/>
      <w:pPr>
        <w:tabs>
          <w:tab w:val="num" w:pos="1260"/>
        </w:tabs>
        <w:ind w:left="540" w:hanging="360"/>
      </w:p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6C32535"/>
    <w:multiLevelType w:val="hybridMultilevel"/>
    <w:tmpl w:val="2ABA8D9C"/>
    <w:lvl w:ilvl="0" w:tplc="5044067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06902"/>
    <w:rsid w:val="00026209"/>
    <w:rsid w:val="00042157"/>
    <w:rsid w:val="00055973"/>
    <w:rsid w:val="00057C1C"/>
    <w:rsid w:val="00060466"/>
    <w:rsid w:val="000644DC"/>
    <w:rsid w:val="00067EA3"/>
    <w:rsid w:val="00077E98"/>
    <w:rsid w:val="000B6546"/>
    <w:rsid w:val="000D50E6"/>
    <w:rsid w:val="000D61A7"/>
    <w:rsid w:val="000F5299"/>
    <w:rsid w:val="000F53CA"/>
    <w:rsid w:val="00110640"/>
    <w:rsid w:val="0011474E"/>
    <w:rsid w:val="001248F5"/>
    <w:rsid w:val="0013115F"/>
    <w:rsid w:val="00131A38"/>
    <w:rsid w:val="001440E9"/>
    <w:rsid w:val="001656BC"/>
    <w:rsid w:val="001659AD"/>
    <w:rsid w:val="0016783F"/>
    <w:rsid w:val="00172BFB"/>
    <w:rsid w:val="001733C8"/>
    <w:rsid w:val="00177B90"/>
    <w:rsid w:val="0018086B"/>
    <w:rsid w:val="00197600"/>
    <w:rsid w:val="001C59EC"/>
    <w:rsid w:val="001D11BE"/>
    <w:rsid w:val="002040C2"/>
    <w:rsid w:val="00215411"/>
    <w:rsid w:val="002257B0"/>
    <w:rsid w:val="002304DE"/>
    <w:rsid w:val="00231C67"/>
    <w:rsid w:val="00240772"/>
    <w:rsid w:val="00240C13"/>
    <w:rsid w:val="00244453"/>
    <w:rsid w:val="00251668"/>
    <w:rsid w:val="0025544C"/>
    <w:rsid w:val="0025618D"/>
    <w:rsid w:val="00265091"/>
    <w:rsid w:val="00283473"/>
    <w:rsid w:val="002878B1"/>
    <w:rsid w:val="002A2A4B"/>
    <w:rsid w:val="002B443B"/>
    <w:rsid w:val="002B74C3"/>
    <w:rsid w:val="002C04EE"/>
    <w:rsid w:val="002C0B4C"/>
    <w:rsid w:val="002C15FE"/>
    <w:rsid w:val="002C37E0"/>
    <w:rsid w:val="002D0DA9"/>
    <w:rsid w:val="002D2D17"/>
    <w:rsid w:val="002E61A9"/>
    <w:rsid w:val="002E75B7"/>
    <w:rsid w:val="002E7815"/>
    <w:rsid w:val="002F2B96"/>
    <w:rsid w:val="002F4EB2"/>
    <w:rsid w:val="00335254"/>
    <w:rsid w:val="003568E9"/>
    <w:rsid w:val="00365ED7"/>
    <w:rsid w:val="00376FD6"/>
    <w:rsid w:val="0039517C"/>
    <w:rsid w:val="003955D7"/>
    <w:rsid w:val="003A09FE"/>
    <w:rsid w:val="003A692E"/>
    <w:rsid w:val="003B7BA2"/>
    <w:rsid w:val="003C582D"/>
    <w:rsid w:val="003C729C"/>
    <w:rsid w:val="003D0B4E"/>
    <w:rsid w:val="003D51CA"/>
    <w:rsid w:val="003D58FB"/>
    <w:rsid w:val="003D7655"/>
    <w:rsid w:val="004022CB"/>
    <w:rsid w:val="00411920"/>
    <w:rsid w:val="004507C2"/>
    <w:rsid w:val="00450A8B"/>
    <w:rsid w:val="00466852"/>
    <w:rsid w:val="0047092C"/>
    <w:rsid w:val="004779C2"/>
    <w:rsid w:val="00477C3D"/>
    <w:rsid w:val="004A0C49"/>
    <w:rsid w:val="004A1A11"/>
    <w:rsid w:val="004A3477"/>
    <w:rsid w:val="004A49F1"/>
    <w:rsid w:val="005007FE"/>
    <w:rsid w:val="00521224"/>
    <w:rsid w:val="00530103"/>
    <w:rsid w:val="005369EE"/>
    <w:rsid w:val="0054781F"/>
    <w:rsid w:val="00594431"/>
    <w:rsid w:val="005B4CA5"/>
    <w:rsid w:val="005C5994"/>
    <w:rsid w:val="005C7346"/>
    <w:rsid w:val="005F61B5"/>
    <w:rsid w:val="00604974"/>
    <w:rsid w:val="0061509F"/>
    <w:rsid w:val="0063020D"/>
    <w:rsid w:val="006344B0"/>
    <w:rsid w:val="00634522"/>
    <w:rsid w:val="00640087"/>
    <w:rsid w:val="00647807"/>
    <w:rsid w:val="00662166"/>
    <w:rsid w:val="0066302B"/>
    <w:rsid w:val="00676091"/>
    <w:rsid w:val="006774B5"/>
    <w:rsid w:val="0068148D"/>
    <w:rsid w:val="00687F6F"/>
    <w:rsid w:val="006A024E"/>
    <w:rsid w:val="006A4EB5"/>
    <w:rsid w:val="006A568B"/>
    <w:rsid w:val="006A7750"/>
    <w:rsid w:val="006B3C58"/>
    <w:rsid w:val="006C72CB"/>
    <w:rsid w:val="006D3A01"/>
    <w:rsid w:val="006D4012"/>
    <w:rsid w:val="006E0C9C"/>
    <w:rsid w:val="006E170E"/>
    <w:rsid w:val="006E3A7F"/>
    <w:rsid w:val="00707BD1"/>
    <w:rsid w:val="00724014"/>
    <w:rsid w:val="007252C5"/>
    <w:rsid w:val="007410AA"/>
    <w:rsid w:val="00752576"/>
    <w:rsid w:val="00757B51"/>
    <w:rsid w:val="00764F62"/>
    <w:rsid w:val="00765A21"/>
    <w:rsid w:val="00775226"/>
    <w:rsid w:val="0077703E"/>
    <w:rsid w:val="007A448C"/>
    <w:rsid w:val="007B06F6"/>
    <w:rsid w:val="007C1EB0"/>
    <w:rsid w:val="007E06F2"/>
    <w:rsid w:val="007F2707"/>
    <w:rsid w:val="007F76E8"/>
    <w:rsid w:val="00813F2C"/>
    <w:rsid w:val="0081551A"/>
    <w:rsid w:val="00816090"/>
    <w:rsid w:val="0082514D"/>
    <w:rsid w:val="008256E2"/>
    <w:rsid w:val="00841BD5"/>
    <w:rsid w:val="00845E12"/>
    <w:rsid w:val="0085194D"/>
    <w:rsid w:val="00863D04"/>
    <w:rsid w:val="00864EA4"/>
    <w:rsid w:val="0086760B"/>
    <w:rsid w:val="00875AE9"/>
    <w:rsid w:val="008844EF"/>
    <w:rsid w:val="008A34BF"/>
    <w:rsid w:val="008A6ACF"/>
    <w:rsid w:val="008B01F8"/>
    <w:rsid w:val="008B1467"/>
    <w:rsid w:val="008C244D"/>
    <w:rsid w:val="008D670A"/>
    <w:rsid w:val="008D67E1"/>
    <w:rsid w:val="008E360F"/>
    <w:rsid w:val="008E5EE8"/>
    <w:rsid w:val="008E6068"/>
    <w:rsid w:val="008E6349"/>
    <w:rsid w:val="008F0F94"/>
    <w:rsid w:val="008F2C0D"/>
    <w:rsid w:val="008F5219"/>
    <w:rsid w:val="00900969"/>
    <w:rsid w:val="0091068D"/>
    <w:rsid w:val="00932341"/>
    <w:rsid w:val="009405CE"/>
    <w:rsid w:val="00950441"/>
    <w:rsid w:val="009627B1"/>
    <w:rsid w:val="00966697"/>
    <w:rsid w:val="009672D3"/>
    <w:rsid w:val="00970485"/>
    <w:rsid w:val="00971AC8"/>
    <w:rsid w:val="009802E3"/>
    <w:rsid w:val="009B22BF"/>
    <w:rsid w:val="009B295F"/>
    <w:rsid w:val="009E45E4"/>
    <w:rsid w:val="009F0FB6"/>
    <w:rsid w:val="00A02D30"/>
    <w:rsid w:val="00A124A7"/>
    <w:rsid w:val="00A32C49"/>
    <w:rsid w:val="00A4059D"/>
    <w:rsid w:val="00A56A52"/>
    <w:rsid w:val="00A755A3"/>
    <w:rsid w:val="00A83FC9"/>
    <w:rsid w:val="00A86BEC"/>
    <w:rsid w:val="00A90B88"/>
    <w:rsid w:val="00A941A7"/>
    <w:rsid w:val="00A9735F"/>
    <w:rsid w:val="00AA2B1F"/>
    <w:rsid w:val="00AA6611"/>
    <w:rsid w:val="00AB25CD"/>
    <w:rsid w:val="00AE774F"/>
    <w:rsid w:val="00AF3334"/>
    <w:rsid w:val="00B128E3"/>
    <w:rsid w:val="00B20DF8"/>
    <w:rsid w:val="00B26C9B"/>
    <w:rsid w:val="00B275C1"/>
    <w:rsid w:val="00B41656"/>
    <w:rsid w:val="00B56D44"/>
    <w:rsid w:val="00B573AB"/>
    <w:rsid w:val="00B645D1"/>
    <w:rsid w:val="00B64C77"/>
    <w:rsid w:val="00B967C8"/>
    <w:rsid w:val="00BA31B3"/>
    <w:rsid w:val="00BA60D8"/>
    <w:rsid w:val="00BB2920"/>
    <w:rsid w:val="00BB3CFB"/>
    <w:rsid w:val="00BB7176"/>
    <w:rsid w:val="00BC40A5"/>
    <w:rsid w:val="00BE6831"/>
    <w:rsid w:val="00BF3254"/>
    <w:rsid w:val="00C04525"/>
    <w:rsid w:val="00C065C7"/>
    <w:rsid w:val="00C15756"/>
    <w:rsid w:val="00C170D5"/>
    <w:rsid w:val="00C17123"/>
    <w:rsid w:val="00C22187"/>
    <w:rsid w:val="00C232B4"/>
    <w:rsid w:val="00C23B89"/>
    <w:rsid w:val="00C32D50"/>
    <w:rsid w:val="00C470E9"/>
    <w:rsid w:val="00C52DFF"/>
    <w:rsid w:val="00C629A6"/>
    <w:rsid w:val="00C67D39"/>
    <w:rsid w:val="00C708CF"/>
    <w:rsid w:val="00C77CA2"/>
    <w:rsid w:val="00CA1BD5"/>
    <w:rsid w:val="00CA2B9B"/>
    <w:rsid w:val="00CC39B0"/>
    <w:rsid w:val="00CC39CD"/>
    <w:rsid w:val="00CE1BD7"/>
    <w:rsid w:val="00CE331B"/>
    <w:rsid w:val="00CE3848"/>
    <w:rsid w:val="00CE4F79"/>
    <w:rsid w:val="00CF6809"/>
    <w:rsid w:val="00D01C3E"/>
    <w:rsid w:val="00D21CDB"/>
    <w:rsid w:val="00D37F52"/>
    <w:rsid w:val="00D500EF"/>
    <w:rsid w:val="00D51C43"/>
    <w:rsid w:val="00D62649"/>
    <w:rsid w:val="00D7444E"/>
    <w:rsid w:val="00D817B5"/>
    <w:rsid w:val="00D823E2"/>
    <w:rsid w:val="00D9146A"/>
    <w:rsid w:val="00D95E19"/>
    <w:rsid w:val="00DA23AB"/>
    <w:rsid w:val="00DA6392"/>
    <w:rsid w:val="00DB1DD1"/>
    <w:rsid w:val="00DC6746"/>
    <w:rsid w:val="00DD0F8F"/>
    <w:rsid w:val="00DD1915"/>
    <w:rsid w:val="00DE32E4"/>
    <w:rsid w:val="00DE48AF"/>
    <w:rsid w:val="00DE6999"/>
    <w:rsid w:val="00E03E5C"/>
    <w:rsid w:val="00E16AC8"/>
    <w:rsid w:val="00E25406"/>
    <w:rsid w:val="00E35B8A"/>
    <w:rsid w:val="00E430FB"/>
    <w:rsid w:val="00E50897"/>
    <w:rsid w:val="00E515EB"/>
    <w:rsid w:val="00E55D24"/>
    <w:rsid w:val="00E86FB6"/>
    <w:rsid w:val="00E87137"/>
    <w:rsid w:val="00E96FA2"/>
    <w:rsid w:val="00EA7EB8"/>
    <w:rsid w:val="00ED3235"/>
    <w:rsid w:val="00ED3BBB"/>
    <w:rsid w:val="00ED514E"/>
    <w:rsid w:val="00EE2510"/>
    <w:rsid w:val="00EE3AA4"/>
    <w:rsid w:val="00EE4F42"/>
    <w:rsid w:val="00F02B00"/>
    <w:rsid w:val="00F02D0A"/>
    <w:rsid w:val="00F34BAC"/>
    <w:rsid w:val="00F505D4"/>
    <w:rsid w:val="00F63CE2"/>
    <w:rsid w:val="00F73ABC"/>
    <w:rsid w:val="00F8606B"/>
    <w:rsid w:val="00F91947"/>
    <w:rsid w:val="00F93466"/>
    <w:rsid w:val="00FA2EC4"/>
    <w:rsid w:val="00FA7127"/>
    <w:rsid w:val="00FB3658"/>
    <w:rsid w:val="00FC3558"/>
    <w:rsid w:val="00FD0060"/>
    <w:rsid w:val="00FD31C9"/>
    <w:rsid w:val="00FD3A73"/>
    <w:rsid w:val="00FE25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footnote reference" w:uiPriority="0"/>
    <w:lsdException w:name="endnote reference"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rsid w:val="004779C2"/>
    <w:pPr>
      <w:spacing w:after="120" w:line="240" w:lineRule="auto"/>
      <w:ind w:firstLine="851"/>
      <w:jc w:val="both"/>
    </w:pPr>
    <w:rPr>
      <w:rFonts w:ascii="Times New Roman" w:eastAsia="Times New Roman" w:hAnsi="Times New Roman"/>
      <w:b/>
      <w:i/>
      <w:sz w:val="22"/>
      <w:szCs w:val="24"/>
      <w:lang w:eastAsia="fr-FR"/>
    </w:rPr>
  </w:style>
  <w:style w:type="character" w:customStyle="1" w:styleId="CorpsdetexteCar">
    <w:name w:val="Corps de texte Car"/>
    <w:basedOn w:val="Policepardfaut"/>
    <w:link w:val="Corpsdetexte"/>
    <w:rsid w:val="004779C2"/>
    <w:rPr>
      <w:rFonts w:ascii="Times New Roman" w:eastAsia="Times New Roman" w:hAnsi="Times New Roman"/>
      <w:b/>
      <w:i/>
      <w:sz w:val="22"/>
      <w:szCs w:val="24"/>
    </w:rPr>
  </w:style>
  <w:style w:type="character" w:styleId="Appeldenotedefin">
    <w:name w:val="endnote reference"/>
    <w:semiHidden/>
    <w:rsid w:val="004779C2"/>
    <w:rPr>
      <w:vertAlign w:val="superscript"/>
    </w:rPr>
  </w:style>
  <w:style w:type="character" w:styleId="lev">
    <w:name w:val="Strong"/>
    <w:uiPriority w:val="22"/>
    <w:qFormat/>
    <w:rsid w:val="004779C2"/>
    <w:rPr>
      <w:b/>
      <w:bCs/>
    </w:rPr>
  </w:style>
  <w:style w:type="paragraph" w:customStyle="1" w:styleId="Titreobservations">
    <w:name w:val="Titre observations"/>
    <w:basedOn w:val="Normal"/>
    <w:next w:val="Corpsdetexte"/>
    <w:rsid w:val="004779C2"/>
    <w:pPr>
      <w:numPr>
        <w:numId w:val="9"/>
      </w:numPr>
      <w:spacing w:before="240" w:after="240" w:line="240" w:lineRule="auto"/>
      <w:jc w:val="both"/>
    </w:pPr>
    <w:rPr>
      <w:rFonts w:ascii="Times New Roman" w:eastAsia="Times New Roman" w:hAnsi="Times New Roman"/>
      <w:b/>
      <w:color w:val="000080"/>
      <w:sz w:val="24"/>
      <w:szCs w:val="20"/>
      <w:lang w:eastAsia="fr-FR"/>
    </w:rPr>
  </w:style>
  <w:style w:type="character" w:styleId="Accentuation">
    <w:name w:val="Emphasis"/>
    <w:uiPriority w:val="20"/>
    <w:qFormat/>
    <w:rsid w:val="004779C2"/>
    <w:rPr>
      <w:i/>
      <w:iCs/>
    </w:rPr>
  </w:style>
  <w:style w:type="paragraph" w:customStyle="1" w:styleId="pretrait">
    <w:name w:val="pretrait"/>
    <w:basedOn w:val="Normal"/>
    <w:rsid w:val="007F76E8"/>
    <w:pPr>
      <w:spacing w:line="300" w:lineRule="exact"/>
      <w:ind w:firstLine="1134"/>
      <w:jc w:val="both"/>
    </w:pPr>
    <w:rPr>
      <w:rFonts w:ascii="Times New Roman" w:eastAsia="Times New Roman" w:hAnsi="Times New Roman"/>
      <w:noProof/>
      <w:sz w:val="24"/>
      <w:szCs w:val="20"/>
      <w:lang w:eastAsia="fr-FR"/>
    </w:rPr>
  </w:style>
  <w:style w:type="character" w:styleId="Marquedecommentaire">
    <w:name w:val="annotation reference"/>
    <w:basedOn w:val="Policepardfaut"/>
    <w:uiPriority w:val="99"/>
    <w:semiHidden/>
    <w:rsid w:val="00813F2C"/>
    <w:rPr>
      <w:sz w:val="16"/>
      <w:szCs w:val="16"/>
    </w:rPr>
  </w:style>
  <w:style w:type="paragraph" w:styleId="Commentaire">
    <w:name w:val="annotation text"/>
    <w:basedOn w:val="Normal"/>
    <w:link w:val="CommentaireCar"/>
    <w:uiPriority w:val="99"/>
    <w:semiHidden/>
    <w:rsid w:val="00813F2C"/>
    <w:pPr>
      <w:spacing w:line="240" w:lineRule="auto"/>
    </w:pPr>
    <w:rPr>
      <w:sz w:val="20"/>
      <w:szCs w:val="20"/>
    </w:rPr>
  </w:style>
  <w:style w:type="character" w:customStyle="1" w:styleId="CommentaireCar">
    <w:name w:val="Commentaire Car"/>
    <w:basedOn w:val="Policepardfaut"/>
    <w:link w:val="Commentaire"/>
    <w:uiPriority w:val="99"/>
    <w:semiHidden/>
    <w:rsid w:val="00813F2C"/>
    <w:rPr>
      <w:lang w:eastAsia="en-US"/>
    </w:rPr>
  </w:style>
  <w:style w:type="paragraph" w:styleId="Objetducommentaire">
    <w:name w:val="annotation subject"/>
    <w:basedOn w:val="Commentaire"/>
    <w:next w:val="Commentaire"/>
    <w:link w:val="ObjetducommentaireCar"/>
    <w:uiPriority w:val="99"/>
    <w:semiHidden/>
    <w:rsid w:val="00813F2C"/>
    <w:rPr>
      <w:b/>
      <w:bCs/>
    </w:rPr>
  </w:style>
  <w:style w:type="character" w:customStyle="1" w:styleId="ObjetducommentaireCar">
    <w:name w:val="Objet du commentaire Car"/>
    <w:basedOn w:val="CommentaireCar"/>
    <w:link w:val="Objetducommentaire"/>
    <w:uiPriority w:val="99"/>
    <w:semiHidden/>
    <w:rsid w:val="00813F2C"/>
    <w:rPr>
      <w:b/>
      <w:bCs/>
      <w:lang w:eastAsia="en-US"/>
    </w:rPr>
  </w:style>
  <w:style w:type="paragraph" w:styleId="Rvision">
    <w:name w:val="Revision"/>
    <w:hidden/>
    <w:uiPriority w:val="71"/>
    <w:rsid w:val="00813F2C"/>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footnote reference" w:uiPriority="0"/>
    <w:lsdException w:name="endnote reference"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rsid w:val="004779C2"/>
    <w:pPr>
      <w:spacing w:after="120" w:line="240" w:lineRule="auto"/>
      <w:ind w:firstLine="851"/>
      <w:jc w:val="both"/>
    </w:pPr>
    <w:rPr>
      <w:rFonts w:ascii="Times New Roman" w:eastAsia="Times New Roman" w:hAnsi="Times New Roman"/>
      <w:b/>
      <w:i/>
      <w:sz w:val="22"/>
      <w:szCs w:val="24"/>
      <w:lang w:eastAsia="fr-FR"/>
    </w:rPr>
  </w:style>
  <w:style w:type="character" w:customStyle="1" w:styleId="CorpsdetexteCar">
    <w:name w:val="Corps de texte Car"/>
    <w:basedOn w:val="Policepardfaut"/>
    <w:link w:val="Corpsdetexte"/>
    <w:rsid w:val="004779C2"/>
    <w:rPr>
      <w:rFonts w:ascii="Times New Roman" w:eastAsia="Times New Roman" w:hAnsi="Times New Roman"/>
      <w:b/>
      <w:i/>
      <w:sz w:val="22"/>
      <w:szCs w:val="24"/>
    </w:rPr>
  </w:style>
  <w:style w:type="character" w:styleId="Appeldenotedefin">
    <w:name w:val="endnote reference"/>
    <w:semiHidden/>
    <w:rsid w:val="004779C2"/>
    <w:rPr>
      <w:vertAlign w:val="superscript"/>
    </w:rPr>
  </w:style>
  <w:style w:type="character" w:styleId="lev">
    <w:name w:val="Strong"/>
    <w:uiPriority w:val="22"/>
    <w:qFormat/>
    <w:rsid w:val="004779C2"/>
    <w:rPr>
      <w:b/>
      <w:bCs/>
    </w:rPr>
  </w:style>
  <w:style w:type="paragraph" w:customStyle="1" w:styleId="Titreobservations">
    <w:name w:val="Titre observations"/>
    <w:basedOn w:val="Normal"/>
    <w:next w:val="Corpsdetexte"/>
    <w:rsid w:val="004779C2"/>
    <w:pPr>
      <w:numPr>
        <w:numId w:val="9"/>
      </w:numPr>
      <w:spacing w:before="240" w:after="240" w:line="240" w:lineRule="auto"/>
      <w:jc w:val="both"/>
    </w:pPr>
    <w:rPr>
      <w:rFonts w:ascii="Times New Roman" w:eastAsia="Times New Roman" w:hAnsi="Times New Roman"/>
      <w:b/>
      <w:color w:val="000080"/>
      <w:sz w:val="24"/>
      <w:szCs w:val="20"/>
      <w:lang w:eastAsia="fr-FR"/>
    </w:rPr>
  </w:style>
  <w:style w:type="character" w:styleId="Accentuation">
    <w:name w:val="Emphasis"/>
    <w:uiPriority w:val="20"/>
    <w:qFormat/>
    <w:rsid w:val="004779C2"/>
    <w:rPr>
      <w:i/>
      <w:iCs/>
    </w:rPr>
  </w:style>
  <w:style w:type="paragraph" w:customStyle="1" w:styleId="pretrait">
    <w:name w:val="pretrait"/>
    <w:basedOn w:val="Normal"/>
    <w:rsid w:val="007F76E8"/>
    <w:pPr>
      <w:spacing w:line="300" w:lineRule="exact"/>
      <w:ind w:firstLine="1134"/>
      <w:jc w:val="both"/>
    </w:pPr>
    <w:rPr>
      <w:rFonts w:ascii="Times New Roman" w:eastAsia="Times New Roman" w:hAnsi="Times New Roman"/>
      <w:noProof/>
      <w:sz w:val="24"/>
      <w:szCs w:val="20"/>
      <w:lang w:eastAsia="fr-FR"/>
    </w:rPr>
  </w:style>
  <w:style w:type="character" w:styleId="Marquedecommentaire">
    <w:name w:val="annotation reference"/>
    <w:basedOn w:val="Policepardfaut"/>
    <w:uiPriority w:val="99"/>
    <w:semiHidden/>
    <w:rsid w:val="00813F2C"/>
    <w:rPr>
      <w:sz w:val="16"/>
      <w:szCs w:val="16"/>
    </w:rPr>
  </w:style>
  <w:style w:type="paragraph" w:styleId="Commentaire">
    <w:name w:val="annotation text"/>
    <w:basedOn w:val="Normal"/>
    <w:link w:val="CommentaireCar"/>
    <w:uiPriority w:val="99"/>
    <w:semiHidden/>
    <w:rsid w:val="00813F2C"/>
    <w:pPr>
      <w:spacing w:line="240" w:lineRule="auto"/>
    </w:pPr>
    <w:rPr>
      <w:sz w:val="20"/>
      <w:szCs w:val="20"/>
    </w:rPr>
  </w:style>
  <w:style w:type="character" w:customStyle="1" w:styleId="CommentaireCar">
    <w:name w:val="Commentaire Car"/>
    <w:basedOn w:val="Policepardfaut"/>
    <w:link w:val="Commentaire"/>
    <w:uiPriority w:val="99"/>
    <w:semiHidden/>
    <w:rsid w:val="00813F2C"/>
    <w:rPr>
      <w:lang w:eastAsia="en-US"/>
    </w:rPr>
  </w:style>
  <w:style w:type="paragraph" w:styleId="Objetducommentaire">
    <w:name w:val="annotation subject"/>
    <w:basedOn w:val="Commentaire"/>
    <w:next w:val="Commentaire"/>
    <w:link w:val="ObjetducommentaireCar"/>
    <w:uiPriority w:val="99"/>
    <w:semiHidden/>
    <w:rsid w:val="00813F2C"/>
    <w:rPr>
      <w:b/>
      <w:bCs/>
    </w:rPr>
  </w:style>
  <w:style w:type="character" w:customStyle="1" w:styleId="ObjetducommentaireCar">
    <w:name w:val="Objet du commentaire Car"/>
    <w:basedOn w:val="CommentaireCar"/>
    <w:link w:val="Objetducommentaire"/>
    <w:uiPriority w:val="99"/>
    <w:semiHidden/>
    <w:rsid w:val="00813F2C"/>
    <w:rPr>
      <w:b/>
      <w:bCs/>
      <w:lang w:eastAsia="en-US"/>
    </w:rPr>
  </w:style>
  <w:style w:type="paragraph" w:styleId="Rvision">
    <w:name w:val="Revision"/>
    <w:hidden/>
    <w:uiPriority w:val="71"/>
    <w:rsid w:val="00813F2C"/>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905609">
      <w:bodyDiv w:val="1"/>
      <w:marLeft w:val="0"/>
      <w:marRight w:val="0"/>
      <w:marTop w:val="0"/>
      <w:marBottom w:val="0"/>
      <w:divBdr>
        <w:top w:val="none" w:sz="0" w:space="0" w:color="auto"/>
        <w:left w:val="none" w:sz="0" w:space="0" w:color="auto"/>
        <w:bottom w:val="none" w:sz="0" w:space="0" w:color="auto"/>
        <w:right w:val="none" w:sz="0" w:space="0" w:color="auto"/>
      </w:divBdr>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195E9-D371-4AA3-8E72-70B0765D3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1482</Words>
  <Characters>8151</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9614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25</cp:revision>
  <cp:lastPrinted>2015-06-03T14:22:00Z</cp:lastPrinted>
  <dcterms:created xsi:type="dcterms:W3CDTF">2015-05-29T10:16:00Z</dcterms:created>
  <dcterms:modified xsi:type="dcterms:W3CDTF">2015-06-29T12:18:00Z</dcterms:modified>
</cp:coreProperties>
</file>