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tbl>
      <w:tblPr>
        <w:tblW w:w="9180" w:type="dxa"/>
        <w:tblLook w:val="00A0" w:firstRow="1" w:lastRow="0" w:firstColumn="1" w:lastColumn="0" w:noHBand="0" w:noVBand="0"/>
      </w:tblPr>
      <w:tblGrid>
        <w:gridCol w:w="4644"/>
        <w:gridCol w:w="4536"/>
      </w:tblGrid>
      <w:tr w:rsidR="00BE7662" w:rsidRPr="00BE7662" w:rsidTr="00F77BD6">
        <w:tc>
          <w:tcPr>
            <w:tcW w:w="4644" w:type="dxa"/>
          </w:tcPr>
          <w:p w:rsidR="00BE7662" w:rsidRPr="00BE7662" w:rsidRDefault="00846FA2" w:rsidP="00BF292A">
            <w:pPr>
              <w:ind w:right="1026"/>
              <w:jc w:val="center"/>
              <w:rPr>
                <w:rFonts w:cs="Arial"/>
                <w:sz w:val="22"/>
              </w:rPr>
            </w:pPr>
            <w:r>
              <w:rPr>
                <w:rFonts w:cs="Arial"/>
                <w:sz w:val="22"/>
              </w:rPr>
              <w:t>SEPTIEME</w:t>
            </w:r>
            <w:r w:rsidR="00E16E16" w:rsidRPr="00BE7662">
              <w:rPr>
                <w:rFonts w:cs="Arial"/>
                <w:sz w:val="22"/>
              </w:rPr>
              <w:t xml:space="preserve"> CHAMBRE</w:t>
            </w:r>
          </w:p>
          <w:p w:rsidR="00BE7662" w:rsidRPr="00BE7662" w:rsidRDefault="00E16E16" w:rsidP="00BF292A">
            <w:pPr>
              <w:ind w:right="1026"/>
              <w:jc w:val="center"/>
              <w:rPr>
                <w:rFonts w:cs="Arial"/>
                <w:b/>
                <w:sz w:val="22"/>
              </w:rPr>
            </w:pPr>
            <w:r w:rsidRPr="00BE7662">
              <w:rPr>
                <w:rFonts w:cs="Arial"/>
                <w:b/>
                <w:sz w:val="22"/>
              </w:rPr>
              <w:t>-------</w:t>
            </w:r>
          </w:p>
          <w:p w:rsidR="00BE7662" w:rsidRPr="00BE7662" w:rsidRDefault="00965F9E" w:rsidP="00BF292A">
            <w:pPr>
              <w:ind w:right="1026"/>
              <w:jc w:val="center"/>
              <w:rPr>
                <w:rFonts w:cs="Arial"/>
                <w:sz w:val="22"/>
              </w:rPr>
            </w:pPr>
            <w:r>
              <w:rPr>
                <w:rFonts w:cs="Arial"/>
                <w:sz w:val="22"/>
              </w:rPr>
              <w:t>Deuxième</w:t>
            </w:r>
            <w:r w:rsidR="00E16E16" w:rsidRPr="00BE7662">
              <w:rPr>
                <w:rFonts w:cs="Arial"/>
                <w:sz w:val="22"/>
              </w:rPr>
              <w:t xml:space="preserve"> section</w:t>
            </w:r>
          </w:p>
          <w:p w:rsidR="00BE7662" w:rsidRPr="00BE7662" w:rsidRDefault="00E16E16" w:rsidP="00BF292A">
            <w:pPr>
              <w:ind w:right="1026"/>
              <w:jc w:val="center"/>
              <w:rPr>
                <w:rFonts w:cs="Arial"/>
                <w:b/>
                <w:sz w:val="22"/>
              </w:rPr>
            </w:pPr>
            <w:r w:rsidRPr="00BE7662">
              <w:rPr>
                <w:rFonts w:cs="Arial"/>
                <w:b/>
                <w:sz w:val="22"/>
              </w:rPr>
              <w:t>-------</w:t>
            </w:r>
          </w:p>
          <w:p w:rsidR="00BE7662" w:rsidRPr="003C64B5" w:rsidRDefault="00E16E16" w:rsidP="00BF292A">
            <w:pPr>
              <w:ind w:right="1026"/>
              <w:jc w:val="center"/>
              <w:rPr>
                <w:rFonts w:cs="Arial"/>
                <w:sz w:val="22"/>
              </w:rPr>
            </w:pPr>
            <w:r w:rsidRPr="00BE7662">
              <w:rPr>
                <w:rFonts w:cs="Arial"/>
                <w:sz w:val="22"/>
              </w:rPr>
              <w:t xml:space="preserve">Arrêt n° </w:t>
            </w:r>
            <w:r w:rsidR="003C64B5" w:rsidRPr="003C64B5">
              <w:rPr>
                <w:rFonts w:cs="Arial"/>
                <w:sz w:val="22"/>
              </w:rPr>
              <w:t>72493</w:t>
            </w:r>
          </w:p>
          <w:p w:rsidR="00BE7662" w:rsidRPr="00BE7662" w:rsidRDefault="0060186C" w:rsidP="00BF292A">
            <w:pPr>
              <w:tabs>
                <w:tab w:val="center" w:pos="4819"/>
                <w:tab w:val="right" w:pos="9071"/>
              </w:tabs>
              <w:ind w:right="1026"/>
              <w:jc w:val="center"/>
              <w:rPr>
                <w:rFonts w:cs="Arial"/>
                <w:sz w:val="22"/>
              </w:rPr>
            </w:pPr>
          </w:p>
          <w:p w:rsidR="00BE7662" w:rsidRPr="00BE7662" w:rsidRDefault="00E16E16" w:rsidP="00BF292A">
            <w:pPr>
              <w:ind w:right="1026"/>
              <w:jc w:val="center"/>
              <w:rPr>
                <w:rFonts w:cs="Arial"/>
                <w:sz w:val="22"/>
              </w:rPr>
            </w:pPr>
            <w:r w:rsidRPr="00BE7662">
              <w:rPr>
                <w:rFonts w:cs="Arial"/>
                <w:sz w:val="22"/>
              </w:rPr>
              <w:t xml:space="preserve">Audience publique du </w:t>
            </w:r>
            <w:r w:rsidR="00846FA2">
              <w:rPr>
                <w:rFonts w:cs="Arial"/>
                <w:sz w:val="22"/>
              </w:rPr>
              <w:t>12 mai 2015</w:t>
            </w:r>
          </w:p>
          <w:p w:rsidR="00BE7662" w:rsidRPr="00BE7662" w:rsidRDefault="0060186C" w:rsidP="00BF292A">
            <w:pPr>
              <w:ind w:right="1026"/>
              <w:jc w:val="center"/>
              <w:rPr>
                <w:rFonts w:cs="Arial"/>
                <w:sz w:val="22"/>
              </w:rPr>
            </w:pPr>
          </w:p>
          <w:p w:rsidR="00BE7662" w:rsidRPr="00BE7662" w:rsidRDefault="00E16E16" w:rsidP="00BF292A">
            <w:pPr>
              <w:ind w:right="1026"/>
              <w:jc w:val="center"/>
              <w:rPr>
                <w:rFonts w:cs="Arial"/>
                <w:i/>
                <w:sz w:val="22"/>
              </w:rPr>
            </w:pPr>
            <w:r>
              <w:rPr>
                <w:rFonts w:cs="Arial"/>
                <w:sz w:val="22"/>
              </w:rPr>
              <w:t>Prononcé</w:t>
            </w:r>
            <w:r w:rsidRPr="00BE7662">
              <w:rPr>
                <w:rFonts w:cs="Arial"/>
                <w:sz w:val="22"/>
              </w:rPr>
              <w:t xml:space="preserve"> du </w:t>
            </w:r>
            <w:r w:rsidR="00720EA2">
              <w:rPr>
                <w:rFonts w:cs="Arial"/>
                <w:sz w:val="22"/>
              </w:rPr>
              <w:t>23 juin 2015</w:t>
            </w:r>
          </w:p>
          <w:p w:rsidR="00BE7662" w:rsidRPr="00BE7662" w:rsidRDefault="0060186C" w:rsidP="00BE7662">
            <w:pPr>
              <w:ind w:firstLine="851"/>
              <w:rPr>
                <w:rFonts w:cs="Arial"/>
                <w:sz w:val="22"/>
              </w:rPr>
            </w:pPr>
          </w:p>
        </w:tc>
        <w:tc>
          <w:tcPr>
            <w:tcW w:w="4536" w:type="dxa"/>
          </w:tcPr>
          <w:p w:rsidR="00BE7662" w:rsidRPr="00BE7662" w:rsidRDefault="00846FA2" w:rsidP="00BE7662">
            <w:pPr>
              <w:rPr>
                <w:rFonts w:cs="Arial"/>
                <w:sz w:val="22"/>
              </w:rPr>
            </w:pPr>
            <w:r>
              <w:rPr>
                <w:rFonts w:cs="Arial"/>
                <w:sz w:val="22"/>
              </w:rPr>
              <w:t>INSTITUT NATIONAL DE L’INFORMATION GEOGRAPHIQUE ET FORESTIERE (IGN)</w:t>
            </w:r>
          </w:p>
          <w:p w:rsidR="00BE7662" w:rsidRPr="00BE7662" w:rsidRDefault="0060186C" w:rsidP="00BE7662">
            <w:pPr>
              <w:rPr>
                <w:rFonts w:cs="Arial"/>
                <w:sz w:val="22"/>
              </w:rPr>
            </w:pPr>
          </w:p>
          <w:p w:rsidR="00BE7662" w:rsidRPr="00BE7662" w:rsidRDefault="0060186C" w:rsidP="00BE7662">
            <w:pPr>
              <w:ind w:left="5670" w:hanging="4245"/>
              <w:rPr>
                <w:rFonts w:cs="Arial"/>
                <w:sz w:val="22"/>
              </w:rPr>
            </w:pPr>
          </w:p>
          <w:p w:rsidR="00BE7662" w:rsidRDefault="00846FA2" w:rsidP="00BE7662">
            <w:pPr>
              <w:rPr>
                <w:rFonts w:cs="Arial"/>
                <w:sz w:val="22"/>
              </w:rPr>
            </w:pPr>
            <w:r>
              <w:rPr>
                <w:rFonts w:cs="Arial"/>
                <w:sz w:val="22"/>
              </w:rPr>
              <w:t>Exercice 2008</w:t>
            </w:r>
          </w:p>
          <w:p w:rsidR="00846FA2" w:rsidRPr="00BE7662" w:rsidRDefault="00846FA2" w:rsidP="00BE7662">
            <w:pPr>
              <w:rPr>
                <w:rFonts w:cs="Arial"/>
                <w:i/>
                <w:noProof/>
                <w:color w:val="000000"/>
                <w:sz w:val="22"/>
              </w:rPr>
            </w:pPr>
          </w:p>
          <w:p w:rsidR="00BE7662" w:rsidRPr="00BE7662" w:rsidRDefault="00E16E16" w:rsidP="00BE7662">
            <w:pPr>
              <w:rPr>
                <w:rFonts w:cs="Arial"/>
                <w:sz w:val="22"/>
              </w:rPr>
            </w:pPr>
            <w:r w:rsidRPr="00BE7662">
              <w:rPr>
                <w:rFonts w:cs="Arial"/>
                <w:noProof/>
                <w:color w:val="000000"/>
                <w:sz w:val="22"/>
              </w:rPr>
              <w:t xml:space="preserve">Rapport n° </w:t>
            </w:r>
            <w:r w:rsidR="00846FA2">
              <w:rPr>
                <w:rFonts w:cs="Arial"/>
                <w:noProof/>
                <w:color w:val="000000"/>
                <w:sz w:val="22"/>
              </w:rPr>
              <w:t>2015-144-0</w:t>
            </w:r>
          </w:p>
          <w:p w:rsidR="00BE7662" w:rsidRPr="00BE7662" w:rsidRDefault="0060186C" w:rsidP="00BE7662">
            <w:pPr>
              <w:ind w:left="5670" w:hanging="4245"/>
              <w:rPr>
                <w:rFonts w:cs="Arial"/>
                <w:sz w:val="22"/>
              </w:rPr>
            </w:pPr>
          </w:p>
          <w:p w:rsidR="00BE7662" w:rsidRPr="00BE7662" w:rsidRDefault="0060186C" w:rsidP="00BE7662">
            <w:pPr>
              <w:ind w:left="5670" w:hanging="4245"/>
              <w:jc w:val="both"/>
              <w:rPr>
                <w:rFonts w:cs="Arial"/>
                <w:sz w:val="22"/>
              </w:rPr>
            </w:pPr>
          </w:p>
          <w:p w:rsidR="00BE7662" w:rsidRPr="00BE7662" w:rsidRDefault="0060186C" w:rsidP="00BE7662">
            <w:pPr>
              <w:rPr>
                <w:rFonts w:cs="Arial"/>
                <w:sz w:val="22"/>
              </w:rPr>
            </w:pPr>
          </w:p>
        </w:tc>
      </w:tr>
    </w:tbl>
    <w:p w:rsidR="00BE7662" w:rsidRPr="00BE7662" w:rsidRDefault="0060186C" w:rsidP="00BE7662">
      <w:pPr>
        <w:ind w:left="5670"/>
        <w:rPr>
          <w:rFonts w:cs="Arial"/>
          <w:sz w:val="22"/>
        </w:rPr>
      </w:pPr>
    </w:p>
    <w:p w:rsidR="00BE7662" w:rsidRDefault="00E16E16" w:rsidP="00BE7662">
      <w:pPr>
        <w:tabs>
          <w:tab w:val="center" w:pos="9072"/>
        </w:tabs>
        <w:jc w:val="center"/>
        <w:rPr>
          <w:rFonts w:cs="Arial"/>
          <w:sz w:val="22"/>
        </w:rPr>
      </w:pPr>
      <w:r w:rsidRPr="00BE7662">
        <w:rPr>
          <w:rFonts w:cs="Arial"/>
          <w:sz w:val="22"/>
        </w:rPr>
        <w:t>République Française,</w:t>
      </w:r>
    </w:p>
    <w:p w:rsidR="00BE7662" w:rsidRPr="00BE7662" w:rsidRDefault="00E16E16" w:rsidP="00BE7662">
      <w:pPr>
        <w:tabs>
          <w:tab w:val="center" w:pos="9072"/>
        </w:tabs>
        <w:jc w:val="center"/>
        <w:rPr>
          <w:rFonts w:cs="Arial"/>
          <w:sz w:val="22"/>
        </w:rPr>
      </w:pPr>
      <w:r w:rsidRPr="00BE7662">
        <w:rPr>
          <w:rFonts w:cs="Arial"/>
          <w:sz w:val="22"/>
        </w:rPr>
        <w:t>Au nom du peuple français,</w:t>
      </w:r>
    </w:p>
    <w:p w:rsidR="00BE7662" w:rsidRPr="00BE7662" w:rsidRDefault="0060186C" w:rsidP="00BE7662">
      <w:pPr>
        <w:tabs>
          <w:tab w:val="center" w:pos="9072"/>
        </w:tabs>
        <w:jc w:val="center"/>
        <w:rPr>
          <w:rFonts w:cs="Arial"/>
          <w:sz w:val="22"/>
        </w:rPr>
      </w:pPr>
    </w:p>
    <w:p w:rsidR="00BE7662" w:rsidRPr="00BE7662" w:rsidRDefault="00E16E16" w:rsidP="00BE7662">
      <w:pPr>
        <w:tabs>
          <w:tab w:val="center" w:pos="9072"/>
        </w:tabs>
        <w:jc w:val="center"/>
        <w:rPr>
          <w:rFonts w:cs="Arial"/>
          <w:sz w:val="22"/>
        </w:rPr>
      </w:pPr>
      <w:r w:rsidRPr="00BE7662">
        <w:rPr>
          <w:rFonts w:cs="Arial"/>
          <w:sz w:val="22"/>
        </w:rPr>
        <w:t>La Cour,</w:t>
      </w:r>
    </w:p>
    <w:p w:rsidR="00BE7662" w:rsidRPr="00BE7662" w:rsidRDefault="0060186C" w:rsidP="00BE7662">
      <w:pPr>
        <w:tabs>
          <w:tab w:val="center" w:pos="4536"/>
          <w:tab w:val="right" w:pos="9072"/>
        </w:tabs>
        <w:spacing w:line="240" w:lineRule="auto"/>
        <w:ind w:left="-567"/>
        <w:jc w:val="both"/>
        <w:rPr>
          <w:rFonts w:eastAsia="Times New Roman" w:cs="Arial"/>
          <w:sz w:val="22"/>
          <w:lang w:eastAsia="fr-FR"/>
        </w:rPr>
      </w:pPr>
    </w:p>
    <w:p w:rsidR="00BE7662" w:rsidRPr="00BE7662" w:rsidRDefault="00E16E16" w:rsidP="00457F09">
      <w:pPr>
        <w:tabs>
          <w:tab w:val="center" w:pos="4536"/>
          <w:tab w:val="right" w:pos="9072"/>
        </w:tabs>
        <w:jc w:val="both"/>
        <w:rPr>
          <w:rFonts w:cs="Arial"/>
          <w:sz w:val="22"/>
        </w:rPr>
      </w:pPr>
      <w:r w:rsidRPr="00BE7662">
        <w:rPr>
          <w:rFonts w:cs="Arial"/>
          <w:sz w:val="22"/>
        </w:rPr>
        <w:t xml:space="preserve">Vu le réquisitoire en date du </w:t>
      </w:r>
      <w:r w:rsidR="00846FA2">
        <w:rPr>
          <w:rFonts w:cs="Arial"/>
          <w:sz w:val="22"/>
        </w:rPr>
        <w:t>16 décembre 2014</w:t>
      </w:r>
      <w:r w:rsidRPr="00BE7662">
        <w:rPr>
          <w:rFonts w:cs="Arial"/>
          <w:sz w:val="22"/>
        </w:rPr>
        <w:t xml:space="preserve">, par lequel le Procureur général près la Cour des comptes a saisi la </w:t>
      </w:r>
      <w:r w:rsidR="00846FA2">
        <w:rPr>
          <w:rFonts w:cs="Arial"/>
          <w:sz w:val="22"/>
        </w:rPr>
        <w:t>septième</w:t>
      </w:r>
      <w:r w:rsidRPr="00BE7662">
        <w:rPr>
          <w:rFonts w:cs="Arial"/>
          <w:sz w:val="22"/>
        </w:rPr>
        <w:t xml:space="preserve"> chambre de la Cour des comptes de présomptions de charges, en vue de la mise en jeu de la responsabilité personnelle et pécuniaire de </w:t>
      </w:r>
      <w:r w:rsidR="00457F09">
        <w:rPr>
          <w:rFonts w:cs="Arial"/>
          <w:sz w:val="22"/>
        </w:rPr>
        <w:t>MM. </w:t>
      </w:r>
      <w:r w:rsidR="00C40DBC">
        <w:rPr>
          <w:rFonts w:cs="Arial"/>
          <w:sz w:val="22"/>
        </w:rPr>
        <w:t>X</w:t>
      </w:r>
      <w:r w:rsidR="00846FA2">
        <w:rPr>
          <w:rFonts w:cs="Arial"/>
          <w:sz w:val="22"/>
        </w:rPr>
        <w:t xml:space="preserve"> et </w:t>
      </w:r>
      <w:r w:rsidR="00C40DBC">
        <w:rPr>
          <w:rFonts w:cs="Arial"/>
          <w:sz w:val="22"/>
        </w:rPr>
        <w:t>Y</w:t>
      </w:r>
      <w:r w:rsidR="00846FA2">
        <w:rPr>
          <w:rFonts w:cs="Arial"/>
          <w:sz w:val="22"/>
        </w:rPr>
        <w:t xml:space="preserve"> </w:t>
      </w:r>
      <w:r w:rsidRPr="00BE7662">
        <w:rPr>
          <w:rFonts w:cs="Arial"/>
          <w:sz w:val="22"/>
        </w:rPr>
        <w:t>agent</w:t>
      </w:r>
      <w:r w:rsidR="00846FA2">
        <w:rPr>
          <w:rFonts w:cs="Arial"/>
          <w:sz w:val="22"/>
        </w:rPr>
        <w:t>s</w:t>
      </w:r>
      <w:r w:rsidRPr="00BE7662">
        <w:rPr>
          <w:rFonts w:cs="Arial"/>
          <w:sz w:val="22"/>
        </w:rPr>
        <w:t xml:space="preserve"> comptable</w:t>
      </w:r>
      <w:r w:rsidR="00846FA2">
        <w:rPr>
          <w:rFonts w:cs="Arial"/>
          <w:sz w:val="22"/>
        </w:rPr>
        <w:t>s</w:t>
      </w:r>
      <w:r w:rsidRPr="00BE7662">
        <w:rPr>
          <w:rFonts w:cs="Arial"/>
          <w:sz w:val="22"/>
        </w:rPr>
        <w:t xml:space="preserve"> de </w:t>
      </w:r>
      <w:r w:rsidR="00846FA2">
        <w:rPr>
          <w:rFonts w:cs="Arial"/>
          <w:sz w:val="22"/>
        </w:rPr>
        <w:t>l’institut national de l’information géographique et forestière (IGN)</w:t>
      </w:r>
      <w:r w:rsidRPr="00BE7662">
        <w:rPr>
          <w:rFonts w:cs="Arial"/>
          <w:sz w:val="22"/>
        </w:rPr>
        <w:t>, au titre d’opérations relatives à l’exercice</w:t>
      </w:r>
      <w:r w:rsidR="00846FA2">
        <w:rPr>
          <w:rFonts w:cs="Arial"/>
          <w:sz w:val="22"/>
        </w:rPr>
        <w:t xml:space="preserve">, notifié les 22 décembre 2014 et 19 janvier 2015 </w:t>
      </w:r>
      <w:r w:rsidRPr="00BE7662">
        <w:rPr>
          <w:rFonts w:cs="Arial"/>
          <w:sz w:val="22"/>
        </w:rPr>
        <w:t>aux comptables concernés</w:t>
      </w:r>
      <w:r w:rsidR="00BF292A">
        <w:rPr>
          <w:rFonts w:cs="Arial"/>
          <w:sz w:val="22"/>
        </w:rPr>
        <w:t> </w:t>
      </w:r>
      <w:r w:rsidRPr="00BE7662">
        <w:rPr>
          <w:rFonts w:cs="Arial"/>
          <w:sz w:val="22"/>
        </w:rPr>
        <w:t>;</w:t>
      </w:r>
    </w:p>
    <w:p w:rsidR="00BE7662" w:rsidRPr="00BE7662" w:rsidRDefault="0060186C" w:rsidP="00457F09">
      <w:pPr>
        <w:tabs>
          <w:tab w:val="center" w:pos="4536"/>
          <w:tab w:val="right" w:pos="9072"/>
        </w:tabs>
        <w:jc w:val="both"/>
        <w:rPr>
          <w:rFonts w:cs="Arial"/>
          <w:sz w:val="22"/>
        </w:rPr>
      </w:pPr>
    </w:p>
    <w:p w:rsidR="00BE7662" w:rsidRPr="00BE7662" w:rsidRDefault="00E16E16" w:rsidP="00457F09">
      <w:pPr>
        <w:ind w:right="141"/>
        <w:jc w:val="both"/>
        <w:rPr>
          <w:rFonts w:cs="Arial"/>
          <w:sz w:val="22"/>
        </w:rPr>
      </w:pPr>
      <w:r w:rsidRPr="00BE7662">
        <w:rPr>
          <w:rFonts w:cs="Arial"/>
          <w:sz w:val="22"/>
        </w:rPr>
        <w:t>Vu les comptes r</w:t>
      </w:r>
      <w:r w:rsidR="00846FA2">
        <w:rPr>
          <w:rFonts w:cs="Arial"/>
          <w:sz w:val="22"/>
        </w:rPr>
        <w:t>endus en qualité de comptables</w:t>
      </w:r>
      <w:r w:rsidRPr="00BE7662">
        <w:rPr>
          <w:rFonts w:cs="Arial"/>
          <w:sz w:val="22"/>
        </w:rPr>
        <w:t xml:space="preserve"> de </w:t>
      </w:r>
      <w:r w:rsidR="00846FA2">
        <w:rPr>
          <w:rFonts w:cs="Arial"/>
          <w:sz w:val="22"/>
        </w:rPr>
        <w:t>l’IGN</w:t>
      </w:r>
      <w:r w:rsidRPr="00BE7662">
        <w:rPr>
          <w:rFonts w:cs="Arial"/>
          <w:sz w:val="22"/>
        </w:rPr>
        <w:t xml:space="preserve">, par </w:t>
      </w:r>
      <w:r w:rsidR="00846FA2">
        <w:rPr>
          <w:rFonts w:cs="Arial"/>
          <w:sz w:val="22"/>
        </w:rPr>
        <w:t>M.</w:t>
      </w:r>
      <w:r w:rsidR="006D7499">
        <w:rPr>
          <w:rFonts w:cs="Arial"/>
          <w:sz w:val="22"/>
        </w:rPr>
        <w:t> </w:t>
      </w:r>
      <w:r w:rsidR="00C40DBC">
        <w:rPr>
          <w:rFonts w:cs="Arial"/>
          <w:sz w:val="22"/>
        </w:rPr>
        <w:t>X</w:t>
      </w:r>
      <w:r w:rsidRPr="00BE7662">
        <w:rPr>
          <w:rFonts w:cs="Arial"/>
          <w:sz w:val="22"/>
        </w:rPr>
        <w:t xml:space="preserve">, du </w:t>
      </w:r>
      <w:r w:rsidR="00846FA2">
        <w:rPr>
          <w:rFonts w:cs="Arial"/>
          <w:sz w:val="22"/>
        </w:rPr>
        <w:t>1</w:t>
      </w:r>
      <w:r w:rsidR="00846FA2" w:rsidRPr="00846FA2">
        <w:rPr>
          <w:rFonts w:cs="Arial"/>
          <w:sz w:val="22"/>
          <w:vertAlign w:val="superscript"/>
        </w:rPr>
        <w:t>er</w:t>
      </w:r>
      <w:r w:rsidR="006D7499">
        <w:rPr>
          <w:rFonts w:cs="Arial"/>
          <w:sz w:val="22"/>
          <w:vertAlign w:val="superscript"/>
        </w:rPr>
        <w:t> </w:t>
      </w:r>
      <w:r w:rsidR="00846FA2">
        <w:rPr>
          <w:rFonts w:cs="Arial"/>
          <w:sz w:val="22"/>
        </w:rPr>
        <w:t>janvier au 23</w:t>
      </w:r>
      <w:r w:rsidR="00BF292A">
        <w:rPr>
          <w:rFonts w:cs="Arial"/>
          <w:sz w:val="22"/>
        </w:rPr>
        <w:t xml:space="preserve"> </w:t>
      </w:r>
      <w:r w:rsidR="00846FA2">
        <w:rPr>
          <w:rFonts w:cs="Arial"/>
          <w:sz w:val="22"/>
        </w:rPr>
        <w:t>novembre</w:t>
      </w:r>
      <w:r w:rsidR="00BF292A">
        <w:rPr>
          <w:rFonts w:cs="Arial"/>
          <w:sz w:val="22"/>
        </w:rPr>
        <w:t xml:space="preserve"> </w:t>
      </w:r>
      <w:r w:rsidR="00846FA2">
        <w:rPr>
          <w:rFonts w:cs="Arial"/>
          <w:sz w:val="22"/>
        </w:rPr>
        <w:t>2008 et M.</w:t>
      </w:r>
      <w:r w:rsidR="006D7499">
        <w:rPr>
          <w:rFonts w:cs="Arial"/>
          <w:sz w:val="22"/>
        </w:rPr>
        <w:t> </w:t>
      </w:r>
      <w:r w:rsidR="00C40DBC">
        <w:rPr>
          <w:rFonts w:cs="Arial"/>
          <w:sz w:val="22"/>
        </w:rPr>
        <w:t>Y</w:t>
      </w:r>
      <w:r w:rsidR="00846FA2">
        <w:rPr>
          <w:rFonts w:cs="Arial"/>
          <w:sz w:val="22"/>
        </w:rPr>
        <w:t>, du 24</w:t>
      </w:r>
      <w:r w:rsidR="00BF292A">
        <w:rPr>
          <w:rFonts w:cs="Arial"/>
          <w:sz w:val="22"/>
        </w:rPr>
        <w:t xml:space="preserve"> </w:t>
      </w:r>
      <w:r w:rsidR="00846FA2">
        <w:rPr>
          <w:rFonts w:cs="Arial"/>
          <w:sz w:val="22"/>
        </w:rPr>
        <w:t>novembre au 31</w:t>
      </w:r>
      <w:r w:rsidR="00BF292A">
        <w:rPr>
          <w:rFonts w:cs="Arial"/>
          <w:sz w:val="22"/>
        </w:rPr>
        <w:t xml:space="preserve"> </w:t>
      </w:r>
      <w:r w:rsidR="00846FA2">
        <w:rPr>
          <w:rFonts w:cs="Arial"/>
          <w:sz w:val="22"/>
        </w:rPr>
        <w:t>décembre</w:t>
      </w:r>
      <w:r w:rsidR="00BF292A">
        <w:rPr>
          <w:rFonts w:cs="Arial"/>
          <w:sz w:val="22"/>
        </w:rPr>
        <w:t xml:space="preserve"> </w:t>
      </w:r>
      <w:r w:rsidR="00846FA2">
        <w:rPr>
          <w:rFonts w:cs="Arial"/>
          <w:sz w:val="22"/>
        </w:rPr>
        <w:t>2008</w:t>
      </w:r>
      <w:r w:rsidR="00BF292A">
        <w:rPr>
          <w:rFonts w:cs="Arial"/>
          <w:sz w:val="22"/>
        </w:rPr>
        <w:t> ;</w:t>
      </w:r>
    </w:p>
    <w:p w:rsidR="00BE7662" w:rsidRPr="00BE7662" w:rsidRDefault="0060186C" w:rsidP="00457F09">
      <w:pPr>
        <w:ind w:right="141"/>
        <w:jc w:val="both"/>
        <w:rPr>
          <w:rFonts w:cs="Arial"/>
          <w:sz w:val="22"/>
        </w:rPr>
      </w:pPr>
    </w:p>
    <w:p w:rsidR="00BE7662" w:rsidRPr="00BE7662" w:rsidRDefault="00E16E16" w:rsidP="00457F09">
      <w:pPr>
        <w:ind w:right="141"/>
        <w:jc w:val="both"/>
        <w:rPr>
          <w:rFonts w:cs="Arial"/>
          <w:sz w:val="22"/>
        </w:rPr>
      </w:pPr>
      <w:r w:rsidRPr="00BE7662">
        <w:rPr>
          <w:rFonts w:cs="Arial"/>
          <w:sz w:val="22"/>
        </w:rPr>
        <w:t>Vu les justifications produites au soutien du compte en jugement</w:t>
      </w:r>
      <w:r w:rsidR="00BF292A">
        <w:rPr>
          <w:rFonts w:cs="Arial"/>
          <w:sz w:val="22"/>
        </w:rPr>
        <w:t> ;</w:t>
      </w:r>
    </w:p>
    <w:p w:rsidR="00BE7662" w:rsidRPr="00BE7662" w:rsidRDefault="0060186C" w:rsidP="00457F09">
      <w:pPr>
        <w:ind w:right="141"/>
        <w:jc w:val="both"/>
        <w:rPr>
          <w:rFonts w:cs="Arial"/>
          <w:sz w:val="22"/>
        </w:rPr>
      </w:pPr>
    </w:p>
    <w:p w:rsidR="00BE7662" w:rsidRPr="00BE7662" w:rsidRDefault="00E16E16" w:rsidP="00457F09">
      <w:pPr>
        <w:spacing w:after="360"/>
        <w:ind w:right="141"/>
        <w:jc w:val="both"/>
        <w:rPr>
          <w:rFonts w:cs="Arial"/>
          <w:sz w:val="22"/>
        </w:rPr>
      </w:pPr>
      <w:r w:rsidRPr="00BE7662">
        <w:rPr>
          <w:rFonts w:cs="Arial"/>
          <w:sz w:val="22"/>
        </w:rPr>
        <w:t>Vu l’article 60 de la loi de finances n°</w:t>
      </w:r>
      <w:r w:rsidR="006D7499">
        <w:rPr>
          <w:rFonts w:cs="Arial"/>
          <w:sz w:val="22"/>
        </w:rPr>
        <w:t> </w:t>
      </w:r>
      <w:r w:rsidRPr="00BE7662">
        <w:rPr>
          <w:rFonts w:cs="Arial"/>
          <w:sz w:val="22"/>
        </w:rPr>
        <w:t>63-156 du 23 février 1963 ;</w:t>
      </w:r>
    </w:p>
    <w:p w:rsidR="00BE7662" w:rsidRPr="00BE7662" w:rsidRDefault="00E16E16" w:rsidP="00457F09">
      <w:pPr>
        <w:spacing w:after="360"/>
        <w:ind w:right="141"/>
        <w:jc w:val="both"/>
        <w:rPr>
          <w:rFonts w:cs="Arial"/>
          <w:sz w:val="22"/>
        </w:rPr>
      </w:pPr>
      <w:r w:rsidRPr="00BE7662">
        <w:rPr>
          <w:rFonts w:cs="Arial"/>
          <w:sz w:val="22"/>
        </w:rPr>
        <w:t>Vu le code des juridictions financières</w:t>
      </w:r>
      <w:r w:rsidR="00BF292A">
        <w:rPr>
          <w:rFonts w:cs="Arial"/>
          <w:sz w:val="22"/>
        </w:rPr>
        <w:t> ;</w:t>
      </w:r>
    </w:p>
    <w:p w:rsidR="00BE7662" w:rsidRPr="00BE7662" w:rsidRDefault="00E16E16" w:rsidP="00457F09">
      <w:pPr>
        <w:spacing w:before="120" w:after="360"/>
        <w:ind w:right="141"/>
        <w:jc w:val="both"/>
        <w:rPr>
          <w:rFonts w:cs="Arial"/>
          <w:sz w:val="22"/>
        </w:rPr>
      </w:pPr>
      <w:r w:rsidRPr="00BE7662">
        <w:rPr>
          <w:rFonts w:cs="Arial"/>
          <w:bCs/>
          <w:sz w:val="22"/>
        </w:rPr>
        <w:t xml:space="preserve">Vu les lois et règlements applicables à </w:t>
      </w:r>
      <w:r w:rsidRPr="00BE7662">
        <w:rPr>
          <w:rFonts w:cs="Arial"/>
          <w:sz w:val="22"/>
        </w:rPr>
        <w:t>l’</w:t>
      </w:r>
      <w:r w:rsidR="00846FA2">
        <w:rPr>
          <w:rFonts w:cs="Arial"/>
          <w:sz w:val="22"/>
        </w:rPr>
        <w:t>IGN, et notamment les décrets n°</w:t>
      </w:r>
      <w:r w:rsidR="006D7499">
        <w:rPr>
          <w:rFonts w:cs="Arial"/>
          <w:sz w:val="22"/>
        </w:rPr>
        <w:t> </w:t>
      </w:r>
      <w:r w:rsidR="00846FA2">
        <w:rPr>
          <w:rFonts w:cs="Arial"/>
          <w:sz w:val="22"/>
        </w:rPr>
        <w:t>81-505 du 12</w:t>
      </w:r>
      <w:r w:rsidR="00BF292A">
        <w:rPr>
          <w:rFonts w:cs="Arial"/>
          <w:sz w:val="22"/>
        </w:rPr>
        <w:t xml:space="preserve"> </w:t>
      </w:r>
      <w:r w:rsidR="00846FA2">
        <w:rPr>
          <w:rFonts w:cs="Arial"/>
          <w:sz w:val="22"/>
        </w:rPr>
        <w:t>mai</w:t>
      </w:r>
      <w:r w:rsidR="00BF292A">
        <w:rPr>
          <w:rFonts w:cs="Arial"/>
          <w:sz w:val="22"/>
        </w:rPr>
        <w:t xml:space="preserve"> </w:t>
      </w:r>
      <w:r w:rsidR="00846FA2">
        <w:rPr>
          <w:rFonts w:cs="Arial"/>
          <w:sz w:val="22"/>
        </w:rPr>
        <w:t>1981, n°</w:t>
      </w:r>
      <w:r w:rsidR="00B13D5A">
        <w:rPr>
          <w:rFonts w:cs="Arial"/>
          <w:sz w:val="22"/>
        </w:rPr>
        <w:t> </w:t>
      </w:r>
      <w:r w:rsidR="00846FA2">
        <w:rPr>
          <w:rFonts w:cs="Arial"/>
          <w:bCs/>
          <w:sz w:val="22"/>
        </w:rPr>
        <w:t>2011-1371 du 27 octobre 2011</w:t>
      </w:r>
      <w:r w:rsidR="00271F73">
        <w:rPr>
          <w:rFonts w:cs="Arial"/>
          <w:bCs/>
          <w:sz w:val="22"/>
        </w:rPr>
        <w:t xml:space="preserve"> et l’instruction comptable M-91</w:t>
      </w:r>
      <w:r w:rsidR="00BF292A">
        <w:rPr>
          <w:rFonts w:cs="Arial"/>
          <w:bCs/>
          <w:sz w:val="22"/>
        </w:rPr>
        <w:t> ;</w:t>
      </w:r>
    </w:p>
    <w:p w:rsidR="00BE7662" w:rsidRPr="00BE7662" w:rsidRDefault="00E16E16" w:rsidP="00457F09">
      <w:pPr>
        <w:spacing w:before="120" w:after="360"/>
        <w:ind w:right="141"/>
        <w:jc w:val="both"/>
        <w:rPr>
          <w:rFonts w:cs="Arial"/>
          <w:sz w:val="22"/>
        </w:rPr>
      </w:pPr>
      <w:r w:rsidRPr="00BE7662">
        <w:rPr>
          <w:rFonts w:cs="Arial"/>
          <w:sz w:val="22"/>
        </w:rPr>
        <w:t>Vu le décret n°</w:t>
      </w:r>
      <w:r w:rsidR="00893F66">
        <w:rPr>
          <w:rFonts w:cs="Arial"/>
          <w:sz w:val="22"/>
        </w:rPr>
        <w:t> </w:t>
      </w:r>
      <w:r w:rsidRPr="00BE7662">
        <w:rPr>
          <w:rFonts w:cs="Arial"/>
          <w:sz w:val="22"/>
        </w:rPr>
        <w:t>62-1587 du 29 décembre 1962 portant règlement général sur la comptabilité publique alors en vigueur</w:t>
      </w:r>
      <w:r w:rsidR="00BF292A">
        <w:rPr>
          <w:rFonts w:cs="Arial"/>
          <w:sz w:val="22"/>
        </w:rPr>
        <w:t> ;</w:t>
      </w:r>
    </w:p>
    <w:p w:rsidR="00BE7662" w:rsidRPr="00BE7662" w:rsidRDefault="00E16E16" w:rsidP="00457F09">
      <w:pPr>
        <w:spacing w:before="120" w:after="360"/>
        <w:ind w:right="141"/>
        <w:jc w:val="both"/>
        <w:rPr>
          <w:rFonts w:cs="Arial"/>
          <w:sz w:val="22"/>
        </w:rPr>
      </w:pPr>
      <w:r w:rsidRPr="00BE7662">
        <w:rPr>
          <w:rFonts w:cs="Arial"/>
          <w:sz w:val="22"/>
        </w:rPr>
        <w:t>Vu le décret n°</w:t>
      </w:r>
      <w:r w:rsidR="00B13D5A">
        <w:rPr>
          <w:rFonts w:cs="Arial"/>
          <w:sz w:val="22"/>
        </w:rPr>
        <w:t> </w:t>
      </w:r>
      <w:r w:rsidRPr="00BE7662">
        <w:rPr>
          <w:rFonts w:cs="Arial"/>
          <w:sz w:val="22"/>
        </w:rPr>
        <w:t>2012-1386 du 10 décembre 2012 portant application du deuxième alinéa du</w:t>
      </w:r>
      <w:r w:rsidR="00BF292A">
        <w:rPr>
          <w:rFonts w:cs="Arial"/>
          <w:sz w:val="22"/>
        </w:rPr>
        <w:t xml:space="preserve"> </w:t>
      </w:r>
      <w:r w:rsidRPr="00BE7662">
        <w:rPr>
          <w:rFonts w:cs="Arial"/>
          <w:sz w:val="22"/>
        </w:rPr>
        <w:t>VI de l’article 60 de la loi de finances de 1963 modifiée dans sa rédaction issue de l’article</w:t>
      </w:r>
      <w:r w:rsidR="00BF292A">
        <w:rPr>
          <w:rFonts w:cs="Arial"/>
          <w:sz w:val="22"/>
        </w:rPr>
        <w:t xml:space="preserve"> </w:t>
      </w:r>
      <w:r w:rsidRPr="00BE7662">
        <w:rPr>
          <w:rFonts w:cs="Arial"/>
          <w:sz w:val="22"/>
        </w:rPr>
        <w:t>90 de la loi n°</w:t>
      </w:r>
      <w:r w:rsidR="00B13D5A">
        <w:rPr>
          <w:rFonts w:cs="Arial"/>
          <w:sz w:val="22"/>
        </w:rPr>
        <w:t> </w:t>
      </w:r>
      <w:r w:rsidRPr="00BE7662">
        <w:rPr>
          <w:rFonts w:cs="Arial"/>
          <w:sz w:val="22"/>
        </w:rPr>
        <w:t>2011-1978 du 28 décembre 2011 de finances rectificatives pour</w:t>
      </w:r>
      <w:r w:rsidR="00BF292A">
        <w:rPr>
          <w:rFonts w:cs="Arial"/>
          <w:sz w:val="22"/>
        </w:rPr>
        <w:t xml:space="preserve"> </w:t>
      </w:r>
      <w:r w:rsidRPr="00BE7662">
        <w:rPr>
          <w:rFonts w:cs="Arial"/>
          <w:sz w:val="22"/>
        </w:rPr>
        <w:t>2011 ;</w:t>
      </w:r>
    </w:p>
    <w:p w:rsidR="00BE7662" w:rsidRPr="00BE7662" w:rsidRDefault="00E16E16" w:rsidP="00457F09">
      <w:pPr>
        <w:spacing w:before="120" w:after="360"/>
        <w:ind w:right="141"/>
        <w:jc w:val="both"/>
        <w:rPr>
          <w:rFonts w:cs="Arial"/>
          <w:sz w:val="22"/>
        </w:rPr>
      </w:pPr>
      <w:r w:rsidRPr="00BE7662">
        <w:rPr>
          <w:rFonts w:cs="Arial"/>
          <w:sz w:val="22"/>
        </w:rPr>
        <w:t xml:space="preserve">Vu le rapport de </w:t>
      </w:r>
      <w:r w:rsidR="00271F73">
        <w:rPr>
          <w:rFonts w:cs="Arial"/>
          <w:sz w:val="22"/>
        </w:rPr>
        <w:t>M.</w:t>
      </w:r>
      <w:r w:rsidR="006D7499">
        <w:rPr>
          <w:rFonts w:cs="Arial"/>
          <w:sz w:val="22"/>
        </w:rPr>
        <w:t> </w:t>
      </w:r>
      <w:r w:rsidR="00271F73">
        <w:rPr>
          <w:rFonts w:cs="Arial"/>
          <w:sz w:val="22"/>
        </w:rPr>
        <w:t>Patrick BONNAUD, conseiller référendaire</w:t>
      </w:r>
      <w:r w:rsidRPr="00BE7662">
        <w:rPr>
          <w:rFonts w:cs="Arial"/>
          <w:sz w:val="22"/>
        </w:rPr>
        <w:t>, magistrat chargé de l’instruction ;</w:t>
      </w:r>
    </w:p>
    <w:p w:rsidR="00BE7662" w:rsidRPr="00BE7662" w:rsidRDefault="00E16E16" w:rsidP="00457F09">
      <w:pPr>
        <w:spacing w:before="120" w:after="360"/>
        <w:ind w:right="141"/>
        <w:jc w:val="both"/>
        <w:rPr>
          <w:rFonts w:cs="Arial"/>
          <w:sz w:val="22"/>
        </w:rPr>
      </w:pPr>
      <w:r w:rsidRPr="00BE7662">
        <w:rPr>
          <w:rFonts w:cs="Arial"/>
          <w:sz w:val="22"/>
        </w:rPr>
        <w:t>Vu les conclusions du Procureur général</w:t>
      </w:r>
      <w:r w:rsidR="00BF292A">
        <w:rPr>
          <w:rFonts w:cs="Arial"/>
          <w:sz w:val="22"/>
        </w:rPr>
        <w:t> ;</w:t>
      </w:r>
    </w:p>
    <w:p w:rsidR="00BE7662" w:rsidRDefault="00E16E16" w:rsidP="00457F09">
      <w:pPr>
        <w:spacing w:before="120" w:after="360"/>
        <w:ind w:right="141"/>
        <w:jc w:val="both"/>
        <w:rPr>
          <w:rFonts w:cs="Arial"/>
          <w:sz w:val="22"/>
        </w:rPr>
      </w:pPr>
      <w:r w:rsidRPr="00BE7662">
        <w:rPr>
          <w:rFonts w:cs="Arial"/>
          <w:sz w:val="22"/>
        </w:rPr>
        <w:t>Vu les pièces du dossier</w:t>
      </w:r>
      <w:r w:rsidR="00BF292A">
        <w:rPr>
          <w:rFonts w:cs="Arial"/>
          <w:sz w:val="22"/>
        </w:rPr>
        <w:t> ;</w:t>
      </w:r>
    </w:p>
    <w:p w:rsidR="00251CFA" w:rsidRPr="00BE7662" w:rsidRDefault="00251CFA" w:rsidP="00457F09">
      <w:pPr>
        <w:spacing w:before="120" w:after="360"/>
        <w:ind w:right="141"/>
        <w:jc w:val="both"/>
        <w:rPr>
          <w:rFonts w:cs="Arial"/>
          <w:sz w:val="22"/>
        </w:rPr>
      </w:pPr>
      <w:r w:rsidRPr="00251CFA">
        <w:rPr>
          <w:rFonts w:cs="Arial"/>
          <w:sz w:val="22"/>
        </w:rPr>
        <w:lastRenderedPageBreak/>
        <w:t xml:space="preserve">Vu la note en audience déposée par </w:t>
      </w:r>
      <w:r w:rsidR="00C40DBC">
        <w:rPr>
          <w:rFonts w:cs="Arial"/>
          <w:sz w:val="22"/>
        </w:rPr>
        <w:t>M. X</w:t>
      </w:r>
      <w:r w:rsidR="00BF292A">
        <w:rPr>
          <w:rFonts w:cs="Arial"/>
          <w:sz w:val="22"/>
        </w:rPr>
        <w:t> ;</w:t>
      </w:r>
    </w:p>
    <w:p w:rsidR="00BE7662" w:rsidRDefault="00E16E16" w:rsidP="00457F09">
      <w:pPr>
        <w:jc w:val="both"/>
        <w:rPr>
          <w:rFonts w:cs="Arial"/>
          <w:sz w:val="22"/>
        </w:rPr>
      </w:pPr>
      <w:r w:rsidRPr="00BE7662">
        <w:rPr>
          <w:rFonts w:cs="Arial"/>
          <w:sz w:val="22"/>
        </w:rPr>
        <w:t xml:space="preserve">Entendu lors de l’audience publique du </w:t>
      </w:r>
      <w:r w:rsidR="00271F73">
        <w:rPr>
          <w:rFonts w:cs="Arial"/>
          <w:sz w:val="22"/>
        </w:rPr>
        <w:t>12 mai 2015</w:t>
      </w:r>
      <w:r w:rsidRPr="00BE7662">
        <w:rPr>
          <w:rFonts w:cs="Arial"/>
          <w:sz w:val="22"/>
        </w:rPr>
        <w:t xml:space="preserve">, </w:t>
      </w:r>
      <w:r w:rsidR="00271F73" w:rsidRPr="00271F73">
        <w:rPr>
          <w:rFonts w:cs="Arial"/>
          <w:sz w:val="22"/>
        </w:rPr>
        <w:t>M.</w:t>
      </w:r>
      <w:r w:rsidR="006D7499">
        <w:rPr>
          <w:rFonts w:cs="Arial"/>
          <w:sz w:val="22"/>
        </w:rPr>
        <w:t> </w:t>
      </w:r>
      <w:r w:rsidR="00271F73" w:rsidRPr="00271F73">
        <w:rPr>
          <w:rFonts w:cs="Arial"/>
          <w:sz w:val="22"/>
        </w:rPr>
        <w:t xml:space="preserve">Patrick </w:t>
      </w:r>
      <w:r w:rsidR="00D274AE" w:rsidRPr="00271F73">
        <w:rPr>
          <w:rFonts w:cs="Arial"/>
          <w:sz w:val="22"/>
        </w:rPr>
        <w:t>B</w:t>
      </w:r>
      <w:r w:rsidR="00D274AE">
        <w:rPr>
          <w:rFonts w:cs="Arial"/>
          <w:sz w:val="22"/>
        </w:rPr>
        <w:t>onnaud</w:t>
      </w:r>
      <w:r w:rsidR="00271F73" w:rsidRPr="00271F73">
        <w:rPr>
          <w:rFonts w:cs="Arial"/>
          <w:sz w:val="22"/>
        </w:rPr>
        <w:t>, conseiller référendaire</w:t>
      </w:r>
      <w:r w:rsidR="00271F73">
        <w:rPr>
          <w:rFonts w:cs="Arial"/>
          <w:sz w:val="22"/>
        </w:rPr>
        <w:t xml:space="preserve"> </w:t>
      </w:r>
      <w:r w:rsidRPr="00BE7662">
        <w:rPr>
          <w:rFonts w:cs="Arial"/>
          <w:sz w:val="22"/>
        </w:rPr>
        <w:t xml:space="preserve">en son rapport, </w:t>
      </w:r>
      <w:r w:rsidR="00271F73">
        <w:rPr>
          <w:rFonts w:cs="Arial"/>
          <w:sz w:val="22"/>
        </w:rPr>
        <w:t>M.</w:t>
      </w:r>
      <w:r w:rsidR="006D7499">
        <w:rPr>
          <w:rFonts w:cs="Arial"/>
          <w:sz w:val="22"/>
        </w:rPr>
        <w:t> </w:t>
      </w:r>
      <w:r w:rsidR="00271F73">
        <w:rPr>
          <w:rFonts w:cs="Arial"/>
          <w:sz w:val="22"/>
        </w:rPr>
        <w:t xml:space="preserve">Bertrand Diringer, </w:t>
      </w:r>
      <w:r w:rsidRPr="00BE7662">
        <w:rPr>
          <w:rFonts w:cs="Arial"/>
          <w:sz w:val="22"/>
        </w:rPr>
        <w:t xml:space="preserve">avocat général, en les conclusions du ministère public, </w:t>
      </w:r>
      <w:r w:rsidR="00271F73">
        <w:rPr>
          <w:rFonts w:cs="Arial"/>
          <w:sz w:val="22"/>
        </w:rPr>
        <w:t>MM</w:t>
      </w:r>
      <w:r w:rsidR="006D7499">
        <w:rPr>
          <w:rFonts w:cs="Arial"/>
          <w:sz w:val="22"/>
        </w:rPr>
        <w:t>.</w:t>
      </w:r>
      <w:r w:rsidR="00893F66">
        <w:rPr>
          <w:rFonts w:cs="Arial"/>
          <w:sz w:val="22"/>
        </w:rPr>
        <w:t> </w:t>
      </w:r>
      <w:r w:rsidR="00C40DBC">
        <w:rPr>
          <w:rFonts w:cs="Arial"/>
          <w:sz w:val="22"/>
        </w:rPr>
        <w:t>X</w:t>
      </w:r>
      <w:r w:rsidR="00D274AE">
        <w:rPr>
          <w:rFonts w:cs="Arial"/>
          <w:sz w:val="22"/>
        </w:rPr>
        <w:t xml:space="preserve"> et </w:t>
      </w:r>
      <w:r w:rsidR="00C40DBC">
        <w:rPr>
          <w:rFonts w:cs="Arial"/>
          <w:sz w:val="22"/>
        </w:rPr>
        <w:t>Y</w:t>
      </w:r>
      <w:r w:rsidR="00271F73">
        <w:rPr>
          <w:rFonts w:cs="Arial"/>
          <w:sz w:val="22"/>
        </w:rPr>
        <w:t>, comptable</w:t>
      </w:r>
      <w:r w:rsidR="00D274AE">
        <w:rPr>
          <w:rFonts w:cs="Arial"/>
          <w:sz w:val="22"/>
        </w:rPr>
        <w:t>s</w:t>
      </w:r>
      <w:r w:rsidR="00271F73">
        <w:rPr>
          <w:rFonts w:cs="Arial"/>
          <w:sz w:val="22"/>
        </w:rPr>
        <w:t xml:space="preserve"> en cause</w:t>
      </w:r>
      <w:r w:rsidR="00D274AE">
        <w:rPr>
          <w:rFonts w:cs="Arial"/>
          <w:sz w:val="22"/>
        </w:rPr>
        <w:t> ;</w:t>
      </w:r>
    </w:p>
    <w:p w:rsidR="00271F73" w:rsidRPr="00BE7662" w:rsidRDefault="00271F73" w:rsidP="00457F09">
      <w:pPr>
        <w:jc w:val="both"/>
        <w:rPr>
          <w:rFonts w:cs="Arial"/>
          <w:sz w:val="22"/>
        </w:rPr>
      </w:pPr>
    </w:p>
    <w:p w:rsidR="00BE7662" w:rsidRDefault="00E16E16" w:rsidP="00457F09">
      <w:pPr>
        <w:ind w:right="141"/>
        <w:jc w:val="both"/>
        <w:rPr>
          <w:rFonts w:cs="Arial"/>
          <w:sz w:val="22"/>
        </w:rPr>
      </w:pPr>
      <w:r w:rsidRPr="00BE7662">
        <w:rPr>
          <w:rFonts w:cs="Arial"/>
          <w:sz w:val="22"/>
        </w:rPr>
        <w:t xml:space="preserve">Entendu en délibéré </w:t>
      </w:r>
      <w:r w:rsidR="00271F73">
        <w:rPr>
          <w:rFonts w:cs="Arial"/>
          <w:sz w:val="22"/>
        </w:rPr>
        <w:t>M. Jean-Luc Lebuy</w:t>
      </w:r>
      <w:r w:rsidRPr="00BE7662">
        <w:rPr>
          <w:rFonts w:cs="Arial"/>
          <w:sz w:val="22"/>
        </w:rPr>
        <w:t xml:space="preserve">, </w:t>
      </w:r>
      <w:r w:rsidR="00271F73">
        <w:rPr>
          <w:rFonts w:cs="Arial"/>
          <w:sz w:val="22"/>
        </w:rPr>
        <w:t xml:space="preserve">conseiller maître, réviseur, </w:t>
      </w:r>
      <w:r w:rsidRPr="00BE7662">
        <w:rPr>
          <w:rFonts w:cs="Arial"/>
          <w:sz w:val="22"/>
        </w:rPr>
        <w:t>en ses observations ;</w:t>
      </w:r>
    </w:p>
    <w:p w:rsidR="00457F09" w:rsidRDefault="00457F09" w:rsidP="00457F09">
      <w:pPr>
        <w:ind w:right="141"/>
        <w:jc w:val="both"/>
        <w:rPr>
          <w:rFonts w:cs="Arial"/>
          <w:sz w:val="22"/>
        </w:rPr>
      </w:pPr>
    </w:p>
    <w:p w:rsidR="00457F09" w:rsidRDefault="00457F09" w:rsidP="00457F09">
      <w:pPr>
        <w:ind w:right="141"/>
        <w:jc w:val="both"/>
        <w:rPr>
          <w:rFonts w:cs="Arial"/>
          <w:sz w:val="22"/>
        </w:rPr>
      </w:pPr>
      <w:r>
        <w:rPr>
          <w:rFonts w:cs="Arial"/>
          <w:sz w:val="22"/>
        </w:rPr>
        <w:t>Attendu qu’aucune circonstance de force majeure</w:t>
      </w:r>
      <w:r w:rsidR="007524B0" w:rsidRPr="007524B0">
        <w:t xml:space="preserve"> </w:t>
      </w:r>
      <w:r w:rsidR="007524B0" w:rsidRPr="007524B0">
        <w:rPr>
          <w:rFonts w:cs="Arial"/>
          <w:sz w:val="22"/>
        </w:rPr>
        <w:t>au sens du premier alinéa du V de l’article 60 de la loi n°</w:t>
      </w:r>
      <w:r w:rsidR="006D7499">
        <w:rPr>
          <w:rFonts w:cs="Arial"/>
          <w:sz w:val="22"/>
        </w:rPr>
        <w:t> </w:t>
      </w:r>
      <w:r w:rsidR="007524B0" w:rsidRPr="007524B0">
        <w:rPr>
          <w:rFonts w:cs="Arial"/>
          <w:sz w:val="22"/>
        </w:rPr>
        <w:t>63-156 susvisée</w:t>
      </w:r>
      <w:r>
        <w:rPr>
          <w:rFonts w:cs="Arial"/>
          <w:sz w:val="22"/>
        </w:rPr>
        <w:t xml:space="preserve"> n’a été établie, ni même alléguée ;</w:t>
      </w:r>
    </w:p>
    <w:p w:rsidR="00490883" w:rsidRPr="00BE7662" w:rsidRDefault="00490883" w:rsidP="00457F09">
      <w:pPr>
        <w:ind w:right="141"/>
        <w:jc w:val="both"/>
        <w:rPr>
          <w:rFonts w:cs="Arial"/>
          <w:sz w:val="22"/>
        </w:rPr>
      </w:pPr>
    </w:p>
    <w:p w:rsidR="00BE7662" w:rsidRPr="00BE7662" w:rsidRDefault="0060186C" w:rsidP="00BE7662">
      <w:pPr>
        <w:ind w:right="141"/>
        <w:jc w:val="both"/>
        <w:rPr>
          <w:rFonts w:cs="Arial"/>
          <w:sz w:val="22"/>
        </w:rPr>
      </w:pPr>
    </w:p>
    <w:p w:rsidR="00AC71B2" w:rsidRDefault="00457F09" w:rsidP="00BE7662">
      <w:pPr>
        <w:ind w:right="141"/>
        <w:jc w:val="both"/>
        <w:rPr>
          <w:rFonts w:cs="Arial"/>
          <w:b/>
          <w:i/>
          <w:sz w:val="22"/>
        </w:rPr>
      </w:pPr>
      <w:r w:rsidRPr="00457F09">
        <w:rPr>
          <w:rFonts w:cs="Arial"/>
          <w:b/>
          <w:i/>
          <w:sz w:val="22"/>
          <w:u w:val="single"/>
        </w:rPr>
        <w:t xml:space="preserve">Sur la notification du réquisitoire à </w:t>
      </w:r>
      <w:r w:rsidR="00C40DBC">
        <w:rPr>
          <w:rFonts w:cs="Arial"/>
          <w:b/>
          <w:i/>
          <w:sz w:val="22"/>
          <w:u w:val="single"/>
        </w:rPr>
        <w:t>M. X</w:t>
      </w:r>
      <w:r w:rsidRPr="00457F09">
        <w:rPr>
          <w:rFonts w:cs="Arial"/>
          <w:b/>
          <w:i/>
          <w:sz w:val="22"/>
          <w:u w:val="single"/>
        </w:rPr>
        <w:t xml:space="preserve"> </w:t>
      </w:r>
      <w:r w:rsidRPr="00457F09">
        <w:rPr>
          <w:rFonts w:cs="Arial"/>
          <w:b/>
          <w:i/>
          <w:sz w:val="22"/>
        </w:rPr>
        <w:t>:</w:t>
      </w:r>
    </w:p>
    <w:p w:rsidR="00AC71B2" w:rsidRDefault="00AC71B2" w:rsidP="00BE7662">
      <w:pPr>
        <w:ind w:right="141"/>
        <w:jc w:val="both"/>
        <w:rPr>
          <w:rFonts w:cs="Arial"/>
          <w:b/>
          <w:i/>
          <w:sz w:val="22"/>
        </w:rPr>
      </w:pPr>
    </w:p>
    <w:p w:rsidR="00457F09" w:rsidRDefault="00457F09" w:rsidP="00457F09">
      <w:pPr>
        <w:ind w:right="141"/>
        <w:jc w:val="both"/>
        <w:rPr>
          <w:rFonts w:cs="Arial"/>
          <w:sz w:val="22"/>
        </w:rPr>
      </w:pPr>
      <w:r>
        <w:rPr>
          <w:rFonts w:cs="Arial"/>
          <w:sz w:val="22"/>
        </w:rPr>
        <w:t>Attendu que l</w:t>
      </w:r>
      <w:r w:rsidRPr="00457F09">
        <w:rPr>
          <w:rFonts w:cs="Arial"/>
          <w:sz w:val="22"/>
        </w:rPr>
        <w:t>e réquisitoire a été adressé à M.</w:t>
      </w:r>
      <w:r w:rsidR="005E3720">
        <w:rPr>
          <w:rFonts w:cs="Arial"/>
          <w:sz w:val="22"/>
        </w:rPr>
        <w:t> </w:t>
      </w:r>
      <w:r w:rsidR="00C40DBC">
        <w:rPr>
          <w:rFonts w:cs="Arial"/>
          <w:sz w:val="22"/>
        </w:rPr>
        <w:t>X</w:t>
      </w:r>
      <w:r w:rsidRPr="00457F09">
        <w:rPr>
          <w:rFonts w:cs="Arial"/>
          <w:sz w:val="22"/>
        </w:rPr>
        <w:t xml:space="preserve"> par envoi du 18 décembre 2014, présenté, avec avis le passage, le 20 décembre, en att</w:t>
      </w:r>
      <w:r>
        <w:rPr>
          <w:rFonts w:cs="Arial"/>
          <w:sz w:val="22"/>
        </w:rPr>
        <w:t>ente de retrait à compter du 22</w:t>
      </w:r>
      <w:r w:rsidR="00BF292A">
        <w:rPr>
          <w:rFonts w:cs="Arial"/>
          <w:sz w:val="22"/>
        </w:rPr>
        <w:t xml:space="preserve"> </w:t>
      </w:r>
      <w:r w:rsidRPr="00457F09">
        <w:rPr>
          <w:rFonts w:cs="Arial"/>
          <w:sz w:val="22"/>
        </w:rPr>
        <w:t>décembre et retourné à l’expéditeur pour cause de dépassement de déla</w:t>
      </w:r>
      <w:r>
        <w:rPr>
          <w:rFonts w:cs="Arial"/>
          <w:sz w:val="22"/>
        </w:rPr>
        <w:t>i d’instance, le 7</w:t>
      </w:r>
      <w:r w:rsidR="00BF292A">
        <w:rPr>
          <w:rFonts w:cs="Arial"/>
          <w:sz w:val="22"/>
        </w:rPr>
        <w:t xml:space="preserve"> j</w:t>
      </w:r>
      <w:r>
        <w:rPr>
          <w:rFonts w:cs="Arial"/>
          <w:sz w:val="22"/>
        </w:rPr>
        <w:t>anvier</w:t>
      </w:r>
      <w:r w:rsidR="00BF292A">
        <w:rPr>
          <w:rFonts w:cs="Arial"/>
          <w:sz w:val="22"/>
        </w:rPr>
        <w:t xml:space="preserve"> </w:t>
      </w:r>
      <w:r>
        <w:rPr>
          <w:rFonts w:cs="Arial"/>
          <w:sz w:val="22"/>
        </w:rPr>
        <w:t>2015 ; que l</w:t>
      </w:r>
      <w:r w:rsidRPr="00457F09">
        <w:rPr>
          <w:rFonts w:cs="Arial"/>
          <w:sz w:val="22"/>
        </w:rPr>
        <w:t xml:space="preserve">e pli a fait retour à la Cour le 8 </w:t>
      </w:r>
      <w:r>
        <w:rPr>
          <w:rFonts w:cs="Arial"/>
          <w:sz w:val="22"/>
        </w:rPr>
        <w:t xml:space="preserve">janvier 2015 ; qu’une </w:t>
      </w:r>
      <w:r w:rsidRPr="00457F09">
        <w:rPr>
          <w:rFonts w:cs="Arial"/>
          <w:sz w:val="22"/>
        </w:rPr>
        <w:t>nouvelle expédition a été effectuée, dont M.</w:t>
      </w:r>
      <w:r w:rsidR="006D7499">
        <w:rPr>
          <w:rFonts w:cs="Arial"/>
          <w:sz w:val="22"/>
        </w:rPr>
        <w:t> </w:t>
      </w:r>
      <w:r w:rsidR="00C40DBC">
        <w:rPr>
          <w:rFonts w:cs="Arial"/>
          <w:sz w:val="22"/>
        </w:rPr>
        <w:t>X</w:t>
      </w:r>
      <w:r w:rsidRPr="00457F09">
        <w:rPr>
          <w:rFonts w:cs="Arial"/>
          <w:sz w:val="22"/>
        </w:rPr>
        <w:t xml:space="preserve"> a accu</w:t>
      </w:r>
      <w:r>
        <w:rPr>
          <w:rFonts w:cs="Arial"/>
          <w:sz w:val="22"/>
        </w:rPr>
        <w:t>sé réception le 19</w:t>
      </w:r>
      <w:r w:rsidR="00BF292A">
        <w:rPr>
          <w:rFonts w:cs="Arial"/>
          <w:sz w:val="22"/>
        </w:rPr>
        <w:t xml:space="preserve"> </w:t>
      </w:r>
      <w:r>
        <w:rPr>
          <w:rFonts w:cs="Arial"/>
          <w:sz w:val="22"/>
        </w:rPr>
        <w:t>janvier</w:t>
      </w:r>
      <w:r w:rsidR="00BF292A">
        <w:rPr>
          <w:rFonts w:cs="Arial"/>
          <w:sz w:val="22"/>
        </w:rPr>
        <w:t xml:space="preserve"> </w:t>
      </w:r>
      <w:r>
        <w:rPr>
          <w:rFonts w:cs="Arial"/>
          <w:sz w:val="22"/>
        </w:rPr>
        <w:t>2015 ;</w:t>
      </w:r>
    </w:p>
    <w:p w:rsidR="00251CFA" w:rsidRDefault="00251CFA" w:rsidP="00457F09">
      <w:pPr>
        <w:ind w:right="141"/>
        <w:jc w:val="both"/>
        <w:rPr>
          <w:rFonts w:cs="Arial"/>
          <w:sz w:val="22"/>
        </w:rPr>
      </w:pPr>
    </w:p>
    <w:p w:rsidR="00251CFA" w:rsidRDefault="00251CFA" w:rsidP="00251CFA">
      <w:pPr>
        <w:ind w:right="141"/>
        <w:jc w:val="both"/>
        <w:rPr>
          <w:rFonts w:cs="Arial"/>
          <w:sz w:val="22"/>
        </w:rPr>
      </w:pPr>
      <w:r>
        <w:rPr>
          <w:rFonts w:cs="Arial"/>
          <w:sz w:val="22"/>
        </w:rPr>
        <w:t>Attendu</w:t>
      </w:r>
      <w:r w:rsidRPr="00457F09">
        <w:rPr>
          <w:rFonts w:cs="Arial"/>
          <w:sz w:val="22"/>
        </w:rPr>
        <w:t xml:space="preserve"> qu</w:t>
      </w:r>
      <w:r>
        <w:rPr>
          <w:rFonts w:cs="Arial"/>
          <w:sz w:val="22"/>
        </w:rPr>
        <w:t>e M.</w:t>
      </w:r>
      <w:r w:rsidR="006D7499">
        <w:rPr>
          <w:rFonts w:cs="Arial"/>
          <w:sz w:val="22"/>
        </w:rPr>
        <w:t> </w:t>
      </w:r>
      <w:r w:rsidR="00C40DBC">
        <w:rPr>
          <w:rFonts w:cs="Arial"/>
          <w:sz w:val="22"/>
        </w:rPr>
        <w:t>X</w:t>
      </w:r>
      <w:r>
        <w:rPr>
          <w:rFonts w:cs="Arial"/>
          <w:sz w:val="22"/>
        </w:rPr>
        <w:t xml:space="preserve"> a suffisamment établi à l’audience que, nonobstant les mentions de l’avis de passage du 20 décembre 2014, un doute sérieux existait quant à la réalité de cette notification du réquisitoire, doute confirmé par le retour à la Cour avec la mention « destinataire inconnu à l’adresse » de la lettre de notification de la date de l’audience publique qui lui avait été adressée avec même suscription et à même adresse que le réquisitoire ;</w:t>
      </w:r>
    </w:p>
    <w:p w:rsidR="00251CFA" w:rsidRDefault="00251CFA" w:rsidP="00457F09">
      <w:pPr>
        <w:ind w:right="141"/>
        <w:jc w:val="both"/>
        <w:rPr>
          <w:rFonts w:cs="Arial"/>
          <w:sz w:val="22"/>
        </w:rPr>
      </w:pPr>
    </w:p>
    <w:p w:rsidR="00457F09" w:rsidRPr="00457F09" w:rsidRDefault="00457F09" w:rsidP="00457F09">
      <w:pPr>
        <w:ind w:right="141"/>
        <w:jc w:val="both"/>
        <w:rPr>
          <w:rFonts w:cs="Arial"/>
          <w:sz w:val="22"/>
        </w:rPr>
      </w:pPr>
    </w:p>
    <w:p w:rsidR="00BC5D66" w:rsidRDefault="00251CFA" w:rsidP="00457F09">
      <w:pPr>
        <w:ind w:right="141"/>
        <w:jc w:val="both"/>
        <w:rPr>
          <w:rFonts w:cs="Arial"/>
          <w:sz w:val="22"/>
        </w:rPr>
      </w:pPr>
      <w:r>
        <w:rPr>
          <w:rFonts w:cs="Arial"/>
          <w:sz w:val="22"/>
        </w:rPr>
        <w:t>Attendu qu’</w:t>
      </w:r>
      <w:r w:rsidR="00BC5D66">
        <w:rPr>
          <w:rFonts w:cs="Arial"/>
          <w:sz w:val="22"/>
        </w:rPr>
        <w:t xml:space="preserve">il en résulte que le réquisitoire </w:t>
      </w:r>
      <w:r>
        <w:rPr>
          <w:rFonts w:cs="Arial"/>
          <w:sz w:val="22"/>
        </w:rPr>
        <w:t>n’</w:t>
      </w:r>
      <w:r w:rsidR="00BC5D66">
        <w:rPr>
          <w:rFonts w:cs="Arial"/>
          <w:sz w:val="22"/>
        </w:rPr>
        <w:t xml:space="preserve">a été valablement notifié </w:t>
      </w:r>
      <w:r>
        <w:rPr>
          <w:rFonts w:cs="Arial"/>
          <w:sz w:val="22"/>
        </w:rPr>
        <w:t>à M.</w:t>
      </w:r>
      <w:r w:rsidR="006D7499">
        <w:rPr>
          <w:rFonts w:cs="Arial"/>
          <w:sz w:val="22"/>
        </w:rPr>
        <w:t> </w:t>
      </w:r>
      <w:r w:rsidR="00C40DBC">
        <w:rPr>
          <w:rFonts w:cs="Arial"/>
          <w:sz w:val="22"/>
        </w:rPr>
        <w:t>X</w:t>
      </w:r>
      <w:r>
        <w:rPr>
          <w:rFonts w:cs="Arial"/>
          <w:sz w:val="22"/>
        </w:rPr>
        <w:t xml:space="preserve"> </w:t>
      </w:r>
      <w:r w:rsidR="00BC5D66">
        <w:rPr>
          <w:rFonts w:cs="Arial"/>
          <w:sz w:val="22"/>
        </w:rPr>
        <w:t>que le 19 janvier 2015 ; que le compte 2008 avait été produit à la Cour le 22 décembre 2009</w:t>
      </w:r>
      <w:r w:rsidR="005B4288">
        <w:rPr>
          <w:rFonts w:cs="Arial"/>
          <w:sz w:val="22"/>
        </w:rPr>
        <w:t> ; qu’il</w:t>
      </w:r>
      <w:r w:rsidR="00BF292A">
        <w:rPr>
          <w:rFonts w:cs="Arial"/>
          <w:sz w:val="22"/>
        </w:rPr>
        <w:t xml:space="preserve"> </w:t>
      </w:r>
      <w:r w:rsidR="005B4288">
        <w:rPr>
          <w:rFonts w:cs="Arial"/>
          <w:sz w:val="22"/>
        </w:rPr>
        <w:t xml:space="preserve">y a donc lieu de </w:t>
      </w:r>
      <w:r>
        <w:rPr>
          <w:rFonts w:cs="Arial"/>
          <w:sz w:val="22"/>
        </w:rPr>
        <w:t>dire que c’est à bon droit que M.</w:t>
      </w:r>
      <w:r w:rsidR="006D7499">
        <w:rPr>
          <w:rFonts w:cs="Arial"/>
          <w:sz w:val="22"/>
        </w:rPr>
        <w:t> </w:t>
      </w:r>
      <w:r w:rsidR="00C40DBC">
        <w:rPr>
          <w:rFonts w:cs="Arial"/>
          <w:sz w:val="22"/>
        </w:rPr>
        <w:t>X</w:t>
      </w:r>
      <w:r>
        <w:rPr>
          <w:rFonts w:cs="Arial"/>
          <w:sz w:val="22"/>
        </w:rPr>
        <w:t xml:space="preserve"> invoque le bénéfice </w:t>
      </w:r>
      <w:r w:rsidR="005B4288">
        <w:rPr>
          <w:rFonts w:cs="Arial"/>
          <w:sz w:val="22"/>
        </w:rPr>
        <w:t>des dispositions de l’alinéa IV de l’article 60 de la loi n°</w:t>
      </w:r>
      <w:r w:rsidR="006D7499">
        <w:rPr>
          <w:rFonts w:cs="Arial"/>
          <w:sz w:val="22"/>
        </w:rPr>
        <w:t> </w:t>
      </w:r>
      <w:r w:rsidR="005B4288">
        <w:rPr>
          <w:rFonts w:cs="Arial"/>
          <w:sz w:val="22"/>
        </w:rPr>
        <w:t>63-156 du 23</w:t>
      </w:r>
      <w:r w:rsidR="00BF292A">
        <w:rPr>
          <w:rFonts w:cs="Arial"/>
          <w:sz w:val="22"/>
        </w:rPr>
        <w:t xml:space="preserve"> </w:t>
      </w:r>
      <w:r w:rsidR="005B4288">
        <w:rPr>
          <w:rFonts w:cs="Arial"/>
          <w:sz w:val="22"/>
        </w:rPr>
        <w:t>février</w:t>
      </w:r>
      <w:r w:rsidR="00BF292A">
        <w:rPr>
          <w:rFonts w:cs="Arial"/>
          <w:sz w:val="22"/>
        </w:rPr>
        <w:t xml:space="preserve"> </w:t>
      </w:r>
      <w:r w:rsidR="005B4288">
        <w:rPr>
          <w:rFonts w:cs="Arial"/>
          <w:sz w:val="22"/>
        </w:rPr>
        <w:t>1963, de finances pour 1963</w:t>
      </w:r>
      <w:r w:rsidR="00BF292A">
        <w:rPr>
          <w:rFonts w:cs="Arial"/>
          <w:sz w:val="22"/>
        </w:rPr>
        <w:t xml:space="preserve"> </w:t>
      </w:r>
      <w:r>
        <w:rPr>
          <w:rFonts w:cs="Arial"/>
          <w:sz w:val="22"/>
        </w:rPr>
        <w:t>et que sa responsabilité ne peut être mise en jeu</w:t>
      </w:r>
      <w:r w:rsidR="00BF292A">
        <w:rPr>
          <w:rFonts w:cs="Arial"/>
          <w:sz w:val="22"/>
        </w:rPr>
        <w:t> ;</w:t>
      </w:r>
    </w:p>
    <w:p w:rsidR="00BC5D66" w:rsidRDefault="00BC5D66" w:rsidP="00457F09">
      <w:pPr>
        <w:ind w:right="141"/>
        <w:jc w:val="both"/>
        <w:rPr>
          <w:rFonts w:cs="Arial"/>
          <w:sz w:val="22"/>
        </w:rPr>
      </w:pPr>
    </w:p>
    <w:p w:rsidR="00AC71B2" w:rsidRDefault="00AC71B2" w:rsidP="00BE7662">
      <w:pPr>
        <w:ind w:right="141"/>
        <w:jc w:val="both"/>
        <w:rPr>
          <w:rFonts w:cs="Arial"/>
          <w:b/>
          <w:i/>
          <w:sz w:val="22"/>
        </w:rPr>
      </w:pPr>
    </w:p>
    <w:p w:rsidR="00BE7662" w:rsidRPr="00F83996" w:rsidRDefault="00F83996" w:rsidP="00BE7662">
      <w:pPr>
        <w:ind w:right="141"/>
        <w:jc w:val="both"/>
        <w:rPr>
          <w:rFonts w:cs="Arial"/>
          <w:b/>
          <w:i/>
          <w:sz w:val="22"/>
          <w:u w:val="single"/>
        </w:rPr>
      </w:pPr>
      <w:r>
        <w:rPr>
          <w:rFonts w:cs="Arial"/>
          <w:b/>
          <w:i/>
          <w:sz w:val="22"/>
          <w:u w:val="single"/>
        </w:rPr>
        <w:t xml:space="preserve">Sur la présomption de charge </w:t>
      </w:r>
      <w:r w:rsidR="0015565A" w:rsidRPr="00F83996">
        <w:rPr>
          <w:rFonts w:cs="Arial"/>
          <w:b/>
          <w:i/>
          <w:sz w:val="22"/>
          <w:u w:val="single"/>
        </w:rPr>
        <w:t>unique</w:t>
      </w:r>
      <w:r w:rsidR="00E16E16" w:rsidRPr="00F83996">
        <w:rPr>
          <w:rFonts w:cs="Arial"/>
          <w:b/>
          <w:i/>
          <w:sz w:val="22"/>
          <w:u w:val="single"/>
        </w:rPr>
        <w:t xml:space="preserve">, soulevée à l’encontre de </w:t>
      </w:r>
      <w:r w:rsidR="00C40DBC">
        <w:rPr>
          <w:rFonts w:cs="Arial"/>
          <w:b/>
          <w:i/>
          <w:sz w:val="22"/>
          <w:u w:val="single"/>
        </w:rPr>
        <w:t>M. Y</w:t>
      </w:r>
      <w:r w:rsidR="00E16E16" w:rsidRPr="00F83996">
        <w:rPr>
          <w:rFonts w:cs="Arial"/>
          <w:b/>
          <w:i/>
          <w:sz w:val="22"/>
          <w:u w:val="single"/>
        </w:rPr>
        <w:t xml:space="preserve">, au titre de l’exercice </w:t>
      </w:r>
      <w:r w:rsidR="0015565A" w:rsidRPr="00F83996">
        <w:rPr>
          <w:rFonts w:cs="Arial"/>
          <w:b/>
          <w:i/>
          <w:sz w:val="22"/>
          <w:u w:val="single"/>
        </w:rPr>
        <w:t>2008</w:t>
      </w:r>
      <w:r w:rsidR="00E16E16" w:rsidRPr="00F83996">
        <w:rPr>
          <w:rFonts w:cs="Arial"/>
          <w:b/>
          <w:i/>
          <w:sz w:val="22"/>
          <w:u w:val="single"/>
        </w:rPr>
        <w:t xml:space="preserve"> :</w:t>
      </w:r>
    </w:p>
    <w:p w:rsidR="00BE7662" w:rsidRPr="00BE7662" w:rsidRDefault="0060186C" w:rsidP="00BE7662">
      <w:pPr>
        <w:tabs>
          <w:tab w:val="center" w:pos="4536"/>
          <w:tab w:val="right" w:pos="9072"/>
        </w:tabs>
        <w:jc w:val="both"/>
        <w:rPr>
          <w:rFonts w:cs="Arial"/>
          <w:sz w:val="22"/>
        </w:rPr>
      </w:pPr>
    </w:p>
    <w:p w:rsidR="0015565A" w:rsidRDefault="00E16E16" w:rsidP="0015565A">
      <w:pPr>
        <w:tabs>
          <w:tab w:val="center" w:pos="4536"/>
          <w:tab w:val="right" w:pos="9072"/>
        </w:tabs>
        <w:jc w:val="both"/>
        <w:rPr>
          <w:rFonts w:cs="Arial"/>
          <w:sz w:val="22"/>
        </w:rPr>
      </w:pPr>
      <w:r w:rsidRPr="00BE7662">
        <w:rPr>
          <w:rFonts w:cs="Arial"/>
          <w:sz w:val="22"/>
        </w:rPr>
        <w:t xml:space="preserve">Attendu que, par le réquisitoire susvisé, le Procureur général </w:t>
      </w:r>
      <w:r w:rsidR="0015565A" w:rsidRPr="0015565A">
        <w:rPr>
          <w:rFonts w:cs="Arial"/>
          <w:sz w:val="22"/>
        </w:rPr>
        <w:t xml:space="preserve">relève qu’en 2008, ont été payées à quatre médecins des vacations pour </w:t>
      </w:r>
      <w:r w:rsidR="0015565A">
        <w:rPr>
          <w:rFonts w:cs="Arial"/>
          <w:sz w:val="22"/>
        </w:rPr>
        <w:t>un montant total de 82</w:t>
      </w:r>
      <w:r w:rsidR="006D7499">
        <w:rPr>
          <w:rFonts w:cs="Arial"/>
          <w:sz w:val="22"/>
        </w:rPr>
        <w:t> </w:t>
      </w:r>
      <w:r w:rsidR="0015565A">
        <w:rPr>
          <w:rFonts w:cs="Arial"/>
          <w:sz w:val="22"/>
        </w:rPr>
        <w:t>178,64</w:t>
      </w:r>
      <w:r w:rsidR="006D7499">
        <w:rPr>
          <w:rFonts w:cs="Arial"/>
          <w:sz w:val="22"/>
        </w:rPr>
        <w:t> </w:t>
      </w:r>
      <w:r w:rsidR="0015565A">
        <w:rPr>
          <w:rFonts w:cs="Arial"/>
          <w:sz w:val="22"/>
        </w:rPr>
        <w:t>€ ; qu’i</w:t>
      </w:r>
      <w:r w:rsidR="0015565A" w:rsidRPr="0015565A">
        <w:rPr>
          <w:rFonts w:cs="Arial"/>
          <w:sz w:val="22"/>
        </w:rPr>
        <w:t>l attribue la responsabilité de ces paiements à M.</w:t>
      </w:r>
      <w:r w:rsidR="006D7499">
        <w:rPr>
          <w:rFonts w:cs="Arial"/>
          <w:sz w:val="22"/>
        </w:rPr>
        <w:t> </w:t>
      </w:r>
      <w:r w:rsidR="00C40DBC">
        <w:rPr>
          <w:rFonts w:cs="Arial"/>
          <w:sz w:val="22"/>
        </w:rPr>
        <w:t>X</w:t>
      </w:r>
      <w:r w:rsidR="0015565A" w:rsidRPr="0015565A">
        <w:rPr>
          <w:rFonts w:cs="Arial"/>
          <w:sz w:val="22"/>
        </w:rPr>
        <w:t xml:space="preserve"> pour les mois de janvier à novembre, soit</w:t>
      </w:r>
      <w:r w:rsidR="00BF292A">
        <w:rPr>
          <w:rFonts w:cs="Arial"/>
          <w:sz w:val="22"/>
        </w:rPr>
        <w:t xml:space="preserve"> </w:t>
      </w:r>
      <w:r w:rsidR="0015565A" w:rsidRPr="0015565A">
        <w:rPr>
          <w:rFonts w:cs="Arial"/>
          <w:sz w:val="22"/>
        </w:rPr>
        <w:t>75</w:t>
      </w:r>
      <w:r w:rsidR="006D7499">
        <w:rPr>
          <w:rFonts w:cs="Arial"/>
          <w:sz w:val="22"/>
        </w:rPr>
        <w:t> </w:t>
      </w:r>
      <w:r w:rsidR="0015565A" w:rsidRPr="0015565A">
        <w:rPr>
          <w:rFonts w:cs="Arial"/>
          <w:sz w:val="22"/>
        </w:rPr>
        <w:t>330,42</w:t>
      </w:r>
      <w:r w:rsidR="006D7499">
        <w:rPr>
          <w:rFonts w:cs="Arial"/>
          <w:sz w:val="22"/>
        </w:rPr>
        <w:t> </w:t>
      </w:r>
      <w:r w:rsidR="0015565A" w:rsidRPr="0015565A">
        <w:rPr>
          <w:rFonts w:cs="Arial"/>
          <w:sz w:val="22"/>
        </w:rPr>
        <w:t>€ et pour le mois de décembre, soit 6</w:t>
      </w:r>
      <w:r w:rsidR="00BF292A">
        <w:rPr>
          <w:rFonts w:cs="Arial"/>
          <w:sz w:val="22"/>
        </w:rPr>
        <w:t> </w:t>
      </w:r>
      <w:r w:rsidR="0015565A" w:rsidRPr="0015565A">
        <w:rPr>
          <w:rFonts w:cs="Arial"/>
          <w:sz w:val="22"/>
        </w:rPr>
        <w:t>848,</w:t>
      </w:r>
      <w:r w:rsidR="0015565A">
        <w:rPr>
          <w:rFonts w:cs="Arial"/>
          <w:sz w:val="22"/>
        </w:rPr>
        <w:t>22</w:t>
      </w:r>
      <w:r w:rsidR="006D7499">
        <w:rPr>
          <w:rFonts w:cs="Arial"/>
          <w:sz w:val="22"/>
        </w:rPr>
        <w:t> </w:t>
      </w:r>
      <w:r w:rsidR="0015565A">
        <w:rPr>
          <w:rFonts w:cs="Arial"/>
          <w:sz w:val="22"/>
        </w:rPr>
        <w:t>€, à M.</w:t>
      </w:r>
      <w:r w:rsidR="006D7499">
        <w:rPr>
          <w:rFonts w:cs="Arial"/>
          <w:sz w:val="22"/>
        </w:rPr>
        <w:t> </w:t>
      </w:r>
      <w:r w:rsidR="00C40DBC">
        <w:rPr>
          <w:rFonts w:cs="Arial"/>
          <w:sz w:val="22"/>
        </w:rPr>
        <w:t>Y</w:t>
      </w:r>
      <w:r w:rsidR="00BF292A">
        <w:rPr>
          <w:rFonts w:cs="Arial"/>
          <w:sz w:val="22"/>
        </w:rPr>
        <w:t> </w:t>
      </w:r>
      <w:r w:rsidR="0015565A">
        <w:rPr>
          <w:rFonts w:cs="Arial"/>
          <w:sz w:val="22"/>
        </w:rPr>
        <w:t xml:space="preserve">; qu’il </w:t>
      </w:r>
      <w:r w:rsidR="0015565A" w:rsidRPr="0015565A">
        <w:rPr>
          <w:rFonts w:cs="Arial"/>
          <w:sz w:val="22"/>
        </w:rPr>
        <w:t>estime qu’à défaut d’être appuyé du décompte des heures d’activités, certifié par le chef de service intéressé, ces paiements sont insuffisamment justifiés et qu’en les effectuant le comptable a manqué aux obligations de contrôle de la validité de la créance (exactitude des calculs de la liquidation et production des justifications) qui lui incombent en application des dispositions des articles 12 et 13 du décret n°</w:t>
      </w:r>
      <w:r w:rsidR="006D7499">
        <w:rPr>
          <w:rFonts w:cs="Arial"/>
          <w:sz w:val="22"/>
        </w:rPr>
        <w:t> </w:t>
      </w:r>
      <w:r w:rsidR="0015565A" w:rsidRPr="0015565A">
        <w:rPr>
          <w:rFonts w:cs="Arial"/>
          <w:sz w:val="22"/>
        </w:rPr>
        <w:t>62-1587 du 29 décembre 1962 portant règlement général sur la comptabili</w:t>
      </w:r>
      <w:r w:rsidR="0015565A">
        <w:rPr>
          <w:rFonts w:cs="Arial"/>
          <w:sz w:val="22"/>
        </w:rPr>
        <w:t>té publique ; qu’i</w:t>
      </w:r>
      <w:r w:rsidR="0015565A" w:rsidRPr="0015565A">
        <w:rPr>
          <w:rFonts w:cs="Arial"/>
          <w:sz w:val="22"/>
        </w:rPr>
        <w:t>l en conclut que ces paiements irréguliers sont susceptibles de fonder la mise en jeu personnelle et pécuniaire de chacun des deux comptables pour les mon</w:t>
      </w:r>
      <w:r w:rsidR="0015565A">
        <w:rPr>
          <w:rFonts w:cs="Arial"/>
          <w:sz w:val="22"/>
        </w:rPr>
        <w:t>tants dits ;</w:t>
      </w:r>
    </w:p>
    <w:p w:rsidR="0015565A" w:rsidRPr="0015565A" w:rsidRDefault="0015565A" w:rsidP="0015565A">
      <w:pPr>
        <w:tabs>
          <w:tab w:val="center" w:pos="4536"/>
          <w:tab w:val="right" w:pos="9072"/>
        </w:tabs>
        <w:jc w:val="both"/>
        <w:rPr>
          <w:rFonts w:cs="Arial"/>
          <w:sz w:val="22"/>
        </w:rPr>
      </w:pPr>
    </w:p>
    <w:p w:rsidR="0015565A" w:rsidRDefault="00590355" w:rsidP="0015565A">
      <w:pPr>
        <w:tabs>
          <w:tab w:val="center" w:pos="4536"/>
          <w:tab w:val="right" w:pos="9072"/>
        </w:tabs>
        <w:jc w:val="both"/>
        <w:rPr>
          <w:rFonts w:cs="Arial"/>
          <w:sz w:val="22"/>
        </w:rPr>
      </w:pPr>
      <w:r>
        <w:rPr>
          <w:rFonts w:cs="Arial"/>
          <w:sz w:val="22"/>
        </w:rPr>
        <w:t>Attendu que c</w:t>
      </w:r>
      <w:r w:rsidR="0015565A" w:rsidRPr="0015565A">
        <w:rPr>
          <w:rFonts w:cs="Arial"/>
          <w:sz w:val="22"/>
        </w:rPr>
        <w:t>es montants ne tiennent pas compte des cotisations patronales</w:t>
      </w:r>
      <w:r w:rsidR="00BF292A">
        <w:rPr>
          <w:rFonts w:cs="Arial"/>
          <w:sz w:val="22"/>
        </w:rPr>
        <w:t> </w:t>
      </w:r>
      <w:r w:rsidR="0015565A" w:rsidRPr="0015565A">
        <w:rPr>
          <w:rFonts w:cs="Arial"/>
          <w:sz w:val="22"/>
        </w:rPr>
        <w:t xml:space="preserve">; </w:t>
      </w:r>
      <w:r>
        <w:rPr>
          <w:rFonts w:cs="Arial"/>
          <w:sz w:val="22"/>
        </w:rPr>
        <w:t>qu’</w:t>
      </w:r>
      <w:r w:rsidR="0015565A" w:rsidRPr="0015565A">
        <w:rPr>
          <w:rFonts w:cs="Arial"/>
          <w:sz w:val="22"/>
        </w:rPr>
        <w:t>ils font porter à M.</w:t>
      </w:r>
      <w:r w:rsidR="006D7499">
        <w:rPr>
          <w:rFonts w:cs="Arial"/>
          <w:sz w:val="22"/>
        </w:rPr>
        <w:t> </w:t>
      </w:r>
      <w:r w:rsidR="00C40DBC">
        <w:rPr>
          <w:rFonts w:cs="Arial"/>
          <w:sz w:val="22"/>
        </w:rPr>
        <w:t>X</w:t>
      </w:r>
      <w:r w:rsidR="0015565A" w:rsidRPr="0015565A">
        <w:rPr>
          <w:rFonts w:cs="Arial"/>
          <w:sz w:val="22"/>
        </w:rPr>
        <w:t xml:space="preserve"> la responsabilité du paiement du m</w:t>
      </w:r>
      <w:r>
        <w:rPr>
          <w:rFonts w:cs="Arial"/>
          <w:sz w:val="22"/>
        </w:rPr>
        <w:t>ois de novembre effectué par M. </w:t>
      </w:r>
      <w:r w:rsidR="00C40DBC">
        <w:rPr>
          <w:rFonts w:cs="Arial"/>
          <w:sz w:val="22"/>
        </w:rPr>
        <w:t>Y</w:t>
      </w:r>
      <w:r w:rsidR="00BF292A">
        <w:rPr>
          <w:rFonts w:cs="Arial"/>
          <w:sz w:val="22"/>
        </w:rPr>
        <w:t> </w:t>
      </w:r>
      <w:r w:rsidR="0015565A" w:rsidRPr="0015565A">
        <w:rPr>
          <w:rFonts w:cs="Arial"/>
          <w:sz w:val="22"/>
        </w:rPr>
        <w:t xml:space="preserve">; </w:t>
      </w:r>
      <w:r>
        <w:rPr>
          <w:rFonts w:cs="Arial"/>
          <w:sz w:val="22"/>
        </w:rPr>
        <w:t>qu’</w:t>
      </w:r>
      <w:r w:rsidR="0015565A" w:rsidRPr="0015565A">
        <w:rPr>
          <w:rFonts w:cs="Arial"/>
          <w:sz w:val="22"/>
        </w:rPr>
        <w:t xml:space="preserve">ils ne correspondent pas exactement aux </w:t>
      </w:r>
      <w:r>
        <w:rPr>
          <w:rFonts w:cs="Arial"/>
          <w:sz w:val="22"/>
        </w:rPr>
        <w:t xml:space="preserve">montants portés par les mandats ; que </w:t>
      </w:r>
      <w:r w:rsidR="00251CFA">
        <w:rPr>
          <w:rFonts w:cs="Arial"/>
          <w:sz w:val="22"/>
        </w:rPr>
        <w:t>les dispositions de l’alinéa IV de l’article 60 de la loi n°</w:t>
      </w:r>
      <w:r w:rsidR="00605093">
        <w:rPr>
          <w:rFonts w:cs="Arial"/>
          <w:sz w:val="22"/>
        </w:rPr>
        <w:t xml:space="preserve"> </w:t>
      </w:r>
      <w:r w:rsidR="00251CFA">
        <w:rPr>
          <w:rFonts w:cs="Arial"/>
          <w:sz w:val="22"/>
        </w:rPr>
        <w:t>63-156 du 23</w:t>
      </w:r>
      <w:r w:rsidR="00BF292A">
        <w:rPr>
          <w:rFonts w:cs="Arial"/>
          <w:sz w:val="22"/>
        </w:rPr>
        <w:t xml:space="preserve"> </w:t>
      </w:r>
      <w:r w:rsidR="00251CFA">
        <w:rPr>
          <w:rFonts w:cs="Arial"/>
          <w:sz w:val="22"/>
        </w:rPr>
        <w:t>février</w:t>
      </w:r>
      <w:r w:rsidR="00BF292A">
        <w:rPr>
          <w:rFonts w:cs="Arial"/>
          <w:sz w:val="22"/>
        </w:rPr>
        <w:t xml:space="preserve"> </w:t>
      </w:r>
      <w:r w:rsidR="00251CFA">
        <w:rPr>
          <w:rFonts w:cs="Arial"/>
          <w:sz w:val="22"/>
        </w:rPr>
        <w:t>1963, de finances pour 1963</w:t>
      </w:r>
      <w:r w:rsidR="00BF292A">
        <w:rPr>
          <w:rFonts w:cs="Arial"/>
          <w:sz w:val="22"/>
        </w:rPr>
        <w:t xml:space="preserve"> </w:t>
      </w:r>
      <w:r w:rsidR="00251CFA">
        <w:rPr>
          <w:rFonts w:cs="Arial"/>
          <w:sz w:val="22"/>
        </w:rPr>
        <w:t xml:space="preserve">font </w:t>
      </w:r>
      <w:r>
        <w:rPr>
          <w:rFonts w:cs="Arial"/>
          <w:sz w:val="22"/>
        </w:rPr>
        <w:t>obstacle à la mise en jeu</w:t>
      </w:r>
      <w:r w:rsidR="007524B0">
        <w:rPr>
          <w:rFonts w:cs="Arial"/>
          <w:sz w:val="22"/>
        </w:rPr>
        <w:t xml:space="preserve"> de la responsabilité de M. </w:t>
      </w:r>
      <w:r w:rsidR="00C40DBC">
        <w:rPr>
          <w:rFonts w:cs="Arial"/>
          <w:sz w:val="22"/>
        </w:rPr>
        <w:t>X</w:t>
      </w:r>
      <w:r w:rsidR="00BF292A">
        <w:rPr>
          <w:rFonts w:cs="Arial"/>
          <w:sz w:val="22"/>
        </w:rPr>
        <w:t> </w:t>
      </w:r>
      <w:r w:rsidR="007524B0">
        <w:rPr>
          <w:rFonts w:cs="Arial"/>
          <w:sz w:val="22"/>
        </w:rPr>
        <w:t>;</w:t>
      </w:r>
    </w:p>
    <w:p w:rsidR="007524B0" w:rsidRPr="0015565A" w:rsidRDefault="007524B0" w:rsidP="0015565A">
      <w:pPr>
        <w:tabs>
          <w:tab w:val="center" w:pos="4536"/>
          <w:tab w:val="right" w:pos="9072"/>
        </w:tabs>
        <w:jc w:val="both"/>
        <w:rPr>
          <w:rFonts w:cs="Arial"/>
          <w:sz w:val="22"/>
        </w:rPr>
      </w:pPr>
    </w:p>
    <w:p w:rsidR="0015565A" w:rsidRPr="0015565A" w:rsidRDefault="007524B0">
      <w:pPr>
        <w:tabs>
          <w:tab w:val="center" w:pos="4536"/>
          <w:tab w:val="right" w:pos="9072"/>
        </w:tabs>
        <w:jc w:val="both"/>
        <w:rPr>
          <w:rFonts w:cs="Arial"/>
          <w:sz w:val="22"/>
        </w:rPr>
      </w:pPr>
      <w:r w:rsidRPr="007524B0">
        <w:rPr>
          <w:rFonts w:cs="Arial"/>
          <w:sz w:val="22"/>
        </w:rPr>
        <w:lastRenderedPageBreak/>
        <w:t>Attendu que l</w:t>
      </w:r>
      <w:r w:rsidR="0015565A" w:rsidRPr="007524B0">
        <w:rPr>
          <w:rFonts w:cs="Arial"/>
          <w:sz w:val="22"/>
        </w:rPr>
        <w:t>e décret n°</w:t>
      </w:r>
      <w:r w:rsidR="006D7499">
        <w:rPr>
          <w:rFonts w:cs="Arial"/>
          <w:sz w:val="22"/>
        </w:rPr>
        <w:t> </w:t>
      </w:r>
      <w:r w:rsidR="0015565A" w:rsidRPr="007524B0">
        <w:rPr>
          <w:rFonts w:cs="Arial"/>
          <w:sz w:val="22"/>
        </w:rPr>
        <w:t>78-1308 du 13 décembre 1978, applicable en l’espèce, di</w:t>
      </w:r>
      <w:r w:rsidRPr="007524B0">
        <w:rPr>
          <w:rFonts w:cs="Arial"/>
          <w:sz w:val="22"/>
        </w:rPr>
        <w:t xml:space="preserve">spose notamment que </w:t>
      </w:r>
      <w:r w:rsidR="0015565A" w:rsidRPr="007524B0">
        <w:rPr>
          <w:rFonts w:cs="Arial"/>
          <w:sz w:val="22"/>
        </w:rPr>
        <w:tab/>
        <w:t>le nombre des vacations horaires ne peut excéder 120 par vacataire et par mois</w:t>
      </w:r>
      <w:r w:rsidR="00BF292A">
        <w:rPr>
          <w:rFonts w:cs="Arial"/>
          <w:sz w:val="22"/>
        </w:rPr>
        <w:t> ;</w:t>
      </w:r>
      <w:r w:rsidRPr="007524B0">
        <w:rPr>
          <w:rFonts w:cs="Arial"/>
          <w:sz w:val="22"/>
        </w:rPr>
        <w:t xml:space="preserve"> que </w:t>
      </w:r>
      <w:r w:rsidR="0015565A" w:rsidRPr="007524B0">
        <w:rPr>
          <w:rFonts w:cs="Arial"/>
          <w:sz w:val="22"/>
        </w:rPr>
        <w:tab/>
        <w:t>ces rémunérations sont versées mensuellement suivant un décompte des heures d’activité certifié pa</w:t>
      </w:r>
      <w:r w:rsidRPr="007524B0">
        <w:rPr>
          <w:rFonts w:cs="Arial"/>
          <w:sz w:val="22"/>
        </w:rPr>
        <w:t xml:space="preserve">r le chef de service intéressé ; que </w:t>
      </w:r>
      <w:r w:rsidR="0015565A" w:rsidRPr="007524B0">
        <w:rPr>
          <w:rFonts w:cs="Arial"/>
          <w:sz w:val="22"/>
        </w:rPr>
        <w:t>dans le cas de c</w:t>
      </w:r>
      <w:r w:rsidRPr="007524B0">
        <w:rPr>
          <w:rFonts w:cs="Arial"/>
          <w:sz w:val="22"/>
        </w:rPr>
        <w:t xml:space="preserve">irconstances </w:t>
      </w:r>
      <w:r w:rsidR="0015565A" w:rsidRPr="007524B0">
        <w:rPr>
          <w:rFonts w:cs="Arial"/>
          <w:sz w:val="22"/>
        </w:rPr>
        <w:t>exceptionnelles, une rémunération forfaitair</w:t>
      </w:r>
      <w:r>
        <w:rPr>
          <w:rFonts w:cs="Arial"/>
          <w:sz w:val="22"/>
        </w:rPr>
        <w:t>e mensuelle, pourra être prévue ;</w:t>
      </w:r>
      <w:r w:rsidR="00665651">
        <w:rPr>
          <w:rFonts w:cs="Arial"/>
          <w:sz w:val="22"/>
        </w:rPr>
        <w:t xml:space="preserve"> que les contrats des cinq praticiens dont les rémunérations sont en cause fondaient ces rémunérations </w:t>
      </w:r>
      <w:r w:rsidR="00893F66">
        <w:rPr>
          <w:rFonts w:cs="Arial"/>
          <w:sz w:val="22"/>
        </w:rPr>
        <w:t xml:space="preserve">sur </w:t>
      </w:r>
      <w:r w:rsidR="00665651">
        <w:rPr>
          <w:rFonts w:cs="Arial"/>
          <w:sz w:val="22"/>
        </w:rPr>
        <w:t xml:space="preserve">les dispositions dudit décret de 1978 et sur un nombre de vacations ; qu’il s’ensuit, </w:t>
      </w:r>
      <w:r w:rsidR="0015565A" w:rsidRPr="0015565A">
        <w:rPr>
          <w:rFonts w:cs="Arial"/>
          <w:sz w:val="22"/>
        </w:rPr>
        <w:t xml:space="preserve">comme le soutient le Procureur général, </w:t>
      </w:r>
      <w:r w:rsidR="00F83996">
        <w:rPr>
          <w:rFonts w:cs="Arial"/>
          <w:sz w:val="22"/>
        </w:rPr>
        <w:t xml:space="preserve">que </w:t>
      </w:r>
      <w:r w:rsidR="0015565A" w:rsidRPr="0015565A">
        <w:rPr>
          <w:rFonts w:cs="Arial"/>
          <w:sz w:val="22"/>
        </w:rPr>
        <w:t>le comptable devait exiger à l’appui des paiements le décompte des heures de service effectuées</w:t>
      </w:r>
      <w:r w:rsidR="00F83996">
        <w:rPr>
          <w:rFonts w:cs="Arial"/>
          <w:sz w:val="22"/>
        </w:rPr>
        <w:t>,</w:t>
      </w:r>
      <w:r w:rsidR="0015565A" w:rsidRPr="0015565A">
        <w:rPr>
          <w:rFonts w:cs="Arial"/>
          <w:sz w:val="22"/>
        </w:rPr>
        <w:t xml:space="preserve"> certifié par le chef de service, aussi bien comme pièce justificative en tant que telle que comme moyen pour le comptable de contrôler l’exactitud</w:t>
      </w:r>
      <w:r w:rsidR="00C246E2">
        <w:rPr>
          <w:rFonts w:cs="Arial"/>
          <w:sz w:val="22"/>
        </w:rPr>
        <w:t>e des calculs de la liquidation ;</w:t>
      </w:r>
    </w:p>
    <w:p w:rsidR="00C246E2" w:rsidRDefault="00C246E2" w:rsidP="0015565A">
      <w:pPr>
        <w:tabs>
          <w:tab w:val="center" w:pos="4536"/>
          <w:tab w:val="right" w:pos="9072"/>
        </w:tabs>
        <w:jc w:val="both"/>
        <w:rPr>
          <w:rFonts w:cs="Arial"/>
          <w:sz w:val="22"/>
        </w:rPr>
      </w:pPr>
    </w:p>
    <w:p w:rsidR="0015565A" w:rsidRPr="0015565A" w:rsidRDefault="00C246E2" w:rsidP="0015565A">
      <w:pPr>
        <w:tabs>
          <w:tab w:val="center" w:pos="4536"/>
          <w:tab w:val="right" w:pos="9072"/>
        </w:tabs>
        <w:jc w:val="both"/>
        <w:rPr>
          <w:rFonts w:cs="Arial"/>
          <w:sz w:val="22"/>
        </w:rPr>
      </w:pPr>
      <w:r>
        <w:rPr>
          <w:rFonts w:cs="Arial"/>
          <w:sz w:val="22"/>
        </w:rPr>
        <w:t>Attendu, d</w:t>
      </w:r>
      <w:r w:rsidR="0015565A" w:rsidRPr="0015565A">
        <w:rPr>
          <w:rFonts w:cs="Arial"/>
          <w:sz w:val="22"/>
        </w:rPr>
        <w:t xml:space="preserve">’une part, en effet, </w:t>
      </w:r>
      <w:r>
        <w:rPr>
          <w:rFonts w:cs="Arial"/>
          <w:sz w:val="22"/>
        </w:rPr>
        <w:t xml:space="preserve">que </w:t>
      </w:r>
      <w:r w:rsidR="0015565A" w:rsidRPr="0015565A">
        <w:rPr>
          <w:rFonts w:cs="Arial"/>
          <w:sz w:val="22"/>
        </w:rPr>
        <w:t>le nombre de vacations effectuées est un élément substantiel de la liquidation</w:t>
      </w:r>
      <w:r>
        <w:rPr>
          <w:rFonts w:cs="Arial"/>
          <w:sz w:val="22"/>
        </w:rPr>
        <w:t> ; qu’</w:t>
      </w:r>
      <w:r w:rsidR="0015565A" w:rsidRPr="0015565A">
        <w:rPr>
          <w:rFonts w:cs="Arial"/>
          <w:sz w:val="22"/>
        </w:rPr>
        <w:t>à défaut de disposer d’un décompte certifié des heures effectuées, le comptable ne pouvait contrôler</w:t>
      </w:r>
      <w:r>
        <w:rPr>
          <w:rFonts w:cs="Arial"/>
          <w:sz w:val="22"/>
        </w:rPr>
        <w:t xml:space="preserve"> la liquidation des paiements en cause</w:t>
      </w:r>
      <w:r w:rsidR="0015565A" w:rsidRPr="0015565A">
        <w:rPr>
          <w:rFonts w:cs="Arial"/>
          <w:sz w:val="22"/>
        </w:rPr>
        <w:t>, alors que ce contrôle est une des obligations qui lui incombent aux termes des articles</w:t>
      </w:r>
      <w:r w:rsidR="00BF292A">
        <w:rPr>
          <w:rFonts w:cs="Arial"/>
          <w:sz w:val="22"/>
        </w:rPr>
        <w:t xml:space="preserve"> </w:t>
      </w:r>
      <w:r w:rsidR="0015565A" w:rsidRPr="0015565A">
        <w:rPr>
          <w:rFonts w:cs="Arial"/>
          <w:sz w:val="22"/>
        </w:rPr>
        <w:t xml:space="preserve">12 et 13 du </w:t>
      </w:r>
      <w:r>
        <w:rPr>
          <w:rFonts w:cs="Arial"/>
          <w:sz w:val="22"/>
        </w:rPr>
        <w:t>décret n°</w:t>
      </w:r>
      <w:r w:rsidR="003C35F9">
        <w:rPr>
          <w:rFonts w:cs="Arial"/>
          <w:sz w:val="22"/>
        </w:rPr>
        <w:t> </w:t>
      </w:r>
      <w:r>
        <w:rPr>
          <w:rFonts w:cs="Arial"/>
          <w:sz w:val="22"/>
        </w:rPr>
        <w:t>62-1587 du 29 décembre 1962 portant règlement général sur la comptabilité publique ;</w:t>
      </w:r>
    </w:p>
    <w:p w:rsidR="00C246E2" w:rsidRDefault="00C246E2" w:rsidP="0015565A">
      <w:pPr>
        <w:tabs>
          <w:tab w:val="center" w:pos="4536"/>
          <w:tab w:val="right" w:pos="9072"/>
        </w:tabs>
        <w:jc w:val="both"/>
        <w:rPr>
          <w:rFonts w:cs="Arial"/>
          <w:sz w:val="22"/>
        </w:rPr>
      </w:pPr>
    </w:p>
    <w:p w:rsidR="00302EED" w:rsidRDefault="00C246E2" w:rsidP="00302EED">
      <w:pPr>
        <w:tabs>
          <w:tab w:val="center" w:pos="4536"/>
          <w:tab w:val="right" w:pos="9072"/>
        </w:tabs>
        <w:jc w:val="both"/>
        <w:rPr>
          <w:rFonts w:cs="Arial"/>
          <w:sz w:val="22"/>
        </w:rPr>
      </w:pPr>
      <w:r w:rsidRPr="00302EED">
        <w:rPr>
          <w:rFonts w:cs="Arial"/>
          <w:sz w:val="22"/>
        </w:rPr>
        <w:t>Attendu, d</w:t>
      </w:r>
      <w:r w:rsidR="0015565A" w:rsidRPr="00302EED">
        <w:rPr>
          <w:rFonts w:cs="Arial"/>
          <w:sz w:val="22"/>
        </w:rPr>
        <w:t>’autre part</w:t>
      </w:r>
      <w:r w:rsidRPr="00302EED">
        <w:rPr>
          <w:rFonts w:cs="Arial"/>
          <w:sz w:val="22"/>
        </w:rPr>
        <w:t xml:space="preserve">, que </w:t>
      </w:r>
      <w:r w:rsidR="0015565A" w:rsidRPr="00302EED">
        <w:rPr>
          <w:rFonts w:cs="Arial"/>
          <w:sz w:val="22"/>
        </w:rPr>
        <w:t>ce décompte doit être considéré comme une pièce justificative que le comptable do</w:t>
      </w:r>
      <w:r w:rsidRPr="00302EED">
        <w:rPr>
          <w:rFonts w:cs="Arial"/>
          <w:sz w:val="22"/>
        </w:rPr>
        <w:t>it exiger à l’appui du paiement ; que l’article</w:t>
      </w:r>
      <w:r w:rsidR="00BF292A">
        <w:rPr>
          <w:rFonts w:cs="Arial"/>
          <w:sz w:val="22"/>
        </w:rPr>
        <w:t xml:space="preserve"> </w:t>
      </w:r>
      <w:r w:rsidRPr="00302EED">
        <w:rPr>
          <w:rFonts w:cs="Arial"/>
          <w:sz w:val="22"/>
        </w:rPr>
        <w:t>170 du décret n°</w:t>
      </w:r>
      <w:r w:rsidR="003C35F9">
        <w:rPr>
          <w:rFonts w:cs="Arial"/>
          <w:sz w:val="22"/>
        </w:rPr>
        <w:t> </w:t>
      </w:r>
      <w:r w:rsidRPr="00302EED">
        <w:rPr>
          <w:rFonts w:cs="Arial"/>
          <w:sz w:val="22"/>
        </w:rPr>
        <w:t>62-1587 du 29</w:t>
      </w:r>
      <w:r w:rsidR="00BF292A">
        <w:rPr>
          <w:rFonts w:cs="Arial"/>
          <w:sz w:val="22"/>
        </w:rPr>
        <w:t xml:space="preserve"> </w:t>
      </w:r>
      <w:r w:rsidRPr="00302EED">
        <w:rPr>
          <w:rFonts w:cs="Arial"/>
          <w:sz w:val="22"/>
        </w:rPr>
        <w:t>décembre</w:t>
      </w:r>
      <w:r w:rsidR="00BF292A">
        <w:rPr>
          <w:rFonts w:cs="Arial"/>
          <w:sz w:val="22"/>
        </w:rPr>
        <w:t xml:space="preserve"> </w:t>
      </w:r>
      <w:r w:rsidRPr="00302EED">
        <w:rPr>
          <w:rFonts w:cs="Arial"/>
          <w:sz w:val="22"/>
        </w:rPr>
        <w:t>1962 portant règlement général sur la comptabilité publique,</w:t>
      </w:r>
      <w:r w:rsidR="0015565A" w:rsidRPr="00302EED">
        <w:rPr>
          <w:rFonts w:cs="Arial"/>
          <w:sz w:val="22"/>
        </w:rPr>
        <w:t xml:space="preserve"> mentionné dans le paragraphe de l’instruction M91 relatif à la prise en charge des ordres de dépenses</w:t>
      </w:r>
      <w:r w:rsidR="00F83996">
        <w:rPr>
          <w:rFonts w:cs="Arial"/>
          <w:sz w:val="22"/>
        </w:rPr>
        <w:t>,</w:t>
      </w:r>
      <w:r w:rsidR="0015565A" w:rsidRPr="00302EED">
        <w:rPr>
          <w:rFonts w:cs="Arial"/>
          <w:sz w:val="22"/>
        </w:rPr>
        <w:t xml:space="preserve"> dispose que «</w:t>
      </w:r>
      <w:r w:rsidR="00BF292A">
        <w:rPr>
          <w:rFonts w:cs="Arial"/>
          <w:sz w:val="22"/>
        </w:rPr>
        <w:t> </w:t>
      </w:r>
      <w:r w:rsidR="0015565A" w:rsidRPr="00302EED">
        <w:rPr>
          <w:rFonts w:cs="Arial"/>
          <w:i/>
          <w:sz w:val="22"/>
        </w:rPr>
        <w:t xml:space="preserve">les ordres de dépenses, établis par l’ordonnateur </w:t>
      </w:r>
      <w:r w:rsidR="0015565A" w:rsidRPr="00302EED">
        <w:rPr>
          <w:rFonts w:cs="Arial"/>
          <w:sz w:val="22"/>
        </w:rPr>
        <w:t xml:space="preserve">(…) </w:t>
      </w:r>
      <w:r w:rsidR="0015565A" w:rsidRPr="00302EED">
        <w:rPr>
          <w:rFonts w:cs="Arial"/>
          <w:i/>
          <w:sz w:val="22"/>
        </w:rPr>
        <w:t>sont transmis, accompagnés de pièces justificatives, à l’agent comptable qui les prend en charge</w:t>
      </w:r>
      <w:r w:rsidR="0015565A" w:rsidRPr="00302EED">
        <w:rPr>
          <w:rFonts w:cs="Arial"/>
          <w:sz w:val="22"/>
        </w:rPr>
        <w:t xml:space="preserve"> (…)</w:t>
      </w:r>
      <w:r w:rsidR="00BF292A">
        <w:rPr>
          <w:rFonts w:cs="Arial"/>
          <w:sz w:val="22"/>
        </w:rPr>
        <w:t> </w:t>
      </w:r>
      <w:r w:rsidR="0015565A" w:rsidRPr="00302EED">
        <w:rPr>
          <w:rFonts w:cs="Arial"/>
          <w:sz w:val="22"/>
        </w:rPr>
        <w:t>»</w:t>
      </w:r>
      <w:r w:rsidRPr="00302EED">
        <w:rPr>
          <w:rFonts w:cs="Arial"/>
          <w:sz w:val="22"/>
        </w:rPr>
        <w:t xml:space="preserve"> ; qu’en </w:t>
      </w:r>
      <w:r w:rsidR="0015565A" w:rsidRPr="00302EED">
        <w:rPr>
          <w:rFonts w:cs="Arial"/>
          <w:sz w:val="22"/>
        </w:rPr>
        <w:t>application des articles</w:t>
      </w:r>
      <w:r w:rsidR="00BF292A">
        <w:rPr>
          <w:rFonts w:cs="Arial"/>
          <w:sz w:val="22"/>
        </w:rPr>
        <w:t xml:space="preserve"> </w:t>
      </w:r>
      <w:r w:rsidR="0015565A" w:rsidRPr="00302EED">
        <w:rPr>
          <w:rFonts w:cs="Arial"/>
          <w:sz w:val="22"/>
        </w:rPr>
        <w:t xml:space="preserve">12 et 13 du même </w:t>
      </w:r>
      <w:r w:rsidRPr="00302EED">
        <w:rPr>
          <w:rFonts w:cs="Arial"/>
          <w:sz w:val="22"/>
        </w:rPr>
        <w:t>décret n°</w:t>
      </w:r>
      <w:r w:rsidR="003C35F9">
        <w:rPr>
          <w:rFonts w:cs="Arial"/>
          <w:sz w:val="22"/>
        </w:rPr>
        <w:t> </w:t>
      </w:r>
      <w:r w:rsidRPr="00302EED">
        <w:rPr>
          <w:rFonts w:cs="Arial"/>
          <w:sz w:val="22"/>
        </w:rPr>
        <w:t>62-1587 du 29</w:t>
      </w:r>
      <w:r w:rsidR="00BF292A">
        <w:rPr>
          <w:rFonts w:cs="Arial"/>
          <w:sz w:val="22"/>
        </w:rPr>
        <w:t xml:space="preserve"> </w:t>
      </w:r>
      <w:r w:rsidRPr="00302EED">
        <w:rPr>
          <w:rFonts w:cs="Arial"/>
          <w:sz w:val="22"/>
        </w:rPr>
        <w:t>décembre</w:t>
      </w:r>
      <w:r w:rsidR="00BF292A">
        <w:rPr>
          <w:rFonts w:cs="Arial"/>
          <w:sz w:val="22"/>
        </w:rPr>
        <w:t xml:space="preserve"> </w:t>
      </w:r>
      <w:r w:rsidRPr="00302EED">
        <w:rPr>
          <w:rFonts w:cs="Arial"/>
          <w:sz w:val="22"/>
        </w:rPr>
        <w:t>1962 portant règlement général sur la comptabilité publique,</w:t>
      </w:r>
      <w:r w:rsidR="0015565A" w:rsidRPr="00302EED">
        <w:rPr>
          <w:rFonts w:cs="Arial"/>
          <w:sz w:val="22"/>
        </w:rPr>
        <w:t xml:space="preserve"> l'agent comptable est tenu d'effectuer, en matière de dépenses, le contrôle de la validité de la créance, et notamment le contrôle de la production des pièces justificatives</w:t>
      </w:r>
      <w:r w:rsidR="00BF292A">
        <w:rPr>
          <w:rFonts w:cs="Arial"/>
          <w:sz w:val="22"/>
        </w:rPr>
        <w:t> ;</w:t>
      </w:r>
    </w:p>
    <w:p w:rsidR="00302EED" w:rsidRDefault="00302EED" w:rsidP="00302EED">
      <w:pPr>
        <w:tabs>
          <w:tab w:val="center" w:pos="4536"/>
          <w:tab w:val="right" w:pos="9072"/>
        </w:tabs>
        <w:jc w:val="both"/>
        <w:rPr>
          <w:rFonts w:cs="Arial"/>
          <w:sz w:val="22"/>
        </w:rPr>
      </w:pPr>
    </w:p>
    <w:p w:rsidR="00B13D5A" w:rsidRDefault="00302EED" w:rsidP="00EF4D88">
      <w:pPr>
        <w:spacing w:line="240" w:lineRule="auto"/>
        <w:jc w:val="both"/>
        <w:rPr>
          <w:rFonts w:cs="Arial"/>
          <w:sz w:val="22"/>
        </w:rPr>
      </w:pPr>
      <w:r>
        <w:rPr>
          <w:rFonts w:cs="Arial"/>
          <w:sz w:val="22"/>
        </w:rPr>
        <w:t xml:space="preserve">Attendu </w:t>
      </w:r>
      <w:r w:rsidR="00C246E2" w:rsidRPr="00302EED">
        <w:rPr>
          <w:rFonts w:cs="Arial"/>
          <w:sz w:val="22"/>
        </w:rPr>
        <w:t xml:space="preserve">qu’en </w:t>
      </w:r>
      <w:r w:rsidR="0015565A" w:rsidRPr="00302EED">
        <w:rPr>
          <w:rFonts w:cs="Arial"/>
          <w:sz w:val="22"/>
        </w:rPr>
        <w:t>l'absence de nomenclature des pièces justificatives particulière à l’établissement, l'agent comptable doit exiger, sous le contrôle du juge des comptes, que soient produites les pièces justificatives lui perme</w:t>
      </w:r>
      <w:r>
        <w:rPr>
          <w:rFonts w:cs="Arial"/>
          <w:sz w:val="22"/>
        </w:rPr>
        <w:t>ttant d'effectuer ces contrôles </w:t>
      </w:r>
      <w:r w:rsidR="0015565A" w:rsidRPr="00302EED">
        <w:rPr>
          <w:rFonts w:cs="Arial"/>
          <w:sz w:val="22"/>
        </w:rPr>
        <w:t>;</w:t>
      </w:r>
      <w:r w:rsidR="00C246E2" w:rsidRPr="00302EED">
        <w:rPr>
          <w:rFonts w:cs="Arial"/>
          <w:sz w:val="22"/>
        </w:rPr>
        <w:t xml:space="preserve"> qu’i</w:t>
      </w:r>
      <w:r w:rsidR="0015565A" w:rsidRPr="00302EED">
        <w:rPr>
          <w:rFonts w:cs="Arial"/>
          <w:sz w:val="22"/>
        </w:rPr>
        <w:t>l pouvait utilement, dans le cas présent, se réf</w:t>
      </w:r>
      <w:r>
        <w:rPr>
          <w:rFonts w:cs="Arial"/>
          <w:sz w:val="22"/>
        </w:rPr>
        <w:t>érer au décret n°</w:t>
      </w:r>
      <w:r w:rsidR="003C35F9">
        <w:rPr>
          <w:rFonts w:cs="Arial"/>
          <w:sz w:val="22"/>
        </w:rPr>
        <w:t> </w:t>
      </w:r>
      <w:r>
        <w:rPr>
          <w:rFonts w:cs="Arial"/>
          <w:sz w:val="22"/>
        </w:rPr>
        <w:t>78-1308 du 13 </w:t>
      </w:r>
      <w:r w:rsidR="0015565A" w:rsidRPr="00302EED">
        <w:rPr>
          <w:rFonts w:cs="Arial"/>
          <w:sz w:val="22"/>
        </w:rPr>
        <w:t>décembre 1978 qui prévoit l’établissement d’un décompte des heures d’activité certifié p</w:t>
      </w:r>
      <w:r w:rsidR="00C246E2" w:rsidRPr="00302EED">
        <w:rPr>
          <w:rFonts w:cs="Arial"/>
          <w:sz w:val="22"/>
        </w:rPr>
        <w:t xml:space="preserve">ar le chef de service intéressé ; que la </w:t>
      </w:r>
      <w:r w:rsidR="0015565A" w:rsidRPr="00302EED">
        <w:rPr>
          <w:rFonts w:cs="Arial"/>
          <w:sz w:val="22"/>
        </w:rPr>
        <w:t>production d’un tel décompte est également prévue par l</w:t>
      </w:r>
      <w:r w:rsidR="00C246E2" w:rsidRPr="00302EED">
        <w:rPr>
          <w:rFonts w:cs="Arial"/>
          <w:sz w:val="22"/>
        </w:rPr>
        <w:t>e décret n°</w:t>
      </w:r>
      <w:r w:rsidR="003C35F9">
        <w:rPr>
          <w:rFonts w:cs="Arial"/>
          <w:sz w:val="22"/>
        </w:rPr>
        <w:t> </w:t>
      </w:r>
      <w:r w:rsidR="00C246E2" w:rsidRPr="00302EED">
        <w:rPr>
          <w:rFonts w:cs="Arial"/>
          <w:sz w:val="22"/>
        </w:rPr>
        <w:t>2007-450 du 25</w:t>
      </w:r>
      <w:r w:rsidR="00BF292A">
        <w:rPr>
          <w:rFonts w:cs="Arial"/>
          <w:sz w:val="22"/>
        </w:rPr>
        <w:t xml:space="preserve"> </w:t>
      </w:r>
      <w:r w:rsidR="00C246E2" w:rsidRPr="00302EED">
        <w:rPr>
          <w:rFonts w:cs="Arial"/>
          <w:sz w:val="22"/>
        </w:rPr>
        <w:t>mars</w:t>
      </w:r>
      <w:r w:rsidR="00BF292A">
        <w:rPr>
          <w:rFonts w:cs="Arial"/>
          <w:sz w:val="22"/>
        </w:rPr>
        <w:t xml:space="preserve"> </w:t>
      </w:r>
      <w:r w:rsidR="0015565A" w:rsidRPr="00302EED">
        <w:rPr>
          <w:rFonts w:cs="Arial"/>
          <w:sz w:val="22"/>
        </w:rPr>
        <w:t>2007, portant liste des pièces justificatives des dépenses des collectivités territoriales et de leurs établissements publics, dont M.</w:t>
      </w:r>
      <w:r w:rsidR="003C35F9">
        <w:rPr>
          <w:rFonts w:cs="Arial"/>
          <w:sz w:val="22"/>
        </w:rPr>
        <w:t> </w:t>
      </w:r>
      <w:r w:rsidR="00C40DBC">
        <w:rPr>
          <w:rFonts w:cs="Arial"/>
          <w:sz w:val="22"/>
        </w:rPr>
        <w:t>Y</w:t>
      </w:r>
      <w:r w:rsidR="0015565A" w:rsidRPr="00302EED">
        <w:rPr>
          <w:rFonts w:cs="Arial"/>
          <w:sz w:val="22"/>
        </w:rPr>
        <w:t xml:space="preserve"> a indiqué qu’il servait de référence à ses paiements et qui prévoit, pour les dépenses de personnel des établissements publics de santé (EPS) et des établissements publics sociaux et médico-sociaux (ESMS), dans le cas de médecins extérieurs à </w:t>
      </w:r>
      <w:r w:rsidRPr="00302EED">
        <w:rPr>
          <w:rFonts w:cs="Arial"/>
          <w:sz w:val="22"/>
        </w:rPr>
        <w:t>l'établissement (article</w:t>
      </w:r>
      <w:r w:rsidR="003C35F9">
        <w:rPr>
          <w:rFonts w:cs="Arial"/>
          <w:sz w:val="22"/>
        </w:rPr>
        <w:t> </w:t>
      </w:r>
      <w:r w:rsidRPr="00302EED">
        <w:rPr>
          <w:rFonts w:cs="Arial"/>
          <w:sz w:val="22"/>
        </w:rPr>
        <w:t xml:space="preserve">2213), pour le premier paiement, </w:t>
      </w:r>
      <w:r w:rsidR="0015565A" w:rsidRPr="00302EED">
        <w:rPr>
          <w:rFonts w:cs="Arial"/>
          <w:sz w:val="22"/>
        </w:rPr>
        <w:t>la production de la convention avec chaque médecin précisant sa position, sa fonction et le</w:t>
      </w:r>
      <w:r w:rsidRPr="00302EED">
        <w:rPr>
          <w:rFonts w:cs="Arial"/>
          <w:sz w:val="22"/>
        </w:rPr>
        <w:t xml:space="preserve">s modalités de sa rémunération et </w:t>
      </w:r>
      <w:r w:rsidR="0015565A" w:rsidRPr="00302EED">
        <w:rPr>
          <w:rFonts w:cs="Arial"/>
          <w:sz w:val="22"/>
        </w:rPr>
        <w:t>un décompte visé par le directeur, pour les autres paiements, un</w:t>
      </w:r>
      <w:r>
        <w:rPr>
          <w:rFonts w:cs="Arial"/>
          <w:sz w:val="22"/>
        </w:rPr>
        <w:t xml:space="preserve"> décompte visé par le directeur ;</w:t>
      </w:r>
    </w:p>
    <w:p w:rsidR="00B13D5A" w:rsidRDefault="00B13D5A" w:rsidP="00EF4D88">
      <w:pPr>
        <w:spacing w:line="240" w:lineRule="auto"/>
        <w:jc w:val="both"/>
        <w:rPr>
          <w:rFonts w:cs="Arial"/>
          <w:sz w:val="22"/>
        </w:rPr>
      </w:pPr>
    </w:p>
    <w:p w:rsidR="002666C0" w:rsidRDefault="00302EED" w:rsidP="00EF4D88">
      <w:pPr>
        <w:spacing w:line="240" w:lineRule="auto"/>
        <w:jc w:val="both"/>
        <w:rPr>
          <w:rFonts w:cs="Arial"/>
          <w:sz w:val="22"/>
        </w:rPr>
      </w:pPr>
      <w:r>
        <w:rPr>
          <w:rFonts w:cs="Arial"/>
          <w:sz w:val="22"/>
        </w:rPr>
        <w:t>Attendu qu’il résulte de ce qui précède qu’e</w:t>
      </w:r>
      <w:r w:rsidR="0015565A" w:rsidRPr="00302EED">
        <w:rPr>
          <w:rFonts w:cs="Arial"/>
          <w:sz w:val="22"/>
        </w:rPr>
        <w:t>n ayant procédé aux paiements sans disposer de ces décomptes, le comptable a manqué à ses obligations et engagé sa responsab</w:t>
      </w:r>
      <w:r>
        <w:rPr>
          <w:rFonts w:cs="Arial"/>
          <w:sz w:val="22"/>
        </w:rPr>
        <w:t>ilité personnelle et pécuniaire ; que l</w:t>
      </w:r>
      <w:r w:rsidR="0015565A" w:rsidRPr="00302EED">
        <w:rPr>
          <w:rFonts w:cs="Arial"/>
          <w:sz w:val="22"/>
        </w:rPr>
        <w:t>es éléments produits par M.</w:t>
      </w:r>
      <w:r w:rsidR="003C35F9">
        <w:rPr>
          <w:rFonts w:cs="Arial"/>
          <w:sz w:val="22"/>
        </w:rPr>
        <w:t> </w:t>
      </w:r>
      <w:r w:rsidR="00C40DBC">
        <w:rPr>
          <w:rFonts w:cs="Arial"/>
          <w:sz w:val="22"/>
        </w:rPr>
        <w:t>Y</w:t>
      </w:r>
      <w:r w:rsidR="0015565A" w:rsidRPr="00302EED">
        <w:rPr>
          <w:rFonts w:cs="Arial"/>
          <w:sz w:val="22"/>
        </w:rPr>
        <w:t xml:space="preserve"> et relatifs à la nécessité de la présence des médecins ainsi qu’aux perspectives de refonte du dispositif ne sont pas de nature à l’exonérer de cette responsa</w:t>
      </w:r>
      <w:r>
        <w:rPr>
          <w:rFonts w:cs="Arial"/>
          <w:sz w:val="22"/>
        </w:rPr>
        <w:t>bilité ;</w:t>
      </w:r>
      <w:r w:rsidR="00F83996">
        <w:rPr>
          <w:rFonts w:cs="Arial"/>
          <w:sz w:val="22"/>
        </w:rPr>
        <w:t xml:space="preserve"> que</w:t>
      </w:r>
      <w:r w:rsidR="0015565A" w:rsidRPr="0015565A">
        <w:rPr>
          <w:rFonts w:cs="Arial"/>
          <w:sz w:val="22"/>
        </w:rPr>
        <w:t xml:space="preserve"> les éléments produits en cours d’instruction pour justifier de l’activité de</w:t>
      </w:r>
      <w:r w:rsidR="00665651">
        <w:rPr>
          <w:rFonts w:cs="Arial"/>
          <w:sz w:val="22"/>
        </w:rPr>
        <w:t>s</w:t>
      </w:r>
      <w:r w:rsidR="0015565A" w:rsidRPr="0015565A">
        <w:rPr>
          <w:rFonts w:cs="Arial"/>
          <w:sz w:val="22"/>
        </w:rPr>
        <w:t xml:space="preserve"> médecins ne permettent pas d’établir que les vacations rémunérée</w:t>
      </w:r>
      <w:r w:rsidR="002666C0">
        <w:rPr>
          <w:rFonts w:cs="Arial"/>
          <w:sz w:val="22"/>
        </w:rPr>
        <w:t>s ont été réellement effectuées ; qu’en</w:t>
      </w:r>
      <w:r w:rsidR="0015565A" w:rsidRPr="0015565A">
        <w:rPr>
          <w:rFonts w:cs="Arial"/>
          <w:sz w:val="22"/>
        </w:rPr>
        <w:t xml:space="preserve"> conséquence, le manquement du comptable a causé un préjudice à l’établissement</w:t>
      </w:r>
      <w:r w:rsidR="002666C0">
        <w:rPr>
          <w:rFonts w:cs="Arial"/>
          <w:sz w:val="22"/>
        </w:rPr>
        <w:t>,</w:t>
      </w:r>
      <w:r w:rsidR="00BF292A">
        <w:rPr>
          <w:rFonts w:cs="Arial"/>
          <w:sz w:val="22"/>
        </w:rPr>
        <w:t xml:space="preserve"> </w:t>
      </w:r>
      <w:r w:rsidR="002666C0" w:rsidRPr="002666C0">
        <w:rPr>
          <w:rFonts w:cs="Arial"/>
          <w:sz w:val="22"/>
        </w:rPr>
        <w:t>au sens des dispositions du troisième alinéa du paragraphe</w:t>
      </w:r>
      <w:r w:rsidR="00BF292A">
        <w:rPr>
          <w:rFonts w:cs="Arial"/>
          <w:sz w:val="22"/>
        </w:rPr>
        <w:t xml:space="preserve"> </w:t>
      </w:r>
      <w:r w:rsidR="002666C0" w:rsidRPr="002666C0">
        <w:rPr>
          <w:rFonts w:cs="Arial"/>
          <w:sz w:val="22"/>
        </w:rPr>
        <w:t xml:space="preserve">VI de l’article 60 de la loi du 23 février susvisée, à </w:t>
      </w:r>
      <w:r w:rsidR="002666C0">
        <w:rPr>
          <w:rFonts w:cs="Arial"/>
          <w:sz w:val="22"/>
        </w:rPr>
        <w:t>l’IGN</w:t>
      </w:r>
      <w:r w:rsidR="00BF292A">
        <w:rPr>
          <w:rFonts w:cs="Arial"/>
          <w:sz w:val="22"/>
        </w:rPr>
        <w:t> ;</w:t>
      </w:r>
    </w:p>
    <w:p w:rsidR="002666C0" w:rsidRDefault="002666C0" w:rsidP="0015565A">
      <w:pPr>
        <w:tabs>
          <w:tab w:val="center" w:pos="4536"/>
          <w:tab w:val="right" w:pos="9072"/>
        </w:tabs>
        <w:jc w:val="both"/>
        <w:rPr>
          <w:rFonts w:cs="Arial"/>
          <w:sz w:val="22"/>
        </w:rPr>
      </w:pPr>
    </w:p>
    <w:p w:rsidR="002666C0" w:rsidRPr="002666C0" w:rsidRDefault="002666C0" w:rsidP="002666C0">
      <w:pPr>
        <w:tabs>
          <w:tab w:val="center" w:pos="4536"/>
          <w:tab w:val="right" w:pos="9072"/>
        </w:tabs>
        <w:jc w:val="both"/>
        <w:rPr>
          <w:rFonts w:cs="Arial"/>
          <w:sz w:val="22"/>
        </w:rPr>
      </w:pPr>
      <w:r w:rsidRPr="002666C0">
        <w:rPr>
          <w:rFonts w:cs="Arial"/>
          <w:sz w:val="22"/>
        </w:rPr>
        <w:t>Attendu qu’aux termes du même article, «</w:t>
      </w:r>
      <w:r w:rsidR="00BF292A">
        <w:rPr>
          <w:rFonts w:cs="Arial"/>
          <w:sz w:val="22"/>
        </w:rPr>
        <w:t xml:space="preserve"> </w:t>
      </w:r>
      <w:r w:rsidRPr="002666C0">
        <w:rPr>
          <w:rFonts w:cs="Arial"/>
          <w:i/>
          <w:sz w:val="22"/>
        </w:rPr>
        <w:t>lorsque le manquement du comptable</w:t>
      </w:r>
      <w:r w:rsidRPr="002666C0">
        <w:rPr>
          <w:rFonts w:cs="Arial"/>
          <w:sz w:val="22"/>
        </w:rPr>
        <w:t xml:space="preserve"> […] </w:t>
      </w:r>
      <w:r w:rsidRPr="002666C0">
        <w:rPr>
          <w:rFonts w:cs="Arial"/>
          <w:i/>
          <w:sz w:val="22"/>
        </w:rPr>
        <w:t>a causé un préjudice financier à l’organ</w:t>
      </w:r>
      <w:r>
        <w:rPr>
          <w:rFonts w:cs="Arial"/>
          <w:i/>
          <w:sz w:val="22"/>
        </w:rPr>
        <w:t>isme public concerné</w:t>
      </w:r>
      <w:r w:rsidRPr="002666C0">
        <w:rPr>
          <w:rFonts w:cs="Arial"/>
          <w:i/>
          <w:sz w:val="22"/>
        </w:rPr>
        <w:t xml:space="preserve"> </w:t>
      </w:r>
      <w:r w:rsidRPr="002666C0">
        <w:rPr>
          <w:rFonts w:cs="Arial"/>
          <w:sz w:val="22"/>
        </w:rPr>
        <w:t xml:space="preserve">[…], </w:t>
      </w:r>
      <w:r w:rsidRPr="002666C0">
        <w:rPr>
          <w:rFonts w:cs="Arial"/>
          <w:i/>
          <w:sz w:val="22"/>
        </w:rPr>
        <w:t xml:space="preserve">le comptable a l’obligation de </w:t>
      </w:r>
      <w:r w:rsidRPr="002666C0">
        <w:rPr>
          <w:rFonts w:cs="Arial"/>
          <w:i/>
          <w:sz w:val="22"/>
        </w:rPr>
        <w:lastRenderedPageBreak/>
        <w:t>verser immédiatement de ses deniers personnels la somme correspondante</w:t>
      </w:r>
      <w:r w:rsidR="00BF292A">
        <w:rPr>
          <w:rFonts w:cs="Arial"/>
          <w:sz w:val="22"/>
        </w:rPr>
        <w:t> </w:t>
      </w:r>
      <w:r w:rsidRPr="002666C0">
        <w:rPr>
          <w:rFonts w:cs="Arial"/>
          <w:sz w:val="22"/>
        </w:rPr>
        <w:t xml:space="preserve">» ; qu’ainsi il y a lieu de constituer </w:t>
      </w:r>
      <w:r>
        <w:rPr>
          <w:rFonts w:cs="Arial"/>
          <w:sz w:val="22"/>
        </w:rPr>
        <w:t>M.</w:t>
      </w:r>
      <w:r w:rsidR="003C35F9">
        <w:rPr>
          <w:rFonts w:cs="Arial"/>
          <w:sz w:val="22"/>
        </w:rPr>
        <w:t> </w:t>
      </w:r>
      <w:r w:rsidR="00C40DBC">
        <w:rPr>
          <w:rFonts w:cs="Arial"/>
          <w:sz w:val="22"/>
        </w:rPr>
        <w:t>Y</w:t>
      </w:r>
      <w:r>
        <w:rPr>
          <w:rFonts w:cs="Arial"/>
          <w:sz w:val="22"/>
        </w:rPr>
        <w:t xml:space="preserve"> débiteur</w:t>
      </w:r>
      <w:r w:rsidRPr="002666C0">
        <w:rPr>
          <w:rFonts w:cs="Arial"/>
          <w:sz w:val="22"/>
        </w:rPr>
        <w:t xml:space="preserve"> de </w:t>
      </w:r>
      <w:r>
        <w:rPr>
          <w:rFonts w:cs="Arial"/>
          <w:sz w:val="22"/>
        </w:rPr>
        <w:t>l’IGN</w:t>
      </w:r>
      <w:r w:rsidRPr="002666C0">
        <w:rPr>
          <w:rFonts w:cs="Arial"/>
          <w:sz w:val="22"/>
        </w:rPr>
        <w:t xml:space="preserve"> pour la somme de </w:t>
      </w:r>
      <w:r w:rsidR="00C520D8" w:rsidRPr="00C520D8">
        <w:rPr>
          <w:rFonts w:cs="Arial"/>
          <w:sz w:val="22"/>
        </w:rPr>
        <w:t>6</w:t>
      </w:r>
      <w:r w:rsidR="003C35F9">
        <w:rPr>
          <w:rFonts w:cs="Arial"/>
          <w:sz w:val="22"/>
        </w:rPr>
        <w:t> </w:t>
      </w:r>
      <w:r w:rsidR="00C520D8" w:rsidRPr="00C520D8">
        <w:rPr>
          <w:rFonts w:cs="Arial"/>
          <w:sz w:val="22"/>
        </w:rPr>
        <w:t>870,24</w:t>
      </w:r>
      <w:r w:rsidR="003C35F9">
        <w:rPr>
          <w:rFonts w:cs="Arial"/>
          <w:sz w:val="22"/>
        </w:rPr>
        <w:t> </w:t>
      </w:r>
      <w:r>
        <w:rPr>
          <w:rFonts w:cs="Arial"/>
          <w:sz w:val="22"/>
        </w:rPr>
        <w:t>€, plafonnée à</w:t>
      </w:r>
      <w:r w:rsidR="00BF292A">
        <w:rPr>
          <w:rFonts w:cs="Arial"/>
          <w:sz w:val="22"/>
        </w:rPr>
        <w:t xml:space="preserve"> </w:t>
      </w:r>
      <w:r w:rsidR="00C520D8">
        <w:rPr>
          <w:rFonts w:cs="Arial"/>
          <w:sz w:val="22"/>
        </w:rPr>
        <w:t>6</w:t>
      </w:r>
      <w:r w:rsidR="003C35F9">
        <w:rPr>
          <w:rFonts w:cs="Arial"/>
          <w:sz w:val="22"/>
        </w:rPr>
        <w:t> </w:t>
      </w:r>
      <w:r w:rsidR="00C520D8">
        <w:rPr>
          <w:rFonts w:cs="Arial"/>
          <w:sz w:val="22"/>
        </w:rPr>
        <w:t>848,22</w:t>
      </w:r>
      <w:r w:rsidR="003C35F9">
        <w:rPr>
          <w:rFonts w:cs="Arial"/>
          <w:sz w:val="22"/>
        </w:rPr>
        <w:t> </w:t>
      </w:r>
      <w:r>
        <w:rPr>
          <w:rFonts w:cs="Arial"/>
          <w:sz w:val="22"/>
        </w:rPr>
        <w:t xml:space="preserve">€, montant retenu par les réquisitions pour les </w:t>
      </w:r>
      <w:r w:rsidR="00C520D8">
        <w:rPr>
          <w:rFonts w:cs="Arial"/>
          <w:sz w:val="22"/>
        </w:rPr>
        <w:t xml:space="preserve">paiements </w:t>
      </w:r>
      <w:r>
        <w:rPr>
          <w:rFonts w:cs="Arial"/>
          <w:sz w:val="22"/>
        </w:rPr>
        <w:t>en cause</w:t>
      </w:r>
      <w:r w:rsidR="00BF292A">
        <w:rPr>
          <w:rFonts w:cs="Arial"/>
          <w:sz w:val="22"/>
        </w:rPr>
        <w:t> </w:t>
      </w:r>
      <w:r w:rsidRPr="002666C0">
        <w:rPr>
          <w:rFonts w:cs="Arial"/>
          <w:sz w:val="22"/>
        </w:rPr>
        <w:t>;</w:t>
      </w:r>
    </w:p>
    <w:p w:rsidR="002666C0" w:rsidRPr="002666C0" w:rsidRDefault="002666C0" w:rsidP="002666C0">
      <w:pPr>
        <w:tabs>
          <w:tab w:val="center" w:pos="4536"/>
          <w:tab w:val="right" w:pos="9072"/>
        </w:tabs>
        <w:jc w:val="both"/>
        <w:rPr>
          <w:rFonts w:cs="Arial"/>
          <w:sz w:val="22"/>
        </w:rPr>
      </w:pPr>
    </w:p>
    <w:p w:rsidR="002666C0" w:rsidRPr="002666C0" w:rsidRDefault="002666C0" w:rsidP="002666C0">
      <w:pPr>
        <w:tabs>
          <w:tab w:val="center" w:pos="4536"/>
          <w:tab w:val="right" w:pos="9072"/>
        </w:tabs>
        <w:jc w:val="both"/>
        <w:rPr>
          <w:rFonts w:cs="Arial"/>
          <w:sz w:val="22"/>
        </w:rPr>
      </w:pPr>
      <w:r w:rsidRPr="002666C0">
        <w:rPr>
          <w:rFonts w:cs="Arial"/>
          <w:sz w:val="22"/>
        </w:rPr>
        <w:t>Attendu qu’aux termes du paragraphe VIII de l’article 60 de la loi du 23 février 1963 précitée, «</w:t>
      </w:r>
      <w:r w:rsidR="00BF292A">
        <w:rPr>
          <w:rFonts w:cs="Arial"/>
          <w:sz w:val="22"/>
        </w:rPr>
        <w:t> </w:t>
      </w:r>
      <w:r w:rsidRPr="002666C0">
        <w:rPr>
          <w:rFonts w:cs="Arial"/>
          <w:sz w:val="22"/>
        </w:rPr>
        <w:t>les débets portent intérêt au taux légal à compter du premier acte de la mise en jeu de la responsabilité personnelle et pécuniaire des comptables publics</w:t>
      </w:r>
      <w:r w:rsidR="00BF292A">
        <w:rPr>
          <w:rFonts w:cs="Arial"/>
          <w:sz w:val="22"/>
        </w:rPr>
        <w:t> » ;</w:t>
      </w:r>
      <w:r w:rsidRPr="002666C0">
        <w:rPr>
          <w:rFonts w:cs="Arial"/>
          <w:sz w:val="22"/>
        </w:rPr>
        <w:t xml:space="preserve"> qu’en l’espèce, cette date est le </w:t>
      </w:r>
      <w:r>
        <w:rPr>
          <w:rFonts w:cs="Arial"/>
          <w:sz w:val="22"/>
        </w:rPr>
        <w:t>22 décembre 2014</w:t>
      </w:r>
      <w:r w:rsidRPr="002666C0">
        <w:rPr>
          <w:rFonts w:cs="Arial"/>
          <w:sz w:val="22"/>
        </w:rPr>
        <w:t xml:space="preserve">, date de réception du réquisitoire par </w:t>
      </w:r>
      <w:r>
        <w:rPr>
          <w:rFonts w:cs="Arial"/>
          <w:sz w:val="22"/>
        </w:rPr>
        <w:t>M.</w:t>
      </w:r>
      <w:r w:rsidR="00893F66">
        <w:rPr>
          <w:rFonts w:cs="Arial"/>
          <w:sz w:val="22"/>
        </w:rPr>
        <w:t> </w:t>
      </w:r>
      <w:r w:rsidR="00C40DBC">
        <w:rPr>
          <w:rFonts w:cs="Arial"/>
          <w:sz w:val="22"/>
        </w:rPr>
        <w:t>Y</w:t>
      </w:r>
      <w:r w:rsidR="00BF292A">
        <w:rPr>
          <w:rFonts w:cs="Arial"/>
          <w:sz w:val="22"/>
        </w:rPr>
        <w:t> ;</w:t>
      </w:r>
    </w:p>
    <w:p w:rsidR="002666C0" w:rsidRDefault="002666C0" w:rsidP="0015565A">
      <w:pPr>
        <w:tabs>
          <w:tab w:val="center" w:pos="4536"/>
          <w:tab w:val="right" w:pos="9072"/>
        </w:tabs>
        <w:jc w:val="both"/>
        <w:rPr>
          <w:rFonts w:cs="Arial"/>
          <w:sz w:val="22"/>
        </w:rPr>
      </w:pPr>
    </w:p>
    <w:p w:rsidR="00856FAC" w:rsidRDefault="009968B6" w:rsidP="00893F66">
      <w:pPr>
        <w:spacing w:line="240" w:lineRule="auto"/>
        <w:jc w:val="both"/>
        <w:rPr>
          <w:rFonts w:cs="Arial"/>
          <w:sz w:val="22"/>
        </w:rPr>
      </w:pPr>
      <w:r w:rsidRPr="009968B6">
        <w:rPr>
          <w:rFonts w:cs="Arial"/>
          <w:sz w:val="22"/>
        </w:rPr>
        <w:t xml:space="preserve">Attendu que n’existait pas à </w:t>
      </w:r>
      <w:r>
        <w:rPr>
          <w:rFonts w:cs="Arial"/>
          <w:sz w:val="22"/>
        </w:rPr>
        <w:t>l’IGN, pour l’exercice concerné</w:t>
      </w:r>
      <w:r w:rsidRPr="009968B6">
        <w:rPr>
          <w:rFonts w:cs="Arial"/>
          <w:sz w:val="22"/>
        </w:rPr>
        <w:t>, de plan de contrôle sélectif de la dépense</w:t>
      </w:r>
      <w:r w:rsidR="00BF292A">
        <w:rPr>
          <w:rFonts w:cs="Arial"/>
          <w:sz w:val="22"/>
        </w:rPr>
        <w:t> ;</w:t>
      </w:r>
      <w:r w:rsidRPr="009968B6">
        <w:rPr>
          <w:rFonts w:cs="Arial"/>
          <w:sz w:val="22"/>
        </w:rPr>
        <w:t xml:space="preserve"> que cette dernière circonstance fait obstacle à une remise intégrale des débets prononcés</w:t>
      </w:r>
      <w:r w:rsidR="00BF292A">
        <w:rPr>
          <w:rFonts w:cs="Arial"/>
          <w:sz w:val="22"/>
        </w:rPr>
        <w:t> ;</w:t>
      </w:r>
    </w:p>
    <w:p w:rsidR="00856FAC" w:rsidRDefault="00856FAC" w:rsidP="00856FAC">
      <w:pPr>
        <w:spacing w:line="240" w:lineRule="auto"/>
        <w:rPr>
          <w:rFonts w:cs="Arial"/>
          <w:sz w:val="22"/>
        </w:rPr>
      </w:pPr>
    </w:p>
    <w:p w:rsidR="00856FAC" w:rsidRPr="00BE7662" w:rsidRDefault="00856FAC" w:rsidP="00856FAC">
      <w:pPr>
        <w:spacing w:line="240" w:lineRule="auto"/>
        <w:rPr>
          <w:rFonts w:cs="Arial"/>
          <w:sz w:val="22"/>
        </w:rPr>
      </w:pPr>
      <w:r w:rsidRPr="00BE7662">
        <w:rPr>
          <w:rFonts w:cs="Arial"/>
          <w:sz w:val="22"/>
        </w:rPr>
        <w:t>Par ces motifs,</w:t>
      </w:r>
    </w:p>
    <w:p w:rsidR="00856FAC" w:rsidRPr="00BE7662" w:rsidRDefault="00856FAC" w:rsidP="00856FAC">
      <w:pPr>
        <w:tabs>
          <w:tab w:val="center" w:pos="4536"/>
          <w:tab w:val="right" w:pos="9072"/>
        </w:tabs>
        <w:jc w:val="both"/>
        <w:rPr>
          <w:rFonts w:cs="Arial"/>
          <w:sz w:val="22"/>
        </w:rPr>
      </w:pPr>
    </w:p>
    <w:p w:rsidR="00856FAC" w:rsidRDefault="00856FAC" w:rsidP="00856FAC">
      <w:pPr>
        <w:tabs>
          <w:tab w:val="center" w:pos="4536"/>
          <w:tab w:val="right" w:pos="9072"/>
        </w:tabs>
        <w:jc w:val="center"/>
        <w:rPr>
          <w:rFonts w:cs="Arial"/>
          <w:sz w:val="22"/>
        </w:rPr>
      </w:pPr>
      <w:r w:rsidRPr="00BE7662">
        <w:rPr>
          <w:rFonts w:cs="Arial"/>
          <w:sz w:val="22"/>
        </w:rPr>
        <w:t>DÉCIDE :</w:t>
      </w:r>
    </w:p>
    <w:p w:rsidR="0018720E" w:rsidRDefault="0018720E" w:rsidP="00856FAC">
      <w:pPr>
        <w:tabs>
          <w:tab w:val="center" w:pos="4536"/>
          <w:tab w:val="right" w:pos="9072"/>
        </w:tabs>
        <w:jc w:val="center"/>
        <w:rPr>
          <w:rFonts w:cs="Arial"/>
          <w:sz w:val="22"/>
        </w:rPr>
      </w:pPr>
    </w:p>
    <w:p w:rsidR="003B6DB0" w:rsidRDefault="003B6DB0" w:rsidP="00856FAC">
      <w:pPr>
        <w:tabs>
          <w:tab w:val="center" w:pos="4536"/>
          <w:tab w:val="right" w:pos="9072"/>
        </w:tabs>
        <w:jc w:val="center"/>
        <w:rPr>
          <w:rFonts w:cs="Arial"/>
          <w:sz w:val="22"/>
        </w:rPr>
      </w:pPr>
    </w:p>
    <w:p w:rsidR="00893F66" w:rsidRDefault="0018720E" w:rsidP="0018720E">
      <w:pPr>
        <w:jc w:val="both"/>
        <w:rPr>
          <w:sz w:val="22"/>
        </w:rPr>
      </w:pPr>
      <w:r w:rsidRPr="00BF292A">
        <w:rPr>
          <w:b/>
          <w:sz w:val="22"/>
        </w:rPr>
        <w:t>Article 1</w:t>
      </w:r>
      <w:r w:rsidRPr="00BF292A">
        <w:rPr>
          <w:b/>
          <w:sz w:val="22"/>
          <w:vertAlign w:val="superscript"/>
        </w:rPr>
        <w:t>er</w:t>
      </w:r>
      <w:r w:rsidRPr="00516D1D">
        <w:rPr>
          <w:sz w:val="22"/>
        </w:rPr>
        <w:t xml:space="preserve"> : Les dispositions de l’alinéa IV de l’article 60 de la loi</w:t>
      </w:r>
      <w:r w:rsidR="00605093">
        <w:rPr>
          <w:sz w:val="22"/>
        </w:rPr>
        <w:t xml:space="preserve"> de finances</w:t>
      </w:r>
      <w:r w:rsidRPr="00516D1D">
        <w:rPr>
          <w:sz w:val="22"/>
        </w:rPr>
        <w:t xml:space="preserve"> n°</w:t>
      </w:r>
      <w:r w:rsidR="00893F66">
        <w:rPr>
          <w:sz w:val="22"/>
        </w:rPr>
        <w:t> </w:t>
      </w:r>
      <w:r w:rsidRPr="00516D1D">
        <w:rPr>
          <w:sz w:val="22"/>
        </w:rPr>
        <w:t>63-156 du 23 février 1963, de finances pour 1963, font obstacle à la mise en jeu de la responsabilité de M.</w:t>
      </w:r>
      <w:r w:rsidR="003C35F9">
        <w:rPr>
          <w:sz w:val="22"/>
        </w:rPr>
        <w:t> </w:t>
      </w:r>
      <w:r w:rsidR="00C40DBC">
        <w:rPr>
          <w:sz w:val="22"/>
        </w:rPr>
        <w:t>X</w:t>
      </w:r>
      <w:r w:rsidRPr="00516D1D">
        <w:rPr>
          <w:sz w:val="22"/>
        </w:rPr>
        <w:t xml:space="preserve"> pour sa gestion de l’exercice 2008, terminée le 23 novembre 2008</w:t>
      </w:r>
      <w:r w:rsidR="00BF292A">
        <w:rPr>
          <w:sz w:val="22"/>
        </w:rPr>
        <w:t> </w:t>
      </w:r>
      <w:r w:rsidRPr="00516D1D">
        <w:rPr>
          <w:sz w:val="22"/>
        </w:rPr>
        <w:t>; en conséquence, M.</w:t>
      </w:r>
      <w:r w:rsidR="003B6DB0">
        <w:rPr>
          <w:sz w:val="22"/>
        </w:rPr>
        <w:t> </w:t>
      </w:r>
      <w:r w:rsidR="00C40DBC">
        <w:rPr>
          <w:sz w:val="22"/>
        </w:rPr>
        <w:t>X</w:t>
      </w:r>
      <w:r w:rsidRPr="00516D1D">
        <w:rPr>
          <w:sz w:val="22"/>
        </w:rPr>
        <w:t xml:space="preserve"> est réputé déchargé et quitte de sa gestion de l’exercice 2008, terminée le 23 novembre 2008.</w:t>
      </w:r>
    </w:p>
    <w:p w:rsidR="00893F66" w:rsidRDefault="00893F66" w:rsidP="0018720E">
      <w:pPr>
        <w:jc w:val="both"/>
        <w:rPr>
          <w:sz w:val="22"/>
        </w:rPr>
      </w:pPr>
    </w:p>
    <w:p w:rsidR="0018720E" w:rsidRPr="00516D1D" w:rsidRDefault="0018720E" w:rsidP="0018720E">
      <w:pPr>
        <w:jc w:val="both"/>
        <w:rPr>
          <w:sz w:val="22"/>
        </w:rPr>
      </w:pPr>
      <w:r w:rsidRPr="00516D1D">
        <w:rPr>
          <w:sz w:val="22"/>
        </w:rPr>
        <w:t>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18720E" w:rsidRPr="00BE7662" w:rsidRDefault="0018720E" w:rsidP="00516D1D">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p>
    <w:p w:rsidR="00856FAC" w:rsidRDefault="00856FAC" w:rsidP="00856FAC">
      <w:pPr>
        <w:tabs>
          <w:tab w:val="center" w:pos="4536"/>
          <w:tab w:val="right" w:pos="9072"/>
        </w:tabs>
        <w:jc w:val="both"/>
        <w:rPr>
          <w:rFonts w:cs="Arial"/>
          <w:sz w:val="22"/>
        </w:rPr>
      </w:pPr>
      <w:r w:rsidRPr="00BF292A">
        <w:rPr>
          <w:rFonts w:cs="Arial"/>
          <w:b/>
          <w:sz w:val="22"/>
        </w:rPr>
        <w:t xml:space="preserve">Article </w:t>
      </w:r>
      <w:r w:rsidR="0018720E" w:rsidRPr="00BF292A">
        <w:rPr>
          <w:rFonts w:cs="Arial"/>
          <w:b/>
          <w:sz w:val="22"/>
        </w:rPr>
        <w:t>2</w:t>
      </w:r>
      <w:r w:rsidRPr="00BE7662">
        <w:rPr>
          <w:rFonts w:cs="Arial"/>
          <w:sz w:val="22"/>
        </w:rPr>
        <w:t xml:space="preserve"> : </w:t>
      </w:r>
      <w:r w:rsidR="00C40DBC">
        <w:rPr>
          <w:rFonts w:cs="Arial"/>
          <w:sz w:val="22"/>
        </w:rPr>
        <w:t>M. Y</w:t>
      </w:r>
      <w:r>
        <w:rPr>
          <w:rFonts w:cs="Arial"/>
          <w:sz w:val="22"/>
        </w:rPr>
        <w:t xml:space="preserve"> est constitué débiteur</w:t>
      </w:r>
      <w:r w:rsidRPr="00BE7662">
        <w:rPr>
          <w:rFonts w:cs="Arial"/>
          <w:sz w:val="22"/>
        </w:rPr>
        <w:t xml:space="preserve"> de </w:t>
      </w:r>
      <w:r>
        <w:rPr>
          <w:rFonts w:cs="Arial"/>
          <w:sz w:val="22"/>
        </w:rPr>
        <w:t>l’I</w:t>
      </w:r>
      <w:r w:rsidR="00893F66">
        <w:rPr>
          <w:rFonts w:cs="Arial"/>
          <w:sz w:val="22"/>
        </w:rPr>
        <w:t>nstitut national de l’information géographique et forestière (I</w:t>
      </w:r>
      <w:r>
        <w:rPr>
          <w:rFonts w:cs="Arial"/>
          <w:sz w:val="22"/>
        </w:rPr>
        <w:t>GN</w:t>
      </w:r>
      <w:r w:rsidR="00893F66">
        <w:rPr>
          <w:rFonts w:cs="Arial"/>
          <w:sz w:val="22"/>
        </w:rPr>
        <w:t xml:space="preserve">) au titre de l’exercice 2008 pour </w:t>
      </w:r>
      <w:r w:rsidRPr="00BE7662">
        <w:rPr>
          <w:rFonts w:cs="Arial"/>
          <w:sz w:val="22"/>
        </w:rPr>
        <w:t xml:space="preserve">la somme de </w:t>
      </w:r>
      <w:r>
        <w:rPr>
          <w:rFonts w:cs="Arial"/>
          <w:sz w:val="22"/>
        </w:rPr>
        <w:t>6</w:t>
      </w:r>
      <w:r w:rsidR="003C35F9">
        <w:rPr>
          <w:rFonts w:cs="Arial"/>
          <w:sz w:val="22"/>
        </w:rPr>
        <w:t> </w:t>
      </w:r>
      <w:r>
        <w:rPr>
          <w:rFonts w:cs="Arial"/>
          <w:sz w:val="22"/>
        </w:rPr>
        <w:t>848,22</w:t>
      </w:r>
      <w:r w:rsidR="003C35F9">
        <w:rPr>
          <w:rFonts w:cs="Arial"/>
          <w:sz w:val="22"/>
        </w:rPr>
        <w:t> </w:t>
      </w:r>
      <w:r w:rsidRPr="00BE7662">
        <w:rPr>
          <w:rFonts w:cs="Arial"/>
          <w:sz w:val="22"/>
        </w:rPr>
        <w:t xml:space="preserve">€, augmentée des intérêts de droit à compter du </w:t>
      </w:r>
      <w:r>
        <w:rPr>
          <w:rFonts w:cs="Arial"/>
          <w:sz w:val="22"/>
        </w:rPr>
        <w:t>22 décembre 2014</w:t>
      </w:r>
      <w:r w:rsidR="003C35F9">
        <w:rPr>
          <w:rFonts w:cs="Arial"/>
          <w:sz w:val="22"/>
        </w:rPr>
        <w:t>.</w:t>
      </w:r>
    </w:p>
    <w:p w:rsidR="003C35F9" w:rsidRDefault="003C35F9" w:rsidP="00856FAC">
      <w:pPr>
        <w:tabs>
          <w:tab w:val="center" w:pos="4536"/>
          <w:tab w:val="right" w:pos="9072"/>
        </w:tabs>
        <w:jc w:val="both"/>
        <w:rPr>
          <w:rFonts w:cs="Arial"/>
          <w:sz w:val="22"/>
        </w:rPr>
      </w:pPr>
    </w:p>
    <w:p w:rsidR="002851A1" w:rsidRDefault="002851A1" w:rsidP="002851A1">
      <w:pPr>
        <w:tabs>
          <w:tab w:val="center" w:pos="4536"/>
          <w:tab w:val="right" w:pos="9072"/>
        </w:tabs>
        <w:jc w:val="center"/>
        <w:rPr>
          <w:rFonts w:cs="Arial"/>
          <w:sz w:val="22"/>
        </w:rPr>
      </w:pPr>
      <w:r>
        <w:rPr>
          <w:rFonts w:cs="Arial"/>
          <w:sz w:val="22"/>
        </w:rPr>
        <w:t>---------</w:t>
      </w:r>
    </w:p>
    <w:p w:rsidR="002851A1" w:rsidRPr="00BE7662" w:rsidRDefault="002851A1"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r w:rsidRPr="00BE7662">
        <w:rPr>
          <w:rFonts w:cs="Arial"/>
          <w:sz w:val="22"/>
        </w:rPr>
        <w:t xml:space="preserve">Fait et jugé par </w:t>
      </w:r>
      <w:r w:rsidR="004405BC" w:rsidRPr="004405BC">
        <w:rPr>
          <w:rFonts w:cs="Arial"/>
          <w:sz w:val="22"/>
        </w:rPr>
        <w:t>M</w:t>
      </w:r>
      <w:r w:rsidR="004405BC" w:rsidRPr="004405BC">
        <w:rPr>
          <w:rFonts w:cs="Arial"/>
          <w:sz w:val="22"/>
          <w:vertAlign w:val="superscript"/>
        </w:rPr>
        <w:t>me</w:t>
      </w:r>
      <w:r w:rsidR="004405BC">
        <w:rPr>
          <w:rFonts w:cs="Arial"/>
          <w:sz w:val="22"/>
        </w:rPr>
        <w:t> </w:t>
      </w:r>
      <w:r w:rsidR="003C35F9">
        <w:rPr>
          <w:rFonts w:cs="Arial"/>
          <w:sz w:val="22"/>
        </w:rPr>
        <w:t>Evelyne R</w:t>
      </w:r>
      <w:r w:rsidR="002851A1">
        <w:rPr>
          <w:rFonts w:cs="Arial"/>
          <w:sz w:val="22"/>
        </w:rPr>
        <w:t>atte</w:t>
      </w:r>
      <w:r w:rsidRPr="00BE7662">
        <w:rPr>
          <w:rFonts w:cs="Arial"/>
          <w:sz w:val="22"/>
        </w:rPr>
        <w:t xml:space="preserve">, </w:t>
      </w:r>
      <w:r w:rsidR="004405BC">
        <w:rPr>
          <w:rFonts w:cs="Arial"/>
          <w:sz w:val="22"/>
        </w:rPr>
        <w:t>p</w:t>
      </w:r>
      <w:r w:rsidRPr="00BE7662">
        <w:rPr>
          <w:rFonts w:cs="Arial"/>
          <w:sz w:val="22"/>
        </w:rPr>
        <w:t>résidente de séance</w:t>
      </w:r>
      <w:r w:rsidR="004405BC">
        <w:rPr>
          <w:rFonts w:cs="Arial"/>
          <w:sz w:val="22"/>
        </w:rPr>
        <w:t>,</w:t>
      </w:r>
      <w:r w:rsidRPr="00BE7662">
        <w:rPr>
          <w:rFonts w:cs="Arial"/>
          <w:sz w:val="22"/>
        </w:rPr>
        <w:t xml:space="preserve"> MM</w:t>
      </w:r>
      <w:r w:rsidR="003C35F9">
        <w:rPr>
          <w:rFonts w:cs="Arial"/>
          <w:sz w:val="22"/>
        </w:rPr>
        <w:t>.</w:t>
      </w:r>
      <w:r w:rsidR="002851A1">
        <w:rPr>
          <w:rFonts w:cs="Arial"/>
          <w:sz w:val="22"/>
        </w:rPr>
        <w:t> </w:t>
      </w:r>
      <w:r w:rsidR="00C51A7B">
        <w:rPr>
          <w:rFonts w:cs="Arial"/>
          <w:sz w:val="22"/>
        </w:rPr>
        <w:t xml:space="preserve">Jean-Luc </w:t>
      </w:r>
      <w:proofErr w:type="spellStart"/>
      <w:r w:rsidR="003C35F9">
        <w:rPr>
          <w:rFonts w:cs="Arial"/>
          <w:sz w:val="22"/>
        </w:rPr>
        <w:t>L</w:t>
      </w:r>
      <w:r w:rsidR="002851A1">
        <w:rPr>
          <w:rFonts w:cs="Arial"/>
          <w:sz w:val="22"/>
        </w:rPr>
        <w:t>ebuy</w:t>
      </w:r>
      <w:proofErr w:type="spellEnd"/>
      <w:r w:rsidR="003C35F9">
        <w:rPr>
          <w:rFonts w:cs="Arial"/>
          <w:sz w:val="22"/>
        </w:rPr>
        <w:t xml:space="preserve">, </w:t>
      </w:r>
      <w:r w:rsidR="002851A1">
        <w:rPr>
          <w:rFonts w:cs="Arial"/>
          <w:sz w:val="22"/>
        </w:rPr>
        <w:t>Jean</w:t>
      </w:r>
      <w:r w:rsidR="004405BC">
        <w:rPr>
          <w:rFonts w:cs="Arial"/>
          <w:sz w:val="22"/>
        </w:rPr>
        <w:t xml:space="preserve"> </w:t>
      </w:r>
      <w:r w:rsidR="003C35F9">
        <w:rPr>
          <w:rFonts w:cs="Arial"/>
          <w:sz w:val="22"/>
        </w:rPr>
        <w:t>G</w:t>
      </w:r>
      <w:r w:rsidR="002851A1">
        <w:rPr>
          <w:rFonts w:cs="Arial"/>
          <w:sz w:val="22"/>
        </w:rPr>
        <w:t>autier</w:t>
      </w:r>
      <w:r w:rsidR="003C35F9">
        <w:rPr>
          <w:rFonts w:cs="Arial"/>
          <w:sz w:val="22"/>
        </w:rPr>
        <w:t>,</w:t>
      </w:r>
      <w:r w:rsidR="00C51A7B">
        <w:rPr>
          <w:rFonts w:cs="Arial"/>
          <w:sz w:val="22"/>
        </w:rPr>
        <w:t xml:space="preserve"> Jacques</w:t>
      </w:r>
      <w:r w:rsidR="003C35F9">
        <w:rPr>
          <w:rFonts w:cs="Arial"/>
          <w:sz w:val="22"/>
        </w:rPr>
        <w:t xml:space="preserve"> B</w:t>
      </w:r>
      <w:r w:rsidR="00C51A7B">
        <w:rPr>
          <w:rFonts w:cs="Arial"/>
          <w:sz w:val="22"/>
        </w:rPr>
        <w:t>asset</w:t>
      </w:r>
      <w:r w:rsidR="00893F66">
        <w:rPr>
          <w:rFonts w:cs="Arial"/>
          <w:sz w:val="22"/>
        </w:rPr>
        <w:t xml:space="preserve"> et</w:t>
      </w:r>
      <w:r w:rsidR="003C35F9">
        <w:rPr>
          <w:rFonts w:cs="Arial"/>
          <w:sz w:val="22"/>
        </w:rPr>
        <w:t xml:space="preserve"> </w:t>
      </w:r>
      <w:r w:rsidR="004405BC" w:rsidRPr="004405BC">
        <w:rPr>
          <w:rFonts w:cs="Arial"/>
          <w:sz w:val="22"/>
        </w:rPr>
        <w:t>M</w:t>
      </w:r>
      <w:r w:rsidR="004405BC" w:rsidRPr="004405BC">
        <w:rPr>
          <w:rFonts w:cs="Arial"/>
          <w:sz w:val="22"/>
          <w:vertAlign w:val="superscript"/>
        </w:rPr>
        <w:t>me</w:t>
      </w:r>
      <w:r w:rsidR="004405BC">
        <w:rPr>
          <w:rFonts w:cs="Arial"/>
          <w:sz w:val="22"/>
        </w:rPr>
        <w:t xml:space="preserve"> </w:t>
      </w:r>
      <w:r w:rsidR="002851A1">
        <w:rPr>
          <w:rFonts w:cs="Arial"/>
          <w:sz w:val="22"/>
        </w:rPr>
        <w:t xml:space="preserve">Michèle </w:t>
      </w:r>
      <w:proofErr w:type="spellStart"/>
      <w:r w:rsidR="003C35F9">
        <w:rPr>
          <w:rFonts w:cs="Arial"/>
          <w:sz w:val="22"/>
        </w:rPr>
        <w:t>C</w:t>
      </w:r>
      <w:r w:rsidR="002851A1">
        <w:rPr>
          <w:rFonts w:cs="Arial"/>
          <w:sz w:val="22"/>
        </w:rPr>
        <w:t>oudurier</w:t>
      </w:r>
      <w:proofErr w:type="spellEnd"/>
      <w:r w:rsidR="003C35F9">
        <w:rPr>
          <w:rFonts w:cs="Arial"/>
          <w:sz w:val="22"/>
        </w:rPr>
        <w:t>, conseillers maîtres</w:t>
      </w:r>
      <w:r w:rsidR="002851A1">
        <w:rPr>
          <w:rFonts w:cs="Arial"/>
          <w:sz w:val="22"/>
        </w:rPr>
        <w:t>.</w:t>
      </w:r>
    </w:p>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r w:rsidRPr="00BE7662">
        <w:rPr>
          <w:rFonts w:cs="Arial"/>
          <w:sz w:val="22"/>
        </w:rPr>
        <w:t xml:space="preserve">En présence de </w:t>
      </w:r>
      <w:r w:rsidR="004405BC" w:rsidRPr="004405BC">
        <w:rPr>
          <w:rFonts w:cs="Arial"/>
          <w:sz w:val="22"/>
        </w:rPr>
        <w:t>M</w:t>
      </w:r>
      <w:r w:rsidR="004405BC" w:rsidRPr="004405BC">
        <w:rPr>
          <w:rFonts w:cs="Arial"/>
          <w:sz w:val="22"/>
          <w:vertAlign w:val="superscript"/>
        </w:rPr>
        <w:t>me</w:t>
      </w:r>
      <w:r w:rsidR="004405BC">
        <w:rPr>
          <w:rFonts w:cs="Arial"/>
          <w:sz w:val="22"/>
        </w:rPr>
        <w:t xml:space="preserve"> </w:t>
      </w:r>
      <w:bookmarkStart w:id="0" w:name="_GoBack"/>
      <w:bookmarkEnd w:id="0"/>
      <w:r w:rsidR="003C35F9">
        <w:rPr>
          <w:rFonts w:cs="Arial"/>
          <w:sz w:val="22"/>
        </w:rPr>
        <w:t>Annie L</w:t>
      </w:r>
      <w:r w:rsidR="00C51A7B">
        <w:rPr>
          <w:rFonts w:cs="Arial"/>
          <w:sz w:val="22"/>
        </w:rPr>
        <w:t>e</w:t>
      </w:r>
      <w:r w:rsidR="002851A1">
        <w:rPr>
          <w:rFonts w:cs="Arial"/>
          <w:sz w:val="22"/>
        </w:rPr>
        <w:t xml:space="preserve"> </w:t>
      </w:r>
      <w:r w:rsidR="003C35F9">
        <w:rPr>
          <w:rFonts w:cs="Arial"/>
          <w:sz w:val="22"/>
        </w:rPr>
        <w:t>B</w:t>
      </w:r>
      <w:r w:rsidR="00C51A7B">
        <w:rPr>
          <w:rFonts w:cs="Arial"/>
          <w:sz w:val="22"/>
        </w:rPr>
        <w:t>aron</w:t>
      </w:r>
      <w:r w:rsidR="003C35F9">
        <w:rPr>
          <w:rFonts w:cs="Arial"/>
          <w:sz w:val="22"/>
        </w:rPr>
        <w:t>,</w:t>
      </w:r>
      <w:r w:rsidRPr="00BE7662">
        <w:rPr>
          <w:rFonts w:cs="Arial"/>
          <w:sz w:val="22"/>
        </w:rPr>
        <w:t xml:space="preserve"> greffière de séance.</w:t>
      </w:r>
    </w:p>
    <w:p w:rsidR="00856FAC" w:rsidRPr="00BE7662" w:rsidRDefault="00856FAC" w:rsidP="00856FAC">
      <w:pPr>
        <w:tabs>
          <w:tab w:val="center" w:pos="4536"/>
          <w:tab w:val="right" w:pos="9072"/>
        </w:tabs>
        <w:jc w:val="both"/>
        <w:rPr>
          <w:rFonts w:cs="Arial"/>
          <w:sz w:val="22"/>
        </w:rPr>
      </w:pPr>
    </w:p>
    <w:tbl>
      <w:tblPr>
        <w:tblW w:w="0" w:type="auto"/>
        <w:tblInd w:w="34" w:type="dxa"/>
        <w:tblLook w:val="00A0" w:firstRow="1" w:lastRow="0" w:firstColumn="1" w:lastColumn="0" w:noHBand="0" w:noVBand="0"/>
      </w:tblPr>
      <w:tblGrid>
        <w:gridCol w:w="4623"/>
        <w:gridCol w:w="4629"/>
      </w:tblGrid>
      <w:tr w:rsidR="00856FAC" w:rsidRPr="00BE7662" w:rsidTr="00893F66">
        <w:tc>
          <w:tcPr>
            <w:tcW w:w="4623" w:type="dxa"/>
          </w:tcPr>
          <w:p w:rsidR="00856FAC" w:rsidRPr="002125D2" w:rsidRDefault="00856FAC" w:rsidP="0087684A">
            <w:pPr>
              <w:tabs>
                <w:tab w:val="center" w:pos="4536"/>
                <w:tab w:val="right" w:pos="9072"/>
              </w:tabs>
              <w:jc w:val="center"/>
              <w:rPr>
                <w:rFonts w:cs="Arial"/>
                <w:b/>
                <w:sz w:val="22"/>
              </w:rPr>
            </w:pPr>
          </w:p>
          <w:p w:rsidR="00856FAC" w:rsidRPr="002125D2" w:rsidRDefault="00856FAC" w:rsidP="0087684A">
            <w:pPr>
              <w:tabs>
                <w:tab w:val="center" w:pos="4536"/>
                <w:tab w:val="right" w:pos="9072"/>
              </w:tabs>
              <w:jc w:val="center"/>
              <w:rPr>
                <w:rFonts w:cs="Arial"/>
                <w:b/>
                <w:sz w:val="22"/>
              </w:rPr>
            </w:pPr>
          </w:p>
          <w:p w:rsidR="00856FAC" w:rsidRPr="002125D2" w:rsidRDefault="00856FAC" w:rsidP="0087684A">
            <w:pPr>
              <w:tabs>
                <w:tab w:val="center" w:pos="4536"/>
                <w:tab w:val="right" w:pos="9072"/>
              </w:tabs>
              <w:jc w:val="center"/>
              <w:rPr>
                <w:rFonts w:cs="Arial"/>
                <w:b/>
                <w:sz w:val="22"/>
              </w:rPr>
            </w:pPr>
          </w:p>
          <w:p w:rsidR="00856FAC" w:rsidRDefault="00856FAC" w:rsidP="0087684A">
            <w:pPr>
              <w:tabs>
                <w:tab w:val="center" w:pos="4536"/>
                <w:tab w:val="right" w:pos="9072"/>
              </w:tabs>
              <w:jc w:val="center"/>
              <w:rPr>
                <w:rFonts w:cs="Arial"/>
                <w:b/>
                <w:sz w:val="22"/>
              </w:rPr>
            </w:pPr>
          </w:p>
          <w:p w:rsidR="00A97CAE" w:rsidRDefault="00A97CAE" w:rsidP="0087684A">
            <w:pPr>
              <w:tabs>
                <w:tab w:val="center" w:pos="4536"/>
                <w:tab w:val="right" w:pos="9072"/>
              </w:tabs>
              <w:jc w:val="center"/>
              <w:rPr>
                <w:rFonts w:cs="Arial"/>
                <w:b/>
                <w:sz w:val="22"/>
              </w:rPr>
            </w:pPr>
          </w:p>
          <w:p w:rsidR="00A97CAE" w:rsidRPr="002125D2" w:rsidRDefault="00A97CAE" w:rsidP="0087684A">
            <w:pPr>
              <w:tabs>
                <w:tab w:val="center" w:pos="4536"/>
                <w:tab w:val="right" w:pos="9072"/>
              </w:tabs>
              <w:jc w:val="center"/>
              <w:rPr>
                <w:rFonts w:cs="Arial"/>
                <w:b/>
                <w:sz w:val="22"/>
              </w:rPr>
            </w:pPr>
          </w:p>
          <w:p w:rsidR="00856FAC" w:rsidRPr="002125D2" w:rsidRDefault="00A97CAE" w:rsidP="0087684A">
            <w:pPr>
              <w:tabs>
                <w:tab w:val="center" w:pos="4536"/>
                <w:tab w:val="right" w:pos="9072"/>
              </w:tabs>
              <w:jc w:val="center"/>
              <w:rPr>
                <w:rFonts w:cs="Arial"/>
                <w:b/>
                <w:sz w:val="22"/>
              </w:rPr>
            </w:pPr>
            <w:r>
              <w:rPr>
                <w:rFonts w:cs="Arial"/>
                <w:b/>
                <w:sz w:val="22"/>
              </w:rPr>
              <w:t>Annie LE BARON</w:t>
            </w:r>
          </w:p>
          <w:p w:rsidR="00856FAC" w:rsidRPr="00BE7662" w:rsidRDefault="00856FAC" w:rsidP="0087684A">
            <w:pPr>
              <w:tabs>
                <w:tab w:val="center" w:pos="4536"/>
                <w:tab w:val="right" w:pos="9072"/>
              </w:tabs>
              <w:jc w:val="center"/>
              <w:rPr>
                <w:rFonts w:cs="Arial"/>
                <w:b/>
                <w:sz w:val="22"/>
              </w:rPr>
            </w:pPr>
          </w:p>
        </w:tc>
        <w:tc>
          <w:tcPr>
            <w:tcW w:w="4629" w:type="dxa"/>
          </w:tcPr>
          <w:p w:rsidR="00856FAC" w:rsidRPr="00BE7662" w:rsidRDefault="00856FAC" w:rsidP="0087684A">
            <w:pPr>
              <w:tabs>
                <w:tab w:val="center" w:pos="4536"/>
                <w:tab w:val="right" w:pos="9072"/>
              </w:tabs>
              <w:jc w:val="center"/>
              <w:rPr>
                <w:rFonts w:cs="Arial"/>
                <w:b/>
                <w:sz w:val="22"/>
              </w:rPr>
            </w:pPr>
          </w:p>
          <w:p w:rsidR="00856FAC" w:rsidRPr="00BE7662" w:rsidRDefault="00856FAC" w:rsidP="0087684A">
            <w:pPr>
              <w:tabs>
                <w:tab w:val="center" w:pos="4536"/>
                <w:tab w:val="right" w:pos="9072"/>
              </w:tabs>
              <w:jc w:val="center"/>
              <w:rPr>
                <w:rFonts w:cs="Arial"/>
                <w:b/>
                <w:sz w:val="22"/>
              </w:rPr>
            </w:pPr>
          </w:p>
          <w:p w:rsidR="00856FAC" w:rsidRPr="00BE7662" w:rsidRDefault="00856FAC" w:rsidP="0087684A">
            <w:pPr>
              <w:tabs>
                <w:tab w:val="center" w:pos="4536"/>
                <w:tab w:val="right" w:pos="9072"/>
              </w:tabs>
              <w:jc w:val="center"/>
              <w:rPr>
                <w:rFonts w:cs="Arial"/>
                <w:b/>
                <w:sz w:val="22"/>
              </w:rPr>
            </w:pPr>
          </w:p>
          <w:p w:rsidR="00856FAC" w:rsidRPr="00BE7662" w:rsidRDefault="00856FAC" w:rsidP="0087684A">
            <w:pPr>
              <w:tabs>
                <w:tab w:val="center" w:pos="4536"/>
                <w:tab w:val="right" w:pos="9072"/>
              </w:tabs>
              <w:jc w:val="center"/>
              <w:rPr>
                <w:rFonts w:cs="Arial"/>
                <w:b/>
                <w:sz w:val="22"/>
              </w:rPr>
            </w:pPr>
          </w:p>
          <w:p w:rsidR="00A97CAE" w:rsidRDefault="00A97CAE" w:rsidP="0087684A">
            <w:pPr>
              <w:tabs>
                <w:tab w:val="center" w:pos="4536"/>
                <w:tab w:val="right" w:pos="9072"/>
              </w:tabs>
              <w:jc w:val="center"/>
              <w:rPr>
                <w:rFonts w:cs="Arial"/>
                <w:b/>
                <w:sz w:val="22"/>
              </w:rPr>
            </w:pPr>
          </w:p>
          <w:p w:rsidR="00A97CAE" w:rsidRPr="00BE7662" w:rsidRDefault="00A97CAE" w:rsidP="0087684A">
            <w:pPr>
              <w:tabs>
                <w:tab w:val="center" w:pos="4536"/>
                <w:tab w:val="right" w:pos="9072"/>
              </w:tabs>
              <w:jc w:val="center"/>
              <w:rPr>
                <w:rFonts w:cs="Arial"/>
                <w:b/>
                <w:sz w:val="22"/>
              </w:rPr>
            </w:pPr>
          </w:p>
          <w:p w:rsidR="00856FAC" w:rsidRPr="00BE7662" w:rsidRDefault="00A97CAE" w:rsidP="0087684A">
            <w:pPr>
              <w:tabs>
                <w:tab w:val="center" w:pos="4536"/>
                <w:tab w:val="right" w:pos="9072"/>
              </w:tabs>
              <w:jc w:val="center"/>
              <w:rPr>
                <w:rFonts w:cs="Arial"/>
                <w:b/>
                <w:sz w:val="22"/>
              </w:rPr>
            </w:pPr>
            <w:r>
              <w:rPr>
                <w:rFonts w:cs="Arial"/>
                <w:b/>
                <w:sz w:val="22"/>
              </w:rPr>
              <w:t>Evelyne RATTE</w:t>
            </w:r>
          </w:p>
          <w:p w:rsidR="00856FAC" w:rsidRPr="00BE7662" w:rsidRDefault="00856FAC" w:rsidP="0087684A">
            <w:pPr>
              <w:tabs>
                <w:tab w:val="center" w:pos="4536"/>
                <w:tab w:val="right" w:pos="9072"/>
              </w:tabs>
              <w:jc w:val="center"/>
              <w:rPr>
                <w:rFonts w:cs="Arial"/>
                <w:b/>
                <w:sz w:val="22"/>
              </w:rPr>
            </w:pPr>
          </w:p>
        </w:tc>
      </w:tr>
    </w:tbl>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r w:rsidRPr="00BE7662">
        <w:rPr>
          <w:rFonts w:cs="Arial"/>
          <w:sz w:val="22"/>
        </w:rPr>
        <w:t>En conséquence, la République française mande et ordonne à tous huissiers de justice, sur</w:t>
      </w:r>
      <w:r w:rsidR="003B6DB0">
        <w:rPr>
          <w:rFonts w:cs="Arial"/>
          <w:sz w:val="22"/>
        </w:rPr>
        <w:t> </w:t>
      </w:r>
      <w:r w:rsidRPr="00BE7662">
        <w:rPr>
          <w:rFonts w:cs="Arial"/>
          <w:sz w:val="22"/>
        </w:rPr>
        <w:t>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r w:rsidRPr="00BE7662">
        <w:rPr>
          <w:rFonts w:cs="Arial"/>
          <w:color w:val="000000"/>
          <w:sz w:val="22"/>
        </w:rPr>
        <w:t>Conformément aux dispositions de l’article R.</w:t>
      </w:r>
      <w:r w:rsidR="003B6DB0">
        <w:rPr>
          <w:rFonts w:cs="Arial"/>
          <w:color w:val="000000"/>
          <w:sz w:val="22"/>
        </w:rPr>
        <w:t> </w:t>
      </w:r>
      <w:r w:rsidRPr="00BE7662">
        <w:rPr>
          <w:rFonts w:cs="Arial"/>
          <w:color w:val="000000"/>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3B6DB0">
        <w:rPr>
          <w:rFonts w:cs="Arial"/>
          <w:color w:val="000000"/>
          <w:sz w:val="22"/>
        </w:rPr>
        <w:t> </w:t>
      </w:r>
      <w:r w:rsidRPr="00BE7662">
        <w:rPr>
          <w:rFonts w:cs="Arial"/>
          <w:color w:val="000000"/>
          <w:sz w:val="22"/>
        </w:rPr>
        <w:t>142-15 du même code.</w:t>
      </w:r>
    </w:p>
    <w:p w:rsidR="00856FAC" w:rsidRPr="006E173E" w:rsidRDefault="00856FAC" w:rsidP="00856FAC"/>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p>
    <w:p w:rsidR="00856FAC" w:rsidRPr="00BE7662" w:rsidRDefault="00856FAC" w:rsidP="00856FAC">
      <w:pPr>
        <w:tabs>
          <w:tab w:val="center" w:pos="4536"/>
          <w:tab w:val="right" w:pos="9072"/>
        </w:tabs>
        <w:jc w:val="both"/>
        <w:rPr>
          <w:rFonts w:cs="Arial"/>
          <w:sz w:val="22"/>
        </w:rPr>
      </w:pPr>
    </w:p>
    <w:p w:rsidR="00FA2EC4" w:rsidRPr="00C13095" w:rsidRDefault="00FA2EC4" w:rsidP="00C13095"/>
    <w:sectPr w:rsidR="00FA2EC4"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86C" w:rsidRDefault="0060186C" w:rsidP="00B41656">
      <w:pPr>
        <w:spacing w:line="240" w:lineRule="auto"/>
      </w:pPr>
      <w:r>
        <w:separator/>
      </w:r>
    </w:p>
  </w:endnote>
  <w:endnote w:type="continuationSeparator" w:id="0">
    <w:p w:rsidR="0060186C" w:rsidRDefault="0060186C"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86C" w:rsidRDefault="0060186C" w:rsidP="00B41656">
      <w:pPr>
        <w:spacing w:line="240" w:lineRule="auto"/>
      </w:pPr>
      <w:r>
        <w:separator/>
      </w:r>
    </w:p>
  </w:footnote>
  <w:footnote w:type="continuationSeparator" w:id="0">
    <w:p w:rsidR="0060186C" w:rsidRDefault="0060186C"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60186C"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4405BC">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4405BC">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725FAA94" wp14:editId="5B1FDAC3">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4E03E65"/>
    <w:multiLevelType w:val="hybridMultilevel"/>
    <w:tmpl w:val="E2BCDBEE"/>
    <w:lvl w:ilvl="0" w:tplc="117193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C5738"/>
    <w:rsid w:val="000D567A"/>
    <w:rsid w:val="000F5299"/>
    <w:rsid w:val="000F53CA"/>
    <w:rsid w:val="00110640"/>
    <w:rsid w:val="001248F5"/>
    <w:rsid w:val="0013115F"/>
    <w:rsid w:val="00131A38"/>
    <w:rsid w:val="001440E9"/>
    <w:rsid w:val="0015565A"/>
    <w:rsid w:val="0016783F"/>
    <w:rsid w:val="001733C8"/>
    <w:rsid w:val="00177B90"/>
    <w:rsid w:val="0018720E"/>
    <w:rsid w:val="00192804"/>
    <w:rsid w:val="001A3A58"/>
    <w:rsid w:val="001D11BE"/>
    <w:rsid w:val="002040C2"/>
    <w:rsid w:val="002304DE"/>
    <w:rsid w:val="00231C67"/>
    <w:rsid w:val="00240C13"/>
    <w:rsid w:val="00244453"/>
    <w:rsid w:val="00251CFA"/>
    <w:rsid w:val="00265091"/>
    <w:rsid w:val="002666C0"/>
    <w:rsid w:val="00271F73"/>
    <w:rsid w:val="00283473"/>
    <w:rsid w:val="002851A1"/>
    <w:rsid w:val="002878B1"/>
    <w:rsid w:val="00291BB3"/>
    <w:rsid w:val="002B74C3"/>
    <w:rsid w:val="002C0B4C"/>
    <w:rsid w:val="002C2D25"/>
    <w:rsid w:val="002C59C8"/>
    <w:rsid w:val="002D0DA9"/>
    <w:rsid w:val="002E75B7"/>
    <w:rsid w:val="002F6F13"/>
    <w:rsid w:val="00302EED"/>
    <w:rsid w:val="003617A6"/>
    <w:rsid w:val="00372766"/>
    <w:rsid w:val="00376FD6"/>
    <w:rsid w:val="003955D7"/>
    <w:rsid w:val="003A09FE"/>
    <w:rsid w:val="003B6DB0"/>
    <w:rsid w:val="003B7BA2"/>
    <w:rsid w:val="003C35F9"/>
    <w:rsid w:val="003C582D"/>
    <w:rsid w:val="003C64B5"/>
    <w:rsid w:val="003C729C"/>
    <w:rsid w:val="003D7655"/>
    <w:rsid w:val="004022CB"/>
    <w:rsid w:val="00406C1D"/>
    <w:rsid w:val="0043462B"/>
    <w:rsid w:val="004405BC"/>
    <w:rsid w:val="004507C2"/>
    <w:rsid w:val="00457F09"/>
    <w:rsid w:val="00466852"/>
    <w:rsid w:val="0047092C"/>
    <w:rsid w:val="00477C3D"/>
    <w:rsid w:val="00490883"/>
    <w:rsid w:val="004A1A11"/>
    <w:rsid w:val="004A49F1"/>
    <w:rsid w:val="00516D1D"/>
    <w:rsid w:val="005369EE"/>
    <w:rsid w:val="0054781F"/>
    <w:rsid w:val="00590355"/>
    <w:rsid w:val="005B4288"/>
    <w:rsid w:val="005B4CA5"/>
    <w:rsid w:val="005C5994"/>
    <w:rsid w:val="005D1D70"/>
    <w:rsid w:val="005D49E8"/>
    <w:rsid w:val="005E3720"/>
    <w:rsid w:val="005F61B5"/>
    <w:rsid w:val="0060186C"/>
    <w:rsid w:val="00604974"/>
    <w:rsid w:val="00605093"/>
    <w:rsid w:val="006344B0"/>
    <w:rsid w:val="00647807"/>
    <w:rsid w:val="00662166"/>
    <w:rsid w:val="00665651"/>
    <w:rsid w:val="00676091"/>
    <w:rsid w:val="006774B5"/>
    <w:rsid w:val="00687F6F"/>
    <w:rsid w:val="006A4EB5"/>
    <w:rsid w:val="006A568B"/>
    <w:rsid w:val="006A7750"/>
    <w:rsid w:val="006C72CB"/>
    <w:rsid w:val="006D7499"/>
    <w:rsid w:val="006E170E"/>
    <w:rsid w:val="006E3A7F"/>
    <w:rsid w:val="00701324"/>
    <w:rsid w:val="00707BD1"/>
    <w:rsid w:val="00720EA2"/>
    <w:rsid w:val="0072398D"/>
    <w:rsid w:val="00724014"/>
    <w:rsid w:val="00724E46"/>
    <w:rsid w:val="007252C5"/>
    <w:rsid w:val="007410AA"/>
    <w:rsid w:val="007524B0"/>
    <w:rsid w:val="00764F62"/>
    <w:rsid w:val="00765A21"/>
    <w:rsid w:val="00765F43"/>
    <w:rsid w:val="0077703E"/>
    <w:rsid w:val="007A448C"/>
    <w:rsid w:val="007B06F6"/>
    <w:rsid w:val="007E06F2"/>
    <w:rsid w:val="007F2707"/>
    <w:rsid w:val="0081551A"/>
    <w:rsid w:val="008256E2"/>
    <w:rsid w:val="00846FA2"/>
    <w:rsid w:val="0085194D"/>
    <w:rsid w:val="00856FAC"/>
    <w:rsid w:val="00863D04"/>
    <w:rsid w:val="0086760B"/>
    <w:rsid w:val="00875AE9"/>
    <w:rsid w:val="008844EF"/>
    <w:rsid w:val="0089374A"/>
    <w:rsid w:val="00893F66"/>
    <w:rsid w:val="008A34BF"/>
    <w:rsid w:val="008A6ACF"/>
    <w:rsid w:val="008C244D"/>
    <w:rsid w:val="008E360F"/>
    <w:rsid w:val="008E5EE8"/>
    <w:rsid w:val="008E6349"/>
    <w:rsid w:val="009405CE"/>
    <w:rsid w:val="00950441"/>
    <w:rsid w:val="00965F9E"/>
    <w:rsid w:val="00966697"/>
    <w:rsid w:val="009802E3"/>
    <w:rsid w:val="009968B6"/>
    <w:rsid w:val="009B22BF"/>
    <w:rsid w:val="00A02D30"/>
    <w:rsid w:val="00A32C49"/>
    <w:rsid w:val="00A4059D"/>
    <w:rsid w:val="00A56A52"/>
    <w:rsid w:val="00A755A3"/>
    <w:rsid w:val="00A83FC9"/>
    <w:rsid w:val="00A9735F"/>
    <w:rsid w:val="00A97CAE"/>
    <w:rsid w:val="00AC71B2"/>
    <w:rsid w:val="00AE774F"/>
    <w:rsid w:val="00AF5CC4"/>
    <w:rsid w:val="00AF6047"/>
    <w:rsid w:val="00B128E3"/>
    <w:rsid w:val="00B13D5A"/>
    <w:rsid w:val="00B41656"/>
    <w:rsid w:val="00B645D1"/>
    <w:rsid w:val="00B967C8"/>
    <w:rsid w:val="00BA60D8"/>
    <w:rsid w:val="00BB2920"/>
    <w:rsid w:val="00BB7176"/>
    <w:rsid w:val="00BC40A5"/>
    <w:rsid w:val="00BC5D66"/>
    <w:rsid w:val="00BF292A"/>
    <w:rsid w:val="00C04525"/>
    <w:rsid w:val="00C07FCB"/>
    <w:rsid w:val="00C17123"/>
    <w:rsid w:val="00C22187"/>
    <w:rsid w:val="00C23B89"/>
    <w:rsid w:val="00C246E2"/>
    <w:rsid w:val="00C32D50"/>
    <w:rsid w:val="00C40DBC"/>
    <w:rsid w:val="00C470E9"/>
    <w:rsid w:val="00C51A7B"/>
    <w:rsid w:val="00C520D8"/>
    <w:rsid w:val="00C77CA2"/>
    <w:rsid w:val="00CA1BD5"/>
    <w:rsid w:val="00CC39B0"/>
    <w:rsid w:val="00CE1BD7"/>
    <w:rsid w:val="00CE4F79"/>
    <w:rsid w:val="00CF6809"/>
    <w:rsid w:val="00D21CDB"/>
    <w:rsid w:val="00D26DC4"/>
    <w:rsid w:val="00D274AE"/>
    <w:rsid w:val="00D500EF"/>
    <w:rsid w:val="00D51C43"/>
    <w:rsid w:val="00D62649"/>
    <w:rsid w:val="00D63671"/>
    <w:rsid w:val="00D817B5"/>
    <w:rsid w:val="00DA6392"/>
    <w:rsid w:val="00DE48AF"/>
    <w:rsid w:val="00DE6999"/>
    <w:rsid w:val="00DF4601"/>
    <w:rsid w:val="00E03E5C"/>
    <w:rsid w:val="00E13557"/>
    <w:rsid w:val="00E16E16"/>
    <w:rsid w:val="00E25406"/>
    <w:rsid w:val="00E35B8A"/>
    <w:rsid w:val="00E430FB"/>
    <w:rsid w:val="00E55D24"/>
    <w:rsid w:val="00E86FB6"/>
    <w:rsid w:val="00E87137"/>
    <w:rsid w:val="00ED3235"/>
    <w:rsid w:val="00ED3BBB"/>
    <w:rsid w:val="00EE3AA4"/>
    <w:rsid w:val="00EE4F42"/>
    <w:rsid w:val="00EF4D88"/>
    <w:rsid w:val="00F02D0A"/>
    <w:rsid w:val="00F34BAC"/>
    <w:rsid w:val="00F63CE2"/>
    <w:rsid w:val="00F73ABC"/>
    <w:rsid w:val="00F83996"/>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5D1D70"/>
    <w:rPr>
      <w:sz w:val="16"/>
      <w:szCs w:val="16"/>
    </w:rPr>
  </w:style>
  <w:style w:type="paragraph" w:styleId="Commentaire">
    <w:name w:val="annotation text"/>
    <w:basedOn w:val="Normal"/>
    <w:link w:val="CommentaireCar"/>
    <w:uiPriority w:val="99"/>
    <w:semiHidden/>
    <w:rsid w:val="005D1D70"/>
    <w:pPr>
      <w:spacing w:line="240" w:lineRule="auto"/>
    </w:pPr>
    <w:rPr>
      <w:sz w:val="20"/>
      <w:szCs w:val="20"/>
    </w:rPr>
  </w:style>
  <w:style w:type="character" w:customStyle="1" w:styleId="CommentaireCar">
    <w:name w:val="Commentaire Car"/>
    <w:basedOn w:val="Policepardfaut"/>
    <w:link w:val="Commentaire"/>
    <w:uiPriority w:val="99"/>
    <w:semiHidden/>
    <w:rsid w:val="005D1D70"/>
    <w:rPr>
      <w:lang w:eastAsia="en-US"/>
    </w:rPr>
  </w:style>
  <w:style w:type="paragraph" w:styleId="Objetducommentaire">
    <w:name w:val="annotation subject"/>
    <w:basedOn w:val="Commentaire"/>
    <w:next w:val="Commentaire"/>
    <w:link w:val="ObjetducommentaireCar"/>
    <w:uiPriority w:val="99"/>
    <w:semiHidden/>
    <w:rsid w:val="005D1D70"/>
    <w:rPr>
      <w:b/>
      <w:bCs/>
    </w:rPr>
  </w:style>
  <w:style w:type="character" w:customStyle="1" w:styleId="ObjetducommentaireCar">
    <w:name w:val="Objet du commentaire Car"/>
    <w:basedOn w:val="CommentaireCar"/>
    <w:link w:val="Objetducommentaire"/>
    <w:uiPriority w:val="99"/>
    <w:semiHidden/>
    <w:rsid w:val="005D1D70"/>
    <w:rPr>
      <w:b/>
      <w:bCs/>
      <w:lang w:eastAsia="en-US"/>
    </w:rPr>
  </w:style>
  <w:style w:type="paragraph" w:styleId="Rvision">
    <w:name w:val="Revision"/>
    <w:hidden/>
    <w:uiPriority w:val="71"/>
    <w:rsid w:val="005D1D70"/>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5D1D70"/>
    <w:rPr>
      <w:sz w:val="16"/>
      <w:szCs w:val="16"/>
    </w:rPr>
  </w:style>
  <w:style w:type="paragraph" w:styleId="Commentaire">
    <w:name w:val="annotation text"/>
    <w:basedOn w:val="Normal"/>
    <w:link w:val="CommentaireCar"/>
    <w:uiPriority w:val="99"/>
    <w:semiHidden/>
    <w:rsid w:val="005D1D70"/>
    <w:pPr>
      <w:spacing w:line="240" w:lineRule="auto"/>
    </w:pPr>
    <w:rPr>
      <w:sz w:val="20"/>
      <w:szCs w:val="20"/>
    </w:rPr>
  </w:style>
  <w:style w:type="character" w:customStyle="1" w:styleId="CommentaireCar">
    <w:name w:val="Commentaire Car"/>
    <w:basedOn w:val="Policepardfaut"/>
    <w:link w:val="Commentaire"/>
    <w:uiPriority w:val="99"/>
    <w:semiHidden/>
    <w:rsid w:val="005D1D70"/>
    <w:rPr>
      <w:lang w:eastAsia="en-US"/>
    </w:rPr>
  </w:style>
  <w:style w:type="paragraph" w:styleId="Objetducommentaire">
    <w:name w:val="annotation subject"/>
    <w:basedOn w:val="Commentaire"/>
    <w:next w:val="Commentaire"/>
    <w:link w:val="ObjetducommentaireCar"/>
    <w:uiPriority w:val="99"/>
    <w:semiHidden/>
    <w:rsid w:val="005D1D70"/>
    <w:rPr>
      <w:b/>
      <w:bCs/>
    </w:rPr>
  </w:style>
  <w:style w:type="character" w:customStyle="1" w:styleId="ObjetducommentaireCar">
    <w:name w:val="Objet du commentaire Car"/>
    <w:basedOn w:val="CommentaireCar"/>
    <w:link w:val="Objetducommentaire"/>
    <w:uiPriority w:val="99"/>
    <w:semiHidden/>
    <w:rsid w:val="005D1D70"/>
    <w:rPr>
      <w:b/>
      <w:bCs/>
      <w:lang w:eastAsia="en-US"/>
    </w:rPr>
  </w:style>
  <w:style w:type="paragraph" w:styleId="Rvision">
    <w:name w:val="Revision"/>
    <w:hidden/>
    <w:uiPriority w:val="71"/>
    <w:rsid w:val="005D1D70"/>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46302">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99127-F91A-4359-A173-04607758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1934</Words>
  <Characters>10638</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22</cp:revision>
  <cp:lastPrinted>2015-06-18T11:35:00Z</cp:lastPrinted>
  <dcterms:created xsi:type="dcterms:W3CDTF">2015-06-05T11:41:00Z</dcterms:created>
  <dcterms:modified xsi:type="dcterms:W3CDTF">2015-06-29T12:36:00Z</dcterms:modified>
</cp:coreProperties>
</file>