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A272BF" w:rsidRDefault="00BA4F93">
      <w:pPr>
        <w:rPr>
          <w:rFonts w:cs="Arial"/>
          <w:sz w:val="22"/>
        </w:rPr>
      </w:pPr>
      <w:r w:rsidRPr="00A272BF">
        <w:rPr>
          <w:rFonts w:cs="Arial"/>
          <w:noProof/>
          <w:sz w:val="22"/>
          <w:lang w:eastAsia="fr-FR"/>
        </w:rPr>
        <w:drawing>
          <wp:anchor distT="0" distB="0" distL="114300" distR="114300" simplePos="0" relativeHeight="251659264" behindDoc="0" locked="0" layoutInCell="1" allowOverlap="1" wp14:anchorId="220FF44C" wp14:editId="591BCB45">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A272BF" w:rsidTr="00F942D7">
        <w:tc>
          <w:tcPr>
            <w:tcW w:w="5103" w:type="dxa"/>
          </w:tcPr>
          <w:p w:rsidR="004F3CBF" w:rsidRDefault="004F3CBF">
            <w:pPr>
              <w:spacing w:line="240" w:lineRule="auto"/>
              <w:ind w:firstLine="34"/>
              <w:rPr>
                <w:rFonts w:eastAsia="Times New Roman" w:cs="Arial"/>
                <w:sz w:val="22"/>
                <w:lang w:eastAsia="fr-FR"/>
              </w:rPr>
            </w:pPr>
          </w:p>
          <w:p w:rsidR="009F58BA" w:rsidRPr="00A272BF" w:rsidRDefault="00BA4F93" w:rsidP="00A01BD2">
            <w:pPr>
              <w:spacing w:line="240" w:lineRule="auto"/>
              <w:ind w:right="1474"/>
              <w:jc w:val="center"/>
              <w:rPr>
                <w:rFonts w:eastAsia="Times New Roman" w:cs="Arial"/>
                <w:sz w:val="22"/>
                <w:lang w:eastAsia="fr-FR"/>
              </w:rPr>
            </w:pPr>
            <w:r w:rsidRPr="00A272BF">
              <w:rPr>
                <w:rFonts w:eastAsia="Times New Roman" w:cs="Arial"/>
                <w:sz w:val="22"/>
                <w:lang w:eastAsia="fr-FR"/>
              </w:rPr>
              <w:t>QUATRIÈME CHAMBRE</w:t>
            </w:r>
          </w:p>
          <w:p w:rsidR="009F58BA" w:rsidRPr="00A272BF" w:rsidRDefault="00BA4F93" w:rsidP="00A01BD2">
            <w:pPr>
              <w:spacing w:line="240" w:lineRule="auto"/>
              <w:ind w:right="1474"/>
              <w:jc w:val="center"/>
              <w:rPr>
                <w:rFonts w:eastAsia="Times New Roman" w:cs="Arial"/>
                <w:b/>
                <w:sz w:val="22"/>
                <w:lang w:eastAsia="fr-FR"/>
              </w:rPr>
            </w:pPr>
            <w:r w:rsidRPr="00A272BF">
              <w:rPr>
                <w:rFonts w:eastAsia="Times New Roman" w:cs="Arial"/>
                <w:b/>
                <w:sz w:val="22"/>
                <w:lang w:eastAsia="fr-FR"/>
              </w:rPr>
              <w:t>-------</w:t>
            </w:r>
          </w:p>
          <w:p w:rsidR="009F58BA" w:rsidRPr="00A272BF" w:rsidRDefault="007B699E" w:rsidP="00A01BD2">
            <w:pPr>
              <w:spacing w:line="240" w:lineRule="auto"/>
              <w:ind w:right="1474"/>
              <w:jc w:val="center"/>
              <w:rPr>
                <w:rFonts w:eastAsia="Times New Roman" w:cs="Arial"/>
                <w:sz w:val="22"/>
                <w:lang w:eastAsia="fr-FR"/>
              </w:rPr>
            </w:pPr>
            <w:r w:rsidRPr="00A272BF">
              <w:rPr>
                <w:rFonts w:eastAsia="Times New Roman" w:cs="Arial"/>
                <w:sz w:val="22"/>
                <w:lang w:eastAsia="fr-FR"/>
              </w:rPr>
              <w:t xml:space="preserve"> </w:t>
            </w:r>
            <w:r w:rsidR="00BA4F93" w:rsidRPr="00A272BF">
              <w:rPr>
                <w:rFonts w:eastAsia="Times New Roman" w:cs="Arial"/>
                <w:sz w:val="22"/>
                <w:lang w:eastAsia="fr-FR"/>
              </w:rPr>
              <w:t xml:space="preserve">   Première section</w:t>
            </w:r>
          </w:p>
          <w:p w:rsidR="009F58BA" w:rsidRPr="00A272BF" w:rsidRDefault="00BA4F93" w:rsidP="00A01BD2">
            <w:pPr>
              <w:spacing w:line="240" w:lineRule="auto"/>
              <w:ind w:right="1474"/>
              <w:jc w:val="center"/>
              <w:rPr>
                <w:rFonts w:eastAsia="Times New Roman" w:cs="Arial"/>
                <w:b/>
                <w:sz w:val="22"/>
                <w:lang w:eastAsia="fr-FR"/>
              </w:rPr>
            </w:pPr>
            <w:r w:rsidRPr="00A272BF">
              <w:rPr>
                <w:rFonts w:eastAsia="Times New Roman" w:cs="Arial"/>
                <w:b/>
                <w:sz w:val="22"/>
                <w:lang w:eastAsia="fr-FR"/>
              </w:rPr>
              <w:t>-------</w:t>
            </w:r>
          </w:p>
          <w:p w:rsidR="009F58BA" w:rsidRPr="00A272BF" w:rsidRDefault="00BA4F93" w:rsidP="00A01BD2">
            <w:pPr>
              <w:spacing w:line="240" w:lineRule="auto"/>
              <w:ind w:right="1474"/>
              <w:jc w:val="center"/>
              <w:rPr>
                <w:rFonts w:eastAsia="Times New Roman" w:cs="Arial"/>
                <w:sz w:val="22"/>
                <w:lang w:eastAsia="fr-FR"/>
              </w:rPr>
            </w:pPr>
            <w:r w:rsidRPr="00A272BF">
              <w:rPr>
                <w:rFonts w:eastAsia="Times New Roman" w:cs="Arial"/>
                <w:sz w:val="22"/>
                <w:lang w:eastAsia="fr-FR"/>
              </w:rPr>
              <w:t xml:space="preserve">Arrêt n° </w:t>
            </w:r>
            <w:r w:rsidR="00285E15">
              <w:rPr>
                <w:rFonts w:eastAsia="Times New Roman" w:cs="Arial"/>
                <w:sz w:val="22"/>
                <w:lang w:eastAsia="fr-FR"/>
              </w:rPr>
              <w:t>72558</w:t>
            </w:r>
          </w:p>
          <w:p w:rsidR="009F58BA" w:rsidRPr="00A272BF" w:rsidRDefault="00041452" w:rsidP="00A01BD2">
            <w:pPr>
              <w:spacing w:line="240" w:lineRule="auto"/>
              <w:ind w:right="1474"/>
              <w:jc w:val="center"/>
              <w:rPr>
                <w:rFonts w:eastAsia="Times New Roman" w:cs="Arial"/>
                <w:sz w:val="22"/>
                <w:lang w:eastAsia="fr-FR"/>
              </w:rPr>
            </w:pPr>
          </w:p>
          <w:p w:rsidR="009F58BA" w:rsidRPr="00A272BF" w:rsidRDefault="00BA4F93" w:rsidP="00A01BD2">
            <w:pPr>
              <w:spacing w:line="240" w:lineRule="auto"/>
              <w:ind w:right="1474"/>
              <w:jc w:val="center"/>
              <w:rPr>
                <w:rFonts w:eastAsia="Times New Roman" w:cs="Arial"/>
                <w:sz w:val="22"/>
                <w:lang w:eastAsia="fr-FR"/>
              </w:rPr>
            </w:pPr>
            <w:r w:rsidRPr="00A272BF">
              <w:rPr>
                <w:rFonts w:eastAsia="Times New Roman" w:cs="Arial"/>
                <w:sz w:val="22"/>
                <w:lang w:eastAsia="fr-FR"/>
              </w:rPr>
              <w:t xml:space="preserve">Audience publique du </w:t>
            </w:r>
            <w:r w:rsidR="007B699E" w:rsidRPr="00A272BF">
              <w:rPr>
                <w:rFonts w:eastAsia="Times New Roman" w:cs="Arial"/>
                <w:sz w:val="22"/>
                <w:lang w:eastAsia="fr-FR"/>
              </w:rPr>
              <w:t>11 juin 2015</w:t>
            </w:r>
          </w:p>
          <w:p w:rsidR="009F58BA" w:rsidRPr="00A272BF" w:rsidRDefault="00041452" w:rsidP="00A01BD2">
            <w:pPr>
              <w:spacing w:line="240" w:lineRule="auto"/>
              <w:ind w:right="1474"/>
              <w:jc w:val="center"/>
              <w:rPr>
                <w:rFonts w:eastAsia="Times New Roman" w:cs="Arial"/>
                <w:sz w:val="22"/>
                <w:lang w:eastAsia="fr-FR"/>
              </w:rPr>
            </w:pPr>
          </w:p>
          <w:p w:rsidR="009F58BA" w:rsidRPr="00A272BF" w:rsidRDefault="00BA4F93" w:rsidP="00A01BD2">
            <w:pPr>
              <w:spacing w:line="240" w:lineRule="auto"/>
              <w:ind w:right="1474"/>
              <w:jc w:val="center"/>
              <w:rPr>
                <w:rFonts w:eastAsia="Times New Roman" w:cs="Arial"/>
                <w:i/>
                <w:sz w:val="22"/>
                <w:lang w:eastAsia="fr-FR"/>
              </w:rPr>
            </w:pPr>
            <w:r w:rsidRPr="00A272BF">
              <w:rPr>
                <w:rFonts w:eastAsia="Times New Roman" w:cs="Arial"/>
                <w:sz w:val="22"/>
                <w:lang w:eastAsia="fr-FR"/>
              </w:rPr>
              <w:t xml:space="preserve">Prononcé du </w:t>
            </w:r>
            <w:r w:rsidR="007B699E" w:rsidRPr="00A272BF">
              <w:rPr>
                <w:rFonts w:eastAsia="Times New Roman" w:cs="Arial"/>
                <w:sz w:val="22"/>
                <w:lang w:eastAsia="fr-FR"/>
              </w:rPr>
              <w:t>23 juillet 2015</w:t>
            </w:r>
          </w:p>
          <w:p w:rsidR="009F58BA" w:rsidRPr="00A272BF" w:rsidRDefault="00041452">
            <w:pPr>
              <w:spacing w:line="240" w:lineRule="auto"/>
              <w:rPr>
                <w:rFonts w:eastAsia="Times New Roman" w:cs="Arial"/>
                <w:sz w:val="22"/>
                <w:lang w:eastAsia="fr-FR"/>
              </w:rPr>
            </w:pPr>
          </w:p>
        </w:tc>
        <w:tc>
          <w:tcPr>
            <w:tcW w:w="4786" w:type="dxa"/>
          </w:tcPr>
          <w:p w:rsidR="00A272BF" w:rsidRPr="007015FC" w:rsidRDefault="00A272BF">
            <w:pPr>
              <w:spacing w:line="240" w:lineRule="auto"/>
              <w:rPr>
                <w:rFonts w:eastAsia="Times New Roman" w:cs="Arial"/>
                <w:sz w:val="22"/>
                <w:lang w:eastAsia="fr-FR"/>
              </w:rPr>
            </w:pPr>
          </w:p>
          <w:p w:rsidR="00285E15" w:rsidRPr="007015FC" w:rsidRDefault="00285E15" w:rsidP="00285E15">
            <w:pPr>
              <w:spacing w:line="240" w:lineRule="auto"/>
              <w:rPr>
                <w:rFonts w:eastAsia="Times New Roman" w:cs="Arial"/>
                <w:sz w:val="22"/>
                <w:lang w:eastAsia="fr-FR"/>
              </w:rPr>
            </w:pPr>
            <w:r w:rsidRPr="007015FC">
              <w:rPr>
                <w:rFonts w:eastAsia="Times New Roman" w:cs="Arial"/>
                <w:sz w:val="22"/>
                <w:lang w:eastAsia="fr-FR"/>
              </w:rPr>
              <w:t>COMMUNAUT</w:t>
            </w:r>
            <w:r w:rsidR="00D64414" w:rsidRPr="007015FC">
              <w:rPr>
                <w:rFonts w:eastAsia="Times New Roman" w:cs="Arial"/>
                <w:sz w:val="22"/>
                <w:lang w:eastAsia="fr-FR"/>
              </w:rPr>
              <w:t>É</w:t>
            </w:r>
            <w:r w:rsidRPr="007015FC">
              <w:rPr>
                <w:rFonts w:eastAsia="Times New Roman" w:cs="Arial"/>
                <w:sz w:val="22"/>
                <w:lang w:eastAsia="fr-FR"/>
              </w:rPr>
              <w:t>E D’AGGLOM</w:t>
            </w:r>
            <w:r w:rsidR="00D64414" w:rsidRPr="007015FC">
              <w:rPr>
                <w:rFonts w:eastAsia="Times New Roman" w:cs="Arial"/>
                <w:sz w:val="22"/>
                <w:lang w:eastAsia="fr-FR"/>
              </w:rPr>
              <w:t>É</w:t>
            </w:r>
            <w:r w:rsidRPr="007015FC">
              <w:rPr>
                <w:rFonts w:eastAsia="Times New Roman" w:cs="Arial"/>
                <w:sz w:val="22"/>
                <w:lang w:eastAsia="fr-FR"/>
              </w:rPr>
              <w:t>RATION</w:t>
            </w:r>
          </w:p>
          <w:p w:rsidR="00285E15" w:rsidRPr="007015FC" w:rsidRDefault="00285E15" w:rsidP="00285E15">
            <w:pPr>
              <w:spacing w:line="240" w:lineRule="auto"/>
              <w:rPr>
                <w:rFonts w:eastAsia="Times New Roman" w:cs="Arial"/>
                <w:sz w:val="22"/>
                <w:lang w:eastAsia="fr-FR"/>
              </w:rPr>
            </w:pPr>
            <w:r w:rsidRPr="007015FC">
              <w:rPr>
                <w:rFonts w:eastAsia="Times New Roman" w:cs="Arial"/>
                <w:sz w:val="22"/>
                <w:lang w:eastAsia="fr-FR"/>
              </w:rPr>
              <w:t>DU GRAND MONTAUBAN</w:t>
            </w:r>
          </w:p>
          <w:p w:rsidR="00285E15" w:rsidRPr="007015FC" w:rsidRDefault="00285E15" w:rsidP="00285E15">
            <w:pPr>
              <w:spacing w:line="240" w:lineRule="auto"/>
              <w:rPr>
                <w:rFonts w:eastAsia="Times New Roman" w:cs="Arial"/>
                <w:sz w:val="22"/>
                <w:lang w:eastAsia="fr-FR"/>
              </w:rPr>
            </w:pPr>
            <w:r w:rsidRPr="007015FC">
              <w:rPr>
                <w:rFonts w:eastAsia="Times New Roman" w:cs="Arial"/>
                <w:sz w:val="22"/>
                <w:lang w:eastAsia="fr-FR"/>
              </w:rPr>
              <w:t>(TARN-ET-GARONNE)</w:t>
            </w:r>
          </w:p>
          <w:p w:rsidR="00285E15" w:rsidRPr="007015FC" w:rsidRDefault="00285E15" w:rsidP="00285E15">
            <w:pPr>
              <w:spacing w:line="240" w:lineRule="auto"/>
              <w:rPr>
                <w:rFonts w:eastAsia="Times New Roman" w:cs="Arial"/>
                <w:sz w:val="22"/>
                <w:lang w:eastAsia="fr-FR"/>
              </w:rPr>
            </w:pPr>
          </w:p>
          <w:p w:rsidR="00285E15" w:rsidRPr="007015FC" w:rsidRDefault="00285E15" w:rsidP="00285E15">
            <w:pPr>
              <w:spacing w:line="240" w:lineRule="auto"/>
              <w:rPr>
                <w:rFonts w:eastAsia="Times New Roman" w:cs="Arial"/>
                <w:sz w:val="22"/>
                <w:lang w:eastAsia="fr-FR"/>
              </w:rPr>
            </w:pPr>
            <w:r w:rsidRPr="007015FC">
              <w:rPr>
                <w:rFonts w:eastAsia="Times New Roman" w:cs="Arial"/>
                <w:sz w:val="22"/>
                <w:lang w:eastAsia="fr-FR"/>
              </w:rPr>
              <w:t>Appel d’un jugement de la chambre régionale des comptes de Midi-Pyrénées</w:t>
            </w:r>
          </w:p>
          <w:p w:rsidR="00285E15" w:rsidRPr="007015FC" w:rsidRDefault="00285E15" w:rsidP="00285E15">
            <w:pPr>
              <w:spacing w:line="240" w:lineRule="auto"/>
              <w:rPr>
                <w:rFonts w:eastAsia="Times New Roman" w:cs="Arial"/>
                <w:sz w:val="22"/>
                <w:lang w:eastAsia="fr-FR"/>
              </w:rPr>
            </w:pPr>
          </w:p>
          <w:p w:rsidR="00285E15" w:rsidRPr="007015FC" w:rsidRDefault="00285E15" w:rsidP="00285E15">
            <w:pPr>
              <w:spacing w:line="240" w:lineRule="auto"/>
              <w:rPr>
                <w:rFonts w:eastAsia="Times New Roman" w:cs="Arial"/>
                <w:sz w:val="22"/>
                <w:lang w:eastAsia="fr-FR"/>
              </w:rPr>
            </w:pPr>
          </w:p>
          <w:p w:rsidR="009F58BA" w:rsidRPr="007015FC" w:rsidRDefault="00285E15" w:rsidP="00285E15">
            <w:pPr>
              <w:spacing w:line="240" w:lineRule="auto"/>
              <w:rPr>
                <w:rFonts w:eastAsia="Times New Roman" w:cs="Arial"/>
                <w:sz w:val="22"/>
                <w:lang w:eastAsia="fr-FR"/>
              </w:rPr>
            </w:pPr>
            <w:r w:rsidRPr="007015FC">
              <w:rPr>
                <w:rFonts w:eastAsia="Times New Roman" w:cs="Arial"/>
                <w:noProof/>
                <w:sz w:val="22"/>
                <w:lang w:eastAsia="fr-FR"/>
              </w:rPr>
              <w:t>Rapport n° 2015-183-0</w:t>
            </w:r>
          </w:p>
          <w:p w:rsidR="009F58BA" w:rsidRPr="007015FC" w:rsidRDefault="00041452">
            <w:pPr>
              <w:spacing w:line="240" w:lineRule="auto"/>
              <w:rPr>
                <w:rFonts w:eastAsia="Times New Roman" w:cs="Arial"/>
                <w:sz w:val="22"/>
                <w:lang w:eastAsia="fr-FR"/>
              </w:rPr>
            </w:pPr>
          </w:p>
        </w:tc>
      </w:tr>
    </w:tbl>
    <w:p w:rsidR="00C744AF" w:rsidRPr="00A272BF" w:rsidRDefault="00041452" w:rsidP="00C744AF">
      <w:pPr>
        <w:spacing w:line="240" w:lineRule="auto"/>
        <w:ind w:left="5670"/>
        <w:rPr>
          <w:rFonts w:eastAsia="Times New Roman" w:cs="Arial"/>
          <w:sz w:val="22"/>
          <w:lang w:eastAsia="fr-FR"/>
        </w:rPr>
      </w:pPr>
    </w:p>
    <w:p w:rsidR="00C744AF" w:rsidRPr="00A272BF" w:rsidRDefault="00041452" w:rsidP="00C744AF">
      <w:pPr>
        <w:spacing w:line="240" w:lineRule="auto"/>
        <w:ind w:left="5670"/>
        <w:rPr>
          <w:rFonts w:eastAsia="Times New Roman" w:cs="Arial"/>
          <w:sz w:val="22"/>
          <w:lang w:eastAsia="fr-FR"/>
        </w:rPr>
      </w:pPr>
    </w:p>
    <w:p w:rsidR="00C744AF" w:rsidRPr="00A272BF" w:rsidRDefault="00BA4F93" w:rsidP="00C744AF">
      <w:pPr>
        <w:tabs>
          <w:tab w:val="center" w:pos="9072"/>
        </w:tabs>
        <w:spacing w:line="240" w:lineRule="auto"/>
        <w:jc w:val="center"/>
        <w:rPr>
          <w:rFonts w:eastAsia="Times New Roman" w:cs="Arial"/>
          <w:sz w:val="22"/>
          <w:lang w:eastAsia="fr-FR"/>
        </w:rPr>
      </w:pPr>
      <w:r w:rsidRPr="00A272BF">
        <w:rPr>
          <w:rFonts w:eastAsia="Times New Roman" w:cs="Arial"/>
          <w:sz w:val="22"/>
          <w:lang w:eastAsia="fr-FR"/>
        </w:rPr>
        <w:t>République Française,</w:t>
      </w:r>
    </w:p>
    <w:p w:rsidR="00C744AF" w:rsidRPr="00A272BF" w:rsidRDefault="00BA4F93" w:rsidP="00C744AF">
      <w:pPr>
        <w:tabs>
          <w:tab w:val="center" w:pos="9072"/>
        </w:tabs>
        <w:spacing w:line="240" w:lineRule="auto"/>
        <w:jc w:val="center"/>
        <w:rPr>
          <w:rFonts w:eastAsia="Times New Roman" w:cs="Arial"/>
          <w:sz w:val="22"/>
          <w:lang w:eastAsia="fr-FR"/>
        </w:rPr>
      </w:pPr>
      <w:r w:rsidRPr="00A272BF">
        <w:rPr>
          <w:rFonts w:eastAsia="Times New Roman" w:cs="Arial"/>
          <w:sz w:val="22"/>
          <w:lang w:eastAsia="fr-FR"/>
        </w:rPr>
        <w:t>Au nom du peuple français,</w:t>
      </w:r>
    </w:p>
    <w:p w:rsidR="00C744AF" w:rsidRPr="00A272BF" w:rsidRDefault="00041452" w:rsidP="00C744AF">
      <w:pPr>
        <w:tabs>
          <w:tab w:val="center" w:pos="9072"/>
        </w:tabs>
        <w:spacing w:line="240" w:lineRule="auto"/>
        <w:jc w:val="center"/>
        <w:rPr>
          <w:rFonts w:eastAsia="Times New Roman" w:cs="Arial"/>
          <w:sz w:val="22"/>
          <w:lang w:eastAsia="fr-FR"/>
        </w:rPr>
      </w:pPr>
    </w:p>
    <w:p w:rsidR="00C744AF" w:rsidRPr="00A272BF" w:rsidRDefault="00BA4F93" w:rsidP="00C744AF">
      <w:pPr>
        <w:tabs>
          <w:tab w:val="center" w:pos="9072"/>
        </w:tabs>
        <w:spacing w:before="120" w:after="360" w:line="240" w:lineRule="auto"/>
        <w:jc w:val="center"/>
        <w:rPr>
          <w:rFonts w:eastAsia="Times New Roman" w:cs="Arial"/>
          <w:sz w:val="22"/>
          <w:lang w:eastAsia="fr-FR"/>
        </w:rPr>
      </w:pPr>
      <w:r w:rsidRPr="00A272BF">
        <w:rPr>
          <w:rFonts w:eastAsia="Times New Roman" w:cs="Arial"/>
          <w:sz w:val="22"/>
          <w:lang w:eastAsia="fr-FR"/>
        </w:rPr>
        <w:t>La Cour,</w:t>
      </w:r>
    </w:p>
    <w:p w:rsidR="00285E15" w:rsidRPr="00285E15" w:rsidRDefault="00285E15" w:rsidP="00285E15">
      <w:pPr>
        <w:spacing w:before="240" w:after="240" w:line="240" w:lineRule="auto"/>
        <w:jc w:val="both"/>
        <w:rPr>
          <w:rFonts w:eastAsia="Times New Roman" w:cs="Arial"/>
          <w:sz w:val="22"/>
          <w:lang w:eastAsia="fr-FR"/>
        </w:rPr>
      </w:pP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réquisitoire du procureur financier près la chambre régionale des comptes de Midi-Pyrénées n° 2013-0017 du 18 mars 2013 ;</w:t>
      </w:r>
    </w:p>
    <w:p w:rsidR="00285E15" w:rsidRPr="00A01BD2"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jugement n° 2013-0018 du 14 novembre 2013 par lequel la chambre précitée a notamment constitué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 comptable de la communauté d’agglomération du Grand Montauban, débiteur de cette communauté de la somme de 117 379 €, augmentée des intérêts de droit calculés à compter du 12 avril 2013 </w:t>
      </w:r>
      <w:r w:rsidRPr="00A01BD2">
        <w:rPr>
          <w:rFonts w:eastAsia="Times New Roman" w:cs="Arial"/>
          <w:sz w:val="22"/>
          <w:lang w:eastAsia="fr-FR"/>
        </w:rPr>
        <w:t>;</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la requête en date du 26 décembre 2013, enregistrée au greffe de la chambre régionale le 30 décembre 2013, par laquelle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 xml:space="preserve"> a interjeté appel de ce jugement en ce qu’il l’avait constitué débiteur de la somme précitée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réquisitoire du Procureur général près la Cour des comptes n° 2014-55 du 6 mai 2014 transmettant à la Cour la requête précitée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les pièces de la procédure suivie en première instance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code général des collectivités locales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l’article 60 de la loi de finances n° 63-156 du 23 février 1963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décret n° 2012-1386 du 10 décembre 2012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décret n° 62-1587 du 29 décembre 1962 portant règlement général sur la comptabilité publique, en vigueur au moment des faits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code des juridictions financières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 rapport de M. Omar SENHAJI</w:t>
      </w:r>
      <w:r w:rsidR="004F3CBF">
        <w:rPr>
          <w:rFonts w:eastAsia="Times New Roman" w:cs="Arial"/>
          <w:sz w:val="22"/>
          <w:lang w:eastAsia="fr-FR"/>
        </w:rPr>
        <w:t>, conseiller maître</w:t>
      </w:r>
      <w:r w:rsidRPr="00285E15">
        <w:rPr>
          <w:rFonts w:eastAsia="Times New Roman" w:cs="Arial"/>
          <w:sz w:val="22"/>
          <w:lang w:eastAsia="fr-FR"/>
        </w:rPr>
        <w:t>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Vu les conclusions n° 319 du 19 mai 2015</w:t>
      </w:r>
      <w:r w:rsidRPr="00285E15">
        <w:rPr>
          <w:rFonts w:eastAsia="Times New Roman" w:cs="Arial"/>
          <w:color w:val="FF0000"/>
          <w:sz w:val="22"/>
          <w:lang w:eastAsia="fr-FR"/>
        </w:rPr>
        <w:t xml:space="preserve"> </w:t>
      </w:r>
      <w:r w:rsidRPr="00285E15">
        <w:rPr>
          <w:rFonts w:eastAsia="Times New Roman" w:cs="Arial"/>
          <w:sz w:val="22"/>
          <w:lang w:eastAsia="fr-FR"/>
        </w:rPr>
        <w:t>du Procureur général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lastRenderedPageBreak/>
        <w:t xml:space="preserve">Entendu, lors de l’audience publique du 11 juin 2015, M. SENHAJI, en son rapport, M. Christian MICHAUT, avocat général, en les conclusions du ministère public ;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Après avoir entendu en délibéré M</w:t>
      </w:r>
      <w:r w:rsidR="004F3CBF">
        <w:rPr>
          <w:rFonts w:eastAsia="Times New Roman" w:cs="Arial"/>
          <w:sz w:val="22"/>
          <w:lang w:eastAsia="fr-FR"/>
        </w:rPr>
        <w:t>. </w:t>
      </w:r>
      <w:r w:rsidRPr="00285E15">
        <w:rPr>
          <w:rFonts w:eastAsia="Times New Roman" w:cs="Arial"/>
          <w:sz w:val="22"/>
          <w:lang w:eastAsia="fr-FR"/>
        </w:rPr>
        <w:t>Gérard GANSER, conseiller maître, en ses observations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par le jugement entrepris, la chambre régionale des comptes de Midi-Pyrénées a notamment constitué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 comptable de la communauté d’agglomération du Grand Montauban, débiteur de cette communauté de la somme de 117 379 €, augmentée des intérêts de droit calculés à compter du 12 avril 2013, pour avoir payé le mandat n° 4151, émis le 19</w:t>
      </w:r>
      <w:r w:rsidR="00A01BD2">
        <w:rPr>
          <w:rFonts w:eastAsia="Times New Roman" w:cs="Arial"/>
          <w:sz w:val="22"/>
          <w:lang w:eastAsia="fr-FR"/>
        </w:rPr>
        <w:t xml:space="preserve"> </w:t>
      </w:r>
      <w:r w:rsidRPr="00285E15">
        <w:rPr>
          <w:rFonts w:eastAsia="Times New Roman" w:cs="Arial"/>
          <w:sz w:val="22"/>
          <w:lang w:eastAsia="fr-FR"/>
        </w:rPr>
        <w:t>décembre</w:t>
      </w:r>
      <w:r w:rsidR="00A01BD2">
        <w:rPr>
          <w:rFonts w:eastAsia="Times New Roman" w:cs="Arial"/>
          <w:sz w:val="22"/>
          <w:lang w:eastAsia="fr-FR"/>
        </w:rPr>
        <w:t xml:space="preserve"> </w:t>
      </w:r>
      <w:r w:rsidRPr="00285E15">
        <w:rPr>
          <w:rFonts w:eastAsia="Times New Roman" w:cs="Arial"/>
          <w:sz w:val="22"/>
          <w:lang w:eastAsia="fr-FR"/>
        </w:rPr>
        <w:t>2008, dans le cadre de la convention publique d’aména</w:t>
      </w:r>
      <w:r w:rsidR="004F3CBF">
        <w:rPr>
          <w:rFonts w:eastAsia="Times New Roman" w:cs="Arial"/>
          <w:sz w:val="22"/>
          <w:lang w:eastAsia="fr-FR"/>
        </w:rPr>
        <w:t>gement, conclue en 2004 entre la</w:t>
      </w:r>
      <w:r w:rsidRPr="00285E15">
        <w:rPr>
          <w:rFonts w:eastAsia="Times New Roman" w:cs="Arial"/>
          <w:sz w:val="22"/>
          <w:lang w:eastAsia="fr-FR"/>
        </w:rPr>
        <w:t xml:space="preserve"> communauté et la société d’économie mixte pour l’aménagement et l’expansion de Montauban (SEMAEM), relatif à une participation de 550</w:t>
      </w:r>
      <w:r w:rsidR="004F3CBF">
        <w:rPr>
          <w:rFonts w:eastAsia="Times New Roman" w:cs="Arial"/>
          <w:sz w:val="22"/>
          <w:lang w:eastAsia="fr-FR"/>
        </w:rPr>
        <w:t> </w:t>
      </w:r>
      <w:r w:rsidRPr="00285E15">
        <w:rPr>
          <w:rFonts w:eastAsia="Times New Roman" w:cs="Arial"/>
          <w:sz w:val="22"/>
          <w:lang w:eastAsia="fr-FR"/>
        </w:rPr>
        <w:t>579</w:t>
      </w:r>
      <w:r w:rsidR="004F3CBF">
        <w:rPr>
          <w:rFonts w:eastAsia="Times New Roman" w:cs="Arial"/>
          <w:sz w:val="22"/>
          <w:lang w:eastAsia="fr-FR"/>
        </w:rPr>
        <w:t> </w:t>
      </w:r>
      <w:r w:rsidRPr="00285E15">
        <w:rPr>
          <w:rFonts w:eastAsia="Times New Roman" w:cs="Arial"/>
          <w:sz w:val="22"/>
          <w:lang w:eastAsia="fr-FR"/>
        </w:rPr>
        <w:t>€ TTC à la</w:t>
      </w:r>
      <w:r w:rsidR="00A01BD2">
        <w:rPr>
          <w:rFonts w:eastAsia="Times New Roman" w:cs="Arial"/>
          <w:sz w:val="22"/>
          <w:lang w:eastAsia="fr-FR"/>
        </w:rPr>
        <w:t xml:space="preserve"> </w:t>
      </w:r>
      <w:r w:rsidRPr="00285E15">
        <w:rPr>
          <w:rFonts w:eastAsia="Times New Roman" w:cs="Arial"/>
          <w:sz w:val="22"/>
          <w:lang w:eastAsia="fr-FR"/>
        </w:rPr>
        <w:t>SEMAEM, paiement conduisant à un total de participations versées de 2 150</w:t>
      </w:r>
      <w:r w:rsidR="004F3CBF">
        <w:rPr>
          <w:rFonts w:eastAsia="Times New Roman" w:cs="Arial"/>
          <w:sz w:val="22"/>
          <w:lang w:eastAsia="fr-FR"/>
        </w:rPr>
        <w:t> </w:t>
      </w:r>
      <w:r w:rsidRPr="00285E15">
        <w:rPr>
          <w:rFonts w:eastAsia="Times New Roman" w:cs="Arial"/>
          <w:sz w:val="22"/>
          <w:lang w:eastAsia="fr-FR"/>
        </w:rPr>
        <w:t>579</w:t>
      </w:r>
      <w:r w:rsidR="004F3CBF">
        <w:rPr>
          <w:rFonts w:eastAsia="Times New Roman" w:cs="Arial"/>
          <w:sz w:val="22"/>
          <w:lang w:eastAsia="fr-FR"/>
        </w:rPr>
        <w:t> </w:t>
      </w:r>
      <w:r w:rsidRPr="00285E15">
        <w:rPr>
          <w:rFonts w:eastAsia="Times New Roman" w:cs="Arial"/>
          <w:sz w:val="22"/>
          <w:lang w:eastAsia="fr-FR"/>
        </w:rPr>
        <w:t>€</w:t>
      </w:r>
      <w:r w:rsidR="004F3CBF">
        <w:rPr>
          <w:rFonts w:eastAsia="Times New Roman" w:cs="Arial"/>
          <w:sz w:val="22"/>
          <w:lang w:eastAsia="fr-FR"/>
        </w:rPr>
        <w:t> </w:t>
      </w:r>
      <w:r w:rsidRPr="00285E15">
        <w:rPr>
          <w:rFonts w:eastAsia="Times New Roman" w:cs="Arial"/>
          <w:sz w:val="22"/>
          <w:lang w:eastAsia="fr-FR"/>
        </w:rPr>
        <w:t>TTC dépassant de 117</w:t>
      </w:r>
      <w:r w:rsidR="004F3CBF">
        <w:rPr>
          <w:rFonts w:eastAsia="Times New Roman" w:cs="Arial"/>
          <w:sz w:val="22"/>
          <w:lang w:eastAsia="fr-FR"/>
        </w:rPr>
        <w:t> </w:t>
      </w:r>
      <w:r w:rsidRPr="00285E15">
        <w:rPr>
          <w:rFonts w:eastAsia="Times New Roman" w:cs="Arial"/>
          <w:sz w:val="22"/>
          <w:lang w:eastAsia="fr-FR"/>
        </w:rPr>
        <w:t>379</w:t>
      </w:r>
      <w:r w:rsidR="004F3CBF">
        <w:rPr>
          <w:rFonts w:eastAsia="Times New Roman" w:cs="Arial"/>
          <w:sz w:val="22"/>
          <w:lang w:eastAsia="fr-FR"/>
        </w:rPr>
        <w:t> </w:t>
      </w:r>
      <w:r w:rsidRPr="00285E15">
        <w:rPr>
          <w:rFonts w:eastAsia="Times New Roman" w:cs="Arial"/>
          <w:sz w:val="22"/>
          <w:lang w:eastAsia="fr-FR"/>
        </w:rPr>
        <w:t>€</w:t>
      </w:r>
      <w:r w:rsidR="004F3CBF">
        <w:rPr>
          <w:rFonts w:eastAsia="Times New Roman" w:cs="Arial"/>
          <w:sz w:val="22"/>
          <w:lang w:eastAsia="fr-FR"/>
        </w:rPr>
        <w:t> </w:t>
      </w:r>
      <w:r w:rsidRPr="00285E15">
        <w:rPr>
          <w:rFonts w:eastAsia="Times New Roman" w:cs="Arial"/>
          <w:sz w:val="22"/>
          <w:lang w:eastAsia="fr-FR"/>
        </w:rPr>
        <w:t>TTC le montant total prévisionnel de 1</w:t>
      </w:r>
      <w:r w:rsidR="004F3CBF">
        <w:rPr>
          <w:rFonts w:eastAsia="Times New Roman" w:cs="Arial"/>
          <w:sz w:val="22"/>
          <w:lang w:eastAsia="fr-FR"/>
        </w:rPr>
        <w:t> </w:t>
      </w:r>
      <w:r w:rsidRPr="00285E15">
        <w:rPr>
          <w:rFonts w:eastAsia="Times New Roman" w:cs="Arial"/>
          <w:sz w:val="22"/>
          <w:lang w:eastAsia="fr-FR"/>
        </w:rPr>
        <w:t>700</w:t>
      </w:r>
      <w:r w:rsidR="004F3CBF">
        <w:rPr>
          <w:rFonts w:eastAsia="Times New Roman" w:cs="Arial"/>
          <w:sz w:val="22"/>
          <w:lang w:eastAsia="fr-FR"/>
        </w:rPr>
        <w:t> </w:t>
      </w:r>
      <w:r w:rsidRPr="00285E15">
        <w:rPr>
          <w:rFonts w:eastAsia="Times New Roman" w:cs="Arial"/>
          <w:sz w:val="22"/>
          <w:lang w:eastAsia="fr-FR"/>
        </w:rPr>
        <w:t>000</w:t>
      </w:r>
      <w:r w:rsidR="004F3CBF">
        <w:rPr>
          <w:rFonts w:eastAsia="Times New Roman" w:cs="Arial"/>
          <w:sz w:val="22"/>
          <w:lang w:eastAsia="fr-FR"/>
        </w:rPr>
        <w:t> </w:t>
      </w:r>
      <w:r w:rsidRPr="00285E15">
        <w:rPr>
          <w:rFonts w:eastAsia="Times New Roman" w:cs="Arial"/>
          <w:sz w:val="22"/>
          <w:lang w:eastAsia="fr-FR"/>
        </w:rPr>
        <w:t>€</w:t>
      </w:r>
      <w:r w:rsidR="004F3CBF">
        <w:rPr>
          <w:rFonts w:eastAsia="Times New Roman" w:cs="Arial"/>
          <w:sz w:val="22"/>
          <w:lang w:eastAsia="fr-FR"/>
        </w:rPr>
        <w:t> </w:t>
      </w:r>
      <w:r w:rsidRPr="00285E15">
        <w:rPr>
          <w:rFonts w:eastAsia="Times New Roman" w:cs="Arial"/>
          <w:sz w:val="22"/>
          <w:lang w:eastAsia="fr-FR"/>
        </w:rPr>
        <w:t>HT, soit</w:t>
      </w:r>
      <w:r w:rsidR="004F3CBF">
        <w:rPr>
          <w:rFonts w:eastAsia="Times New Roman" w:cs="Arial"/>
          <w:sz w:val="22"/>
          <w:lang w:eastAsia="fr-FR"/>
        </w:rPr>
        <w:t> </w:t>
      </w:r>
      <w:r w:rsidRPr="00285E15">
        <w:rPr>
          <w:rFonts w:eastAsia="Times New Roman" w:cs="Arial"/>
          <w:sz w:val="22"/>
          <w:lang w:eastAsia="fr-FR"/>
        </w:rPr>
        <w:t>2 033 200 € TTC, mentionné au VI de l’article</w:t>
      </w:r>
      <w:r w:rsidR="00A01BD2">
        <w:rPr>
          <w:rFonts w:eastAsia="Times New Roman" w:cs="Arial"/>
          <w:sz w:val="22"/>
          <w:lang w:eastAsia="fr-FR"/>
        </w:rPr>
        <w:t xml:space="preserve"> </w:t>
      </w:r>
      <w:r w:rsidRPr="00285E15">
        <w:rPr>
          <w:rFonts w:eastAsia="Times New Roman" w:cs="Arial"/>
          <w:sz w:val="22"/>
          <w:lang w:eastAsia="fr-FR"/>
        </w:rPr>
        <w:t>17 de la convention de 2004, sans disposer de l’avenant approuvé par le conseil communautaire, prévu à ce même VI de l’article 17, en cas de révision du montant total prévisionnel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l’appelant admet le manquement à ses obligations de contrôle qui a conduit la chambre régionale à mettre en jeu sa responsabilité personnelle et pécuniaire au titre de la</w:t>
      </w:r>
      <w:r w:rsidR="00A01BD2">
        <w:rPr>
          <w:rFonts w:eastAsia="Times New Roman" w:cs="Arial"/>
          <w:sz w:val="22"/>
          <w:lang w:eastAsia="fr-FR"/>
        </w:rPr>
        <w:t xml:space="preserve"> </w:t>
      </w:r>
      <w:r w:rsidRPr="00285E15">
        <w:rPr>
          <w:rFonts w:eastAsia="Times New Roman" w:cs="Arial"/>
          <w:sz w:val="22"/>
          <w:lang w:eastAsia="fr-FR"/>
        </w:rPr>
        <w:t>4</w:t>
      </w:r>
      <w:r w:rsidRPr="00285E15">
        <w:rPr>
          <w:rFonts w:eastAsia="Times New Roman" w:cs="Arial"/>
          <w:sz w:val="22"/>
          <w:vertAlign w:val="superscript"/>
          <w:lang w:eastAsia="fr-FR"/>
        </w:rPr>
        <w:t>ème</w:t>
      </w:r>
      <w:r w:rsidRPr="00285E15">
        <w:rPr>
          <w:rFonts w:eastAsia="Times New Roman" w:cs="Arial"/>
          <w:sz w:val="22"/>
          <w:lang w:eastAsia="fr-FR"/>
        </w:rPr>
        <w:t xml:space="preserve"> présomption de charge du réquisitoire du procureur financier ;</w:t>
      </w:r>
    </w:p>
    <w:p w:rsidR="00285E15" w:rsidRPr="00285E15" w:rsidRDefault="00285E15" w:rsidP="00285E15">
      <w:pPr>
        <w:spacing w:before="240" w:after="240" w:line="240" w:lineRule="auto"/>
        <w:jc w:val="both"/>
        <w:rPr>
          <w:rFonts w:eastAsia="Times New Roman" w:cs="Arial"/>
          <w:b/>
          <w:i/>
          <w:sz w:val="22"/>
          <w:lang w:eastAsia="fr-FR"/>
        </w:rPr>
      </w:pPr>
      <w:r w:rsidRPr="00285E15">
        <w:rPr>
          <w:rFonts w:eastAsia="Times New Roman" w:cs="Arial"/>
          <w:b/>
          <w:i/>
          <w:sz w:val="22"/>
          <w:lang w:eastAsia="fr-FR"/>
        </w:rPr>
        <w:t>Sur le préjudice financier</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qu’il conteste cependant que son manquement ait causé un préjudice financier à la communauté ; qu’il fait valoir à cet effet « </w:t>
      </w:r>
      <w:r w:rsidRPr="00285E15">
        <w:rPr>
          <w:rFonts w:eastAsia="Times New Roman" w:cs="Arial"/>
          <w:i/>
          <w:sz w:val="22"/>
          <w:lang w:eastAsia="fr-FR"/>
        </w:rPr>
        <w:t>que la somme totale de 2 150</w:t>
      </w:r>
      <w:r w:rsidR="004F3CBF">
        <w:rPr>
          <w:rFonts w:eastAsia="Times New Roman" w:cs="Arial"/>
          <w:i/>
          <w:sz w:val="22"/>
          <w:lang w:eastAsia="fr-FR"/>
        </w:rPr>
        <w:t> </w:t>
      </w:r>
      <w:r w:rsidRPr="00285E15">
        <w:rPr>
          <w:rFonts w:eastAsia="Times New Roman" w:cs="Arial"/>
          <w:i/>
          <w:sz w:val="22"/>
          <w:lang w:eastAsia="fr-FR"/>
        </w:rPr>
        <w:t>579</w:t>
      </w:r>
      <w:r w:rsidR="004F3CBF">
        <w:rPr>
          <w:rFonts w:eastAsia="Times New Roman" w:cs="Arial"/>
          <w:i/>
          <w:sz w:val="22"/>
          <w:lang w:eastAsia="fr-FR"/>
        </w:rPr>
        <w:t> </w:t>
      </w:r>
      <w:r w:rsidRPr="00285E15">
        <w:rPr>
          <w:rFonts w:eastAsia="Times New Roman" w:cs="Arial"/>
          <w:i/>
          <w:sz w:val="22"/>
          <w:lang w:eastAsia="fr-FR"/>
        </w:rPr>
        <w:t>€ qui a été versée en 2007 et 2008 dans le cadre de cette opération d’aménagement l’a été conformément à la volonté non équivoque de l’organe délibérant</w:t>
      </w:r>
      <w:r w:rsidRPr="00285E15">
        <w:rPr>
          <w:rFonts w:eastAsia="Times New Roman" w:cs="Arial"/>
          <w:sz w:val="22"/>
          <w:lang w:eastAsia="fr-FR"/>
        </w:rPr>
        <w:t> » ; qu’il rappelle que le compte rendu d’activité de 2007 établi par la SEMAEN, approuvé par une délibération du conseil communautaire du 29 août 2008, comporte un document prévisionnel des recettes et des dépenses de l’opération faisant état du versement d’une participation prévisionnelle de</w:t>
      </w:r>
      <w:r w:rsidR="00A01BD2">
        <w:rPr>
          <w:rFonts w:eastAsia="Times New Roman" w:cs="Arial"/>
          <w:sz w:val="22"/>
          <w:lang w:eastAsia="fr-FR"/>
        </w:rPr>
        <w:t xml:space="preserve"> </w:t>
      </w:r>
      <w:r w:rsidRPr="00285E15">
        <w:rPr>
          <w:rFonts w:eastAsia="Times New Roman" w:cs="Arial"/>
          <w:sz w:val="22"/>
          <w:lang w:eastAsia="fr-FR"/>
        </w:rPr>
        <w:t>550</w:t>
      </w:r>
      <w:r w:rsidR="004F3CBF">
        <w:rPr>
          <w:rFonts w:eastAsia="Times New Roman" w:cs="Arial"/>
          <w:sz w:val="22"/>
          <w:lang w:eastAsia="fr-FR"/>
        </w:rPr>
        <w:t> </w:t>
      </w:r>
      <w:r w:rsidRPr="00285E15">
        <w:rPr>
          <w:rFonts w:eastAsia="Times New Roman" w:cs="Arial"/>
          <w:sz w:val="22"/>
          <w:lang w:eastAsia="fr-FR"/>
        </w:rPr>
        <w:t>579</w:t>
      </w:r>
      <w:r w:rsidR="004F3CBF">
        <w:rPr>
          <w:rFonts w:eastAsia="Times New Roman" w:cs="Arial"/>
          <w:sz w:val="22"/>
          <w:lang w:eastAsia="fr-FR"/>
        </w:rPr>
        <w:t> </w:t>
      </w:r>
      <w:r w:rsidRPr="00285E15">
        <w:rPr>
          <w:rFonts w:eastAsia="Times New Roman" w:cs="Arial"/>
          <w:sz w:val="22"/>
          <w:lang w:eastAsia="fr-FR"/>
        </w:rPr>
        <w:t>€ au titre du 4</w:t>
      </w:r>
      <w:r w:rsidRPr="00285E15">
        <w:rPr>
          <w:rFonts w:eastAsia="Times New Roman" w:cs="Arial"/>
          <w:sz w:val="22"/>
          <w:vertAlign w:val="superscript"/>
          <w:lang w:eastAsia="fr-FR"/>
        </w:rPr>
        <w:t>ème</w:t>
      </w:r>
      <w:r w:rsidRPr="00285E15">
        <w:rPr>
          <w:rFonts w:eastAsia="Times New Roman" w:cs="Arial"/>
          <w:sz w:val="22"/>
          <w:lang w:eastAsia="fr-FR"/>
        </w:rPr>
        <w:t xml:space="preserve"> trimestre 2008 ;</w:t>
      </w:r>
    </w:p>
    <w:p w:rsidR="00285E15" w:rsidRPr="00285E15" w:rsidRDefault="00285E15" w:rsidP="00285E15">
      <w:pPr>
        <w:spacing w:before="240" w:after="240" w:line="240" w:lineRule="auto"/>
        <w:jc w:val="both"/>
        <w:rPr>
          <w:rFonts w:eastAsia="Times New Roman" w:cs="Arial"/>
          <w:i/>
          <w:sz w:val="22"/>
          <w:lang w:eastAsia="fr-FR"/>
        </w:rPr>
      </w:pPr>
      <w:r w:rsidRPr="00285E15">
        <w:rPr>
          <w:rFonts w:eastAsia="Times New Roman" w:cs="Arial"/>
          <w:sz w:val="22"/>
          <w:lang w:eastAsia="fr-FR"/>
        </w:rPr>
        <w:t>Attendu que selon le I de l’article 17 de la convention de 2004,</w:t>
      </w:r>
      <w:r w:rsidRPr="00285E15">
        <w:rPr>
          <w:rFonts w:eastAsia="Times New Roman" w:cs="Arial"/>
          <w:i/>
          <w:sz w:val="22"/>
          <w:lang w:eastAsia="fr-FR"/>
        </w:rPr>
        <w:t xml:space="preserve"> « les charges supportées par l’aménageur </w:t>
      </w:r>
      <w:r w:rsidRPr="00285E15">
        <w:rPr>
          <w:rFonts w:eastAsia="Times New Roman" w:cs="Arial"/>
          <w:sz w:val="22"/>
          <w:lang w:eastAsia="fr-FR"/>
        </w:rPr>
        <w:t xml:space="preserve">[…] </w:t>
      </w:r>
      <w:r w:rsidRPr="00285E15">
        <w:rPr>
          <w:rFonts w:eastAsia="Times New Roman" w:cs="Arial"/>
          <w:i/>
          <w:sz w:val="22"/>
          <w:lang w:eastAsia="fr-FR"/>
        </w:rPr>
        <w:t xml:space="preserve">sont couvertes </w:t>
      </w:r>
      <w:r w:rsidRPr="00285E15">
        <w:rPr>
          <w:rFonts w:eastAsia="Times New Roman" w:cs="Arial"/>
          <w:sz w:val="22"/>
          <w:lang w:eastAsia="fr-FR"/>
        </w:rPr>
        <w:t>[…]</w:t>
      </w:r>
      <w:r w:rsidRPr="00285E15">
        <w:rPr>
          <w:rFonts w:eastAsia="Times New Roman" w:cs="Arial"/>
          <w:i/>
          <w:sz w:val="22"/>
          <w:lang w:eastAsia="fr-FR"/>
        </w:rPr>
        <w:t xml:space="preserve"> ainsi que par les participations nécessaires pour équilibrer l’opération et dues par la collectivité publique cocontractante telles qu’elles apparaissent sur le bilan financier prévisionnel visé à l’article 18 » ; </w:t>
      </w:r>
      <w:r w:rsidRPr="00285E15">
        <w:rPr>
          <w:rFonts w:eastAsia="Times New Roman" w:cs="Arial"/>
          <w:sz w:val="22"/>
          <w:lang w:eastAsia="fr-FR"/>
        </w:rPr>
        <w:t>que selon cet article 18</w:t>
      </w:r>
      <w:r w:rsidRPr="00285E15">
        <w:rPr>
          <w:rFonts w:eastAsia="Times New Roman" w:cs="Arial"/>
          <w:i/>
          <w:sz w:val="22"/>
          <w:lang w:eastAsia="fr-FR"/>
        </w:rPr>
        <w:t xml:space="preserve"> « l’aménageur établit chaque année un bilan financier prévisionnel global </w:t>
      </w:r>
      <w:r w:rsidRPr="00285E15">
        <w:rPr>
          <w:rFonts w:eastAsia="Times New Roman" w:cs="Arial"/>
          <w:sz w:val="22"/>
          <w:lang w:eastAsia="fr-FR"/>
        </w:rPr>
        <w:t>[…]</w:t>
      </w:r>
      <w:r w:rsidRPr="00285E15">
        <w:rPr>
          <w:rFonts w:eastAsia="Times New Roman" w:cs="Arial"/>
          <w:i/>
          <w:sz w:val="22"/>
          <w:lang w:eastAsia="fr-FR"/>
        </w:rPr>
        <w:t xml:space="preserve"> faisant apparaître </w:t>
      </w:r>
      <w:r w:rsidRPr="00285E15">
        <w:rPr>
          <w:rFonts w:eastAsia="Times New Roman" w:cs="Arial"/>
          <w:sz w:val="22"/>
          <w:lang w:eastAsia="fr-FR"/>
        </w:rPr>
        <w:t xml:space="preserve">[…] </w:t>
      </w:r>
      <w:r w:rsidRPr="00285E15">
        <w:rPr>
          <w:rFonts w:eastAsia="Times New Roman" w:cs="Arial"/>
          <w:i/>
          <w:sz w:val="22"/>
          <w:lang w:eastAsia="fr-FR"/>
        </w:rPr>
        <w:t>les estimations des dépenses et recettes restant à réaliser ainsi que éventuellement la charge résiduelle en résultant pour la collectivité cocontractante en termes de participation ou d’avances pour chacun des exercices à venir »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le compte rendu d’activité de 2007 établi par la SEMAEN invoqué par l’appelant comporte un tableau prévisionnel des recettes et des dépenses de l’opération arrêté au</w:t>
      </w:r>
      <w:r w:rsidR="00A01BD2">
        <w:rPr>
          <w:rFonts w:eastAsia="Times New Roman" w:cs="Arial"/>
          <w:sz w:val="22"/>
          <w:lang w:eastAsia="fr-FR"/>
        </w:rPr>
        <w:t xml:space="preserve"> </w:t>
      </w:r>
      <w:r w:rsidRPr="00285E15">
        <w:rPr>
          <w:rFonts w:eastAsia="Times New Roman" w:cs="Arial"/>
          <w:sz w:val="22"/>
          <w:lang w:eastAsia="fr-FR"/>
        </w:rPr>
        <w:t>20</w:t>
      </w:r>
      <w:r w:rsidR="00A01BD2">
        <w:rPr>
          <w:rFonts w:eastAsia="Times New Roman" w:cs="Arial"/>
          <w:sz w:val="22"/>
          <w:lang w:eastAsia="fr-FR"/>
        </w:rPr>
        <w:t xml:space="preserve"> </w:t>
      </w:r>
      <w:r w:rsidRPr="00285E15">
        <w:rPr>
          <w:rFonts w:eastAsia="Times New Roman" w:cs="Arial"/>
          <w:sz w:val="22"/>
          <w:lang w:eastAsia="fr-FR"/>
        </w:rPr>
        <w:t>mars</w:t>
      </w:r>
      <w:r w:rsidR="00A01BD2">
        <w:rPr>
          <w:rFonts w:eastAsia="Times New Roman" w:cs="Arial"/>
          <w:sz w:val="22"/>
          <w:lang w:eastAsia="fr-FR"/>
        </w:rPr>
        <w:t xml:space="preserve"> </w:t>
      </w:r>
      <w:r w:rsidRPr="00285E15">
        <w:rPr>
          <w:rFonts w:eastAsia="Times New Roman" w:cs="Arial"/>
          <w:sz w:val="22"/>
          <w:lang w:eastAsia="fr-FR"/>
        </w:rPr>
        <w:t>2008 qui mentionne une participation de 800</w:t>
      </w:r>
      <w:r w:rsidR="004F3CBF">
        <w:rPr>
          <w:rFonts w:eastAsia="Times New Roman" w:cs="Arial"/>
          <w:sz w:val="22"/>
          <w:lang w:eastAsia="fr-FR"/>
        </w:rPr>
        <w:t> </w:t>
      </w:r>
      <w:r w:rsidRPr="00285E15">
        <w:rPr>
          <w:rFonts w:eastAsia="Times New Roman" w:cs="Arial"/>
          <w:sz w:val="22"/>
          <w:lang w:eastAsia="fr-FR"/>
        </w:rPr>
        <w:t>000</w:t>
      </w:r>
      <w:r w:rsidR="004F3CBF">
        <w:rPr>
          <w:rFonts w:eastAsia="Times New Roman" w:cs="Arial"/>
          <w:sz w:val="22"/>
          <w:lang w:eastAsia="fr-FR"/>
        </w:rPr>
        <w:t> </w:t>
      </w:r>
      <w:r w:rsidRPr="00285E15">
        <w:rPr>
          <w:rFonts w:eastAsia="Times New Roman" w:cs="Arial"/>
          <w:sz w:val="22"/>
          <w:lang w:eastAsia="fr-FR"/>
        </w:rPr>
        <w:t>€ TTC au titre de 2007 et des</w:t>
      </w:r>
      <w:r w:rsidR="00A01BD2">
        <w:rPr>
          <w:rFonts w:eastAsia="Times New Roman" w:cs="Arial"/>
          <w:sz w:val="22"/>
          <w:lang w:eastAsia="fr-FR"/>
        </w:rPr>
        <w:t xml:space="preserve"> </w:t>
      </w:r>
      <w:r w:rsidRPr="00285E15">
        <w:rPr>
          <w:rFonts w:eastAsia="Times New Roman" w:cs="Arial"/>
          <w:sz w:val="22"/>
          <w:lang w:eastAsia="fr-FR"/>
        </w:rPr>
        <w:t>participations prévisionnelles de 800</w:t>
      </w:r>
      <w:r w:rsidR="004F3CBF">
        <w:rPr>
          <w:rFonts w:eastAsia="Times New Roman" w:cs="Arial"/>
          <w:sz w:val="22"/>
          <w:lang w:eastAsia="fr-FR"/>
        </w:rPr>
        <w:t> </w:t>
      </w:r>
      <w:r w:rsidRPr="00285E15">
        <w:rPr>
          <w:rFonts w:eastAsia="Times New Roman" w:cs="Arial"/>
          <w:sz w:val="22"/>
          <w:lang w:eastAsia="fr-FR"/>
        </w:rPr>
        <w:t>000</w:t>
      </w:r>
      <w:r w:rsidR="004F3CBF">
        <w:rPr>
          <w:rFonts w:eastAsia="Times New Roman" w:cs="Arial"/>
          <w:sz w:val="22"/>
          <w:lang w:eastAsia="fr-FR"/>
        </w:rPr>
        <w:t> </w:t>
      </w:r>
      <w:r w:rsidRPr="00285E15">
        <w:rPr>
          <w:rFonts w:eastAsia="Times New Roman" w:cs="Arial"/>
          <w:sz w:val="22"/>
          <w:lang w:eastAsia="fr-FR"/>
        </w:rPr>
        <w:t>€</w:t>
      </w:r>
      <w:r w:rsidR="004F3CBF">
        <w:rPr>
          <w:rFonts w:eastAsia="Times New Roman" w:cs="Arial"/>
          <w:sz w:val="22"/>
          <w:lang w:eastAsia="fr-FR"/>
        </w:rPr>
        <w:t> </w:t>
      </w:r>
      <w:r w:rsidRPr="00285E15">
        <w:rPr>
          <w:rFonts w:eastAsia="Times New Roman" w:cs="Arial"/>
          <w:sz w:val="22"/>
          <w:lang w:eastAsia="fr-FR"/>
        </w:rPr>
        <w:t>TTC au titre du 2</w:t>
      </w:r>
      <w:r w:rsidRPr="00285E15">
        <w:rPr>
          <w:rFonts w:eastAsia="Times New Roman" w:cs="Arial"/>
          <w:sz w:val="22"/>
          <w:vertAlign w:val="superscript"/>
          <w:lang w:eastAsia="fr-FR"/>
        </w:rPr>
        <w:t>ème</w:t>
      </w:r>
      <w:r w:rsidRPr="00285E15">
        <w:rPr>
          <w:rFonts w:eastAsia="Times New Roman" w:cs="Arial"/>
          <w:sz w:val="22"/>
          <w:lang w:eastAsia="fr-FR"/>
        </w:rPr>
        <w:t xml:space="preserve"> semestre</w:t>
      </w:r>
      <w:r w:rsidR="004F3CBF">
        <w:rPr>
          <w:rFonts w:eastAsia="Times New Roman" w:cs="Arial"/>
          <w:sz w:val="22"/>
          <w:lang w:eastAsia="fr-FR"/>
        </w:rPr>
        <w:t> </w:t>
      </w:r>
      <w:r w:rsidRPr="00285E15">
        <w:rPr>
          <w:rFonts w:eastAsia="Times New Roman" w:cs="Arial"/>
          <w:sz w:val="22"/>
          <w:lang w:eastAsia="fr-FR"/>
        </w:rPr>
        <w:t>2008 et</w:t>
      </w:r>
      <w:r w:rsidR="004F3CBF">
        <w:rPr>
          <w:rFonts w:eastAsia="Times New Roman" w:cs="Arial"/>
          <w:sz w:val="22"/>
          <w:lang w:eastAsia="fr-FR"/>
        </w:rPr>
        <w:t xml:space="preserve"> </w:t>
      </w:r>
      <w:r w:rsidRPr="00285E15">
        <w:rPr>
          <w:rFonts w:eastAsia="Times New Roman" w:cs="Arial"/>
          <w:sz w:val="22"/>
          <w:lang w:eastAsia="fr-FR"/>
        </w:rPr>
        <w:t>550 579 €</w:t>
      </w:r>
      <w:r w:rsidR="004F3CBF">
        <w:rPr>
          <w:rFonts w:eastAsia="Times New Roman" w:cs="Arial"/>
          <w:sz w:val="22"/>
          <w:lang w:eastAsia="fr-FR"/>
        </w:rPr>
        <w:t> </w:t>
      </w:r>
      <w:r w:rsidRPr="00285E15">
        <w:rPr>
          <w:rFonts w:eastAsia="Times New Roman" w:cs="Arial"/>
          <w:sz w:val="22"/>
          <w:lang w:eastAsia="fr-FR"/>
        </w:rPr>
        <w:t>TTC au titre du 4</w:t>
      </w:r>
      <w:r w:rsidRPr="00285E15">
        <w:rPr>
          <w:rFonts w:eastAsia="Times New Roman" w:cs="Arial"/>
          <w:sz w:val="22"/>
          <w:vertAlign w:val="superscript"/>
          <w:lang w:eastAsia="fr-FR"/>
        </w:rPr>
        <w:t>ème</w:t>
      </w:r>
      <w:r w:rsidRPr="00285E15">
        <w:rPr>
          <w:rFonts w:eastAsia="Times New Roman" w:cs="Arial"/>
          <w:sz w:val="22"/>
          <w:lang w:eastAsia="fr-FR"/>
        </w:rPr>
        <w:t xml:space="preserve"> trimestre 2008 ; que ce document a été approuvé comme susdit par une délibération du conseil communautaire du 29 août 2008 ;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dès lors, il résulte des dispositions combinées des articles 17 et 18 de la convention que le total des participations au titre des années 2007 et 2008, approuvé par le conseil communautaire avant le paiement litigieux, s’élève à 2 150 579 € TTC ; qu’il en résulte que le moyen de l’appelant doit être admis ; qu’ainsi c’est à tort que la chambre régionale a jugé que le manquement de M. </w:t>
      </w:r>
      <w:r w:rsidR="00AB3670">
        <w:rPr>
          <w:rFonts w:eastAsia="Times New Roman" w:cs="Arial"/>
          <w:sz w:val="22"/>
          <w:lang w:eastAsia="fr-FR"/>
        </w:rPr>
        <w:t>X</w:t>
      </w:r>
      <w:r w:rsidRPr="00285E15">
        <w:rPr>
          <w:rFonts w:eastAsia="Times New Roman" w:cs="Arial"/>
          <w:sz w:val="22"/>
          <w:lang w:eastAsia="fr-FR"/>
        </w:rPr>
        <w:t xml:space="preserve"> avait causé un préjudice financier à la collectivité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lastRenderedPageBreak/>
        <w:t>Attendu, sans qu’il soit besoin d’examiner les autres moyens de la requête, qu’il y a donc lieu d’infirmer le jugement entrepris en ce qu’il a constitué M. </w:t>
      </w:r>
      <w:r w:rsidR="00AB3670">
        <w:rPr>
          <w:rFonts w:eastAsia="Times New Roman" w:cs="Arial"/>
          <w:sz w:val="22"/>
          <w:lang w:eastAsia="fr-FR"/>
        </w:rPr>
        <w:t>X</w:t>
      </w:r>
      <w:r w:rsidRPr="00285E15">
        <w:rPr>
          <w:rFonts w:eastAsia="Times New Roman" w:cs="Arial"/>
          <w:sz w:val="22"/>
          <w:lang w:eastAsia="fr-FR"/>
        </w:rPr>
        <w:t xml:space="preserve"> débiteur de la communauté d’agglomération</w:t>
      </w:r>
      <w:r w:rsidRPr="00285E15">
        <w:rPr>
          <w:sz w:val="22"/>
        </w:rPr>
        <w:t xml:space="preserve"> </w:t>
      </w:r>
      <w:r w:rsidRPr="00285E15">
        <w:rPr>
          <w:rFonts w:eastAsia="Times New Roman" w:cs="Arial"/>
          <w:sz w:val="22"/>
          <w:lang w:eastAsia="fr-FR"/>
        </w:rPr>
        <w:t>de la somme de 117</w:t>
      </w:r>
      <w:r w:rsidR="004F3CBF">
        <w:rPr>
          <w:rFonts w:eastAsia="Times New Roman" w:cs="Arial"/>
          <w:sz w:val="22"/>
          <w:lang w:eastAsia="fr-FR"/>
        </w:rPr>
        <w:t> </w:t>
      </w:r>
      <w:r w:rsidRPr="00285E15">
        <w:rPr>
          <w:rFonts w:eastAsia="Times New Roman" w:cs="Arial"/>
          <w:sz w:val="22"/>
          <w:lang w:eastAsia="fr-FR"/>
        </w:rPr>
        <w:t>379</w:t>
      </w:r>
      <w:r w:rsidR="004F3CBF">
        <w:rPr>
          <w:rFonts w:eastAsia="Times New Roman" w:cs="Arial"/>
          <w:sz w:val="22"/>
          <w:lang w:eastAsia="fr-FR"/>
        </w:rPr>
        <w:t> </w:t>
      </w:r>
      <w:r w:rsidRPr="00285E15">
        <w:rPr>
          <w:rFonts w:eastAsia="Times New Roman" w:cs="Arial"/>
          <w:sz w:val="22"/>
          <w:lang w:eastAsia="fr-FR"/>
        </w:rPr>
        <w:t>€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qu’en raison de l’effet dévolutif de l’appel, il convient de statuer sur la 4</w:t>
      </w:r>
      <w:r w:rsidRPr="00285E15">
        <w:rPr>
          <w:rFonts w:eastAsia="Times New Roman" w:cs="Arial"/>
          <w:sz w:val="22"/>
          <w:vertAlign w:val="superscript"/>
          <w:lang w:eastAsia="fr-FR"/>
        </w:rPr>
        <w:t>ème</w:t>
      </w:r>
      <w:r w:rsidR="004F3CBF">
        <w:rPr>
          <w:rFonts w:eastAsia="Times New Roman" w:cs="Arial"/>
          <w:sz w:val="22"/>
          <w:vertAlign w:val="superscript"/>
          <w:lang w:eastAsia="fr-FR"/>
        </w:rPr>
        <w:t> </w:t>
      </w:r>
      <w:r w:rsidRPr="00285E15">
        <w:rPr>
          <w:rFonts w:eastAsia="Times New Roman" w:cs="Arial"/>
          <w:sz w:val="22"/>
          <w:lang w:eastAsia="fr-FR"/>
        </w:rPr>
        <w:t>présomption de charge du réquisitoire du procureur financier susvisé ;</w:t>
      </w:r>
    </w:p>
    <w:p w:rsidR="00285E15" w:rsidRPr="00285E15" w:rsidRDefault="00285E15" w:rsidP="00285E15">
      <w:pPr>
        <w:spacing w:before="240" w:after="240" w:line="240" w:lineRule="auto"/>
        <w:jc w:val="both"/>
        <w:rPr>
          <w:rFonts w:eastAsia="Times New Roman" w:cs="Arial"/>
          <w:b/>
          <w:i/>
          <w:sz w:val="22"/>
          <w:lang w:eastAsia="fr-FR"/>
        </w:rPr>
      </w:pPr>
      <w:r w:rsidRPr="00285E15">
        <w:rPr>
          <w:rFonts w:eastAsia="Times New Roman" w:cs="Arial"/>
          <w:b/>
          <w:i/>
          <w:sz w:val="22"/>
          <w:lang w:eastAsia="fr-FR"/>
        </w:rPr>
        <w:t>Sur la somme irrémissible</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qu’aux termes du VI de l’article 60 de la loi de 1963 susvisée « </w:t>
      </w:r>
      <w:r w:rsidRPr="00285E15">
        <w:rPr>
          <w:rFonts w:eastAsia="Times New Roman" w:cs="Arial"/>
          <w:i/>
          <w:sz w:val="22"/>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sidRPr="00285E15">
        <w:rPr>
          <w:rFonts w:eastAsia="Times New Roman" w:cs="Arial"/>
          <w:sz w:val="22"/>
          <w:lang w:eastAsia="fr-FR"/>
        </w:rPr>
        <w:t> »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le jugement entrepris, au titre des 1</w:t>
      </w:r>
      <w:r w:rsidRPr="00285E15">
        <w:rPr>
          <w:rFonts w:eastAsia="Times New Roman" w:cs="Arial"/>
          <w:sz w:val="22"/>
          <w:vertAlign w:val="superscript"/>
          <w:lang w:eastAsia="fr-FR"/>
        </w:rPr>
        <w:t>ère</w:t>
      </w:r>
      <w:r w:rsidRPr="00285E15">
        <w:rPr>
          <w:rFonts w:eastAsia="Times New Roman" w:cs="Arial"/>
          <w:sz w:val="22"/>
          <w:lang w:eastAsia="fr-FR"/>
        </w:rPr>
        <w:t xml:space="preserve"> et 2</w:t>
      </w:r>
      <w:r w:rsidRPr="00285E15">
        <w:rPr>
          <w:rFonts w:eastAsia="Times New Roman" w:cs="Arial"/>
          <w:sz w:val="22"/>
          <w:vertAlign w:val="superscript"/>
          <w:lang w:eastAsia="fr-FR"/>
        </w:rPr>
        <w:t>ème</w:t>
      </w:r>
      <w:r w:rsidRPr="00285E15">
        <w:rPr>
          <w:rFonts w:eastAsia="Times New Roman" w:cs="Arial"/>
          <w:sz w:val="22"/>
          <w:lang w:eastAsia="fr-FR"/>
        </w:rPr>
        <w:t xml:space="preserve"> présomptions de charge du réquisitoire du procureur financier, a mis à la charge de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 xml:space="preserve"> la somme irrémissible de 256</w:t>
      </w:r>
      <w:r w:rsidR="004F3CBF">
        <w:rPr>
          <w:rFonts w:eastAsia="Times New Roman" w:cs="Arial"/>
          <w:sz w:val="22"/>
          <w:lang w:eastAsia="fr-FR"/>
        </w:rPr>
        <w:t> </w:t>
      </w:r>
      <w:r w:rsidRPr="00285E15">
        <w:rPr>
          <w:rFonts w:eastAsia="Times New Roman" w:cs="Arial"/>
          <w:sz w:val="22"/>
          <w:lang w:eastAsia="fr-FR"/>
        </w:rPr>
        <w:t>€ au titre de l’exercice 2008 en raison du paiement,</w:t>
      </w:r>
      <w:r w:rsidRPr="00285E15">
        <w:rPr>
          <w:sz w:val="22"/>
        </w:rPr>
        <w:t xml:space="preserve"> </w:t>
      </w:r>
      <w:r w:rsidRPr="00285E15">
        <w:rPr>
          <w:rFonts w:eastAsia="Times New Roman" w:cs="Arial"/>
          <w:sz w:val="22"/>
          <w:lang w:eastAsia="fr-FR"/>
        </w:rPr>
        <w:t>dans le cadre de deux conventions de mandats, de deux avances à la SEMAEM</w:t>
      </w:r>
      <w:r w:rsidRPr="00285E15">
        <w:rPr>
          <w:sz w:val="22"/>
        </w:rPr>
        <w:t xml:space="preserve"> </w:t>
      </w:r>
      <w:r w:rsidRPr="00285E15">
        <w:rPr>
          <w:rFonts w:cs="Arial"/>
          <w:sz w:val="22"/>
        </w:rPr>
        <w:t>qui n’étaient pas justifiés par des</w:t>
      </w:r>
      <w:r w:rsidRPr="00285E15">
        <w:rPr>
          <w:rFonts w:eastAsia="Times New Roman" w:cs="Arial"/>
          <w:sz w:val="22"/>
          <w:lang w:eastAsia="fr-FR"/>
        </w:rPr>
        <w:t xml:space="preserve"> décomptes de l’emploi des fonds déjà versés, comme prévu par ces conventions, mais qui ne conduisaient pas à dépasser les montants totaux des avances autorisés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dans sa requête, en cas d’infirmation du débet, l’appelant demande d’abord que le manquement au titre de la 4</w:t>
      </w:r>
      <w:r w:rsidRPr="00285E15">
        <w:rPr>
          <w:rFonts w:eastAsia="Times New Roman" w:cs="Arial"/>
          <w:sz w:val="22"/>
          <w:vertAlign w:val="superscript"/>
          <w:lang w:eastAsia="fr-FR"/>
        </w:rPr>
        <w:t>ème</w:t>
      </w:r>
      <w:r w:rsidRPr="00285E15">
        <w:rPr>
          <w:rFonts w:eastAsia="Times New Roman" w:cs="Arial"/>
          <w:sz w:val="22"/>
          <w:lang w:eastAsia="fr-FR"/>
        </w:rPr>
        <w:t xml:space="preserve"> présomption de charge soit assimilé à ceux au titre des deux premières et, qu’à défaut, les « </w:t>
      </w:r>
      <w:r w:rsidRPr="00285E15">
        <w:rPr>
          <w:rFonts w:eastAsia="Times New Roman" w:cs="Arial"/>
          <w:i/>
          <w:sz w:val="22"/>
          <w:lang w:eastAsia="fr-FR"/>
        </w:rPr>
        <w:t>circonstances exceptionnelles</w:t>
      </w:r>
      <w:r w:rsidRPr="00285E15">
        <w:rPr>
          <w:rFonts w:eastAsia="Times New Roman" w:cs="Arial"/>
          <w:sz w:val="22"/>
          <w:lang w:eastAsia="fr-FR"/>
        </w:rPr>
        <w:t xml:space="preserve"> » de l’année 2008 soient prises en considération pour fixer </w:t>
      </w:r>
      <w:r w:rsidRPr="00285E15">
        <w:rPr>
          <w:rFonts w:eastAsia="Times New Roman" w:cs="Arial"/>
          <w:i/>
          <w:sz w:val="22"/>
          <w:lang w:eastAsia="fr-FR"/>
        </w:rPr>
        <w:t>a minima</w:t>
      </w:r>
      <w:r w:rsidRPr="00285E15">
        <w:rPr>
          <w:rFonts w:eastAsia="Times New Roman" w:cs="Arial"/>
          <w:sz w:val="22"/>
          <w:lang w:eastAsia="fr-FR"/>
        </w:rPr>
        <w:t xml:space="preserve"> la somme qui serait laissée à sa charge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le manquement au titre de la 4</w:t>
      </w:r>
      <w:r w:rsidRPr="00285E15">
        <w:rPr>
          <w:rFonts w:eastAsia="Times New Roman" w:cs="Arial"/>
          <w:sz w:val="22"/>
          <w:vertAlign w:val="superscript"/>
          <w:lang w:eastAsia="fr-FR"/>
        </w:rPr>
        <w:t>ème</w:t>
      </w:r>
      <w:r w:rsidRPr="00285E15">
        <w:rPr>
          <w:rFonts w:eastAsia="Times New Roman" w:cs="Arial"/>
          <w:sz w:val="22"/>
          <w:lang w:eastAsia="fr-FR"/>
        </w:rPr>
        <w:t xml:space="preserve"> présomption de charge est d’une nature différente de ceux au titre des deux premières présomptions ; qu’il s’agit en effet du paiement d’une participation portant le total des participations versées au-delà du montant prévisionnel mentionné dans une convention publique d’aménagement, sans disposer de la délibération </w:t>
      </w:r>
      <w:r w:rsidRPr="00285E15">
        <w:rPr>
          <w:rFonts w:eastAsia="Times New Roman" w:cs="Arial"/>
          <w:i/>
          <w:sz w:val="22"/>
          <w:lang w:eastAsia="fr-FR"/>
        </w:rPr>
        <w:t>ad hoc</w:t>
      </w:r>
      <w:r w:rsidRPr="00285E15">
        <w:rPr>
          <w:rFonts w:eastAsia="Times New Roman" w:cs="Arial"/>
          <w:sz w:val="22"/>
          <w:lang w:eastAsia="fr-FR"/>
        </w:rPr>
        <w:t>, formellement prévue dans la convention, en cas de dépassement ; qu’il</w:t>
      </w:r>
      <w:r w:rsidR="00A01BD2">
        <w:rPr>
          <w:rFonts w:eastAsia="Times New Roman" w:cs="Arial"/>
          <w:sz w:val="22"/>
          <w:lang w:eastAsia="fr-FR"/>
        </w:rPr>
        <w:t xml:space="preserve"> </w:t>
      </w:r>
      <w:r w:rsidRPr="00285E15">
        <w:rPr>
          <w:rFonts w:eastAsia="Times New Roman" w:cs="Arial"/>
          <w:sz w:val="22"/>
          <w:lang w:eastAsia="fr-FR"/>
        </w:rPr>
        <w:t>ne peut donc être fait droit à la demande de confusion des laissés à charge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la chambre régionale avait, comme susdit, fixé à 256</w:t>
      </w:r>
      <w:r w:rsidR="00A87B79">
        <w:rPr>
          <w:rFonts w:eastAsia="Times New Roman" w:cs="Arial"/>
          <w:sz w:val="22"/>
          <w:lang w:eastAsia="fr-FR"/>
        </w:rPr>
        <w:t> </w:t>
      </w:r>
      <w:r w:rsidRPr="00285E15">
        <w:rPr>
          <w:rFonts w:eastAsia="Times New Roman" w:cs="Arial"/>
          <w:sz w:val="22"/>
          <w:lang w:eastAsia="fr-FR"/>
        </w:rPr>
        <w:t>€ la somme irrémissible à la charge de M. </w:t>
      </w:r>
      <w:r w:rsidR="00AB3670">
        <w:rPr>
          <w:rFonts w:eastAsia="Times New Roman" w:cs="Arial"/>
          <w:sz w:val="22"/>
          <w:lang w:eastAsia="fr-FR"/>
        </w:rPr>
        <w:t>X</w:t>
      </w:r>
      <w:r w:rsidRPr="00285E15">
        <w:rPr>
          <w:rFonts w:eastAsia="Times New Roman" w:cs="Arial"/>
          <w:sz w:val="22"/>
          <w:lang w:eastAsia="fr-FR"/>
        </w:rPr>
        <w:t xml:space="preserve"> pour les manquements au titre des 1</w:t>
      </w:r>
      <w:r w:rsidRPr="00285E15">
        <w:rPr>
          <w:rFonts w:eastAsia="Times New Roman" w:cs="Arial"/>
          <w:sz w:val="22"/>
          <w:vertAlign w:val="superscript"/>
          <w:lang w:eastAsia="fr-FR"/>
        </w:rPr>
        <w:t>ère</w:t>
      </w:r>
      <w:r w:rsidRPr="00285E15">
        <w:rPr>
          <w:rFonts w:eastAsia="Times New Roman" w:cs="Arial"/>
          <w:sz w:val="22"/>
          <w:lang w:eastAsia="fr-FR"/>
        </w:rPr>
        <w:t xml:space="preserve"> et 2</w:t>
      </w:r>
      <w:r w:rsidRPr="00285E15">
        <w:rPr>
          <w:rFonts w:eastAsia="Times New Roman" w:cs="Arial"/>
          <w:sz w:val="22"/>
          <w:vertAlign w:val="superscript"/>
          <w:lang w:eastAsia="fr-FR"/>
        </w:rPr>
        <w:t>ème</w:t>
      </w:r>
      <w:r w:rsidRPr="00285E15">
        <w:rPr>
          <w:rFonts w:eastAsia="Times New Roman" w:cs="Arial"/>
          <w:sz w:val="22"/>
          <w:lang w:eastAsia="fr-FR"/>
        </w:rPr>
        <w:t xml:space="preserve"> présomptions de charge,</w:t>
      </w:r>
      <w:r w:rsidRPr="00285E15">
        <w:rPr>
          <w:sz w:val="22"/>
        </w:rPr>
        <w:t xml:space="preserve"> </w:t>
      </w:r>
      <w:r w:rsidRPr="00285E15">
        <w:rPr>
          <w:rFonts w:eastAsia="Times New Roman" w:cs="Arial"/>
          <w:sz w:val="22"/>
          <w:lang w:eastAsia="fr-FR"/>
        </w:rPr>
        <w:t>soit au montant maximal prévu par la réglementation, « </w:t>
      </w:r>
      <w:r w:rsidRPr="00285E15">
        <w:rPr>
          <w:rFonts w:eastAsia="Times New Roman" w:cs="Arial"/>
          <w:i/>
          <w:sz w:val="22"/>
          <w:lang w:eastAsia="fr-FR"/>
        </w:rPr>
        <w:t>aucune circonstance ne justifiant une minoration</w:t>
      </w:r>
      <w:r w:rsidRPr="00285E15">
        <w:rPr>
          <w:rFonts w:eastAsia="Times New Roman" w:cs="Arial"/>
          <w:sz w:val="22"/>
          <w:lang w:eastAsia="fr-FR"/>
        </w:rPr>
        <w:t> » selon le jugement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 xml:space="preserve">Attendu que l’appelant fait valoir, comme circonstance exceptionnelle, la lourdeur particulière de la charge de travail du poste comptable en 2008, notamment au deuxième semestre, en raison de la mise en service du nouveau progiciel comptable </w:t>
      </w:r>
      <w:r w:rsidRPr="00285E15">
        <w:rPr>
          <w:rFonts w:eastAsia="Times New Roman" w:cs="Arial"/>
          <w:i/>
          <w:sz w:val="22"/>
          <w:lang w:eastAsia="fr-FR"/>
        </w:rPr>
        <w:t>HELIOS</w:t>
      </w:r>
      <w:r w:rsidRPr="00285E15">
        <w:rPr>
          <w:rFonts w:eastAsia="Times New Roman" w:cs="Arial"/>
          <w:sz w:val="22"/>
          <w:lang w:eastAsia="fr-FR"/>
        </w:rPr>
        <w:t> ; que pour autant, il n’a pas contesté que la chambre régionale, pour les autres manquements constatés également en 2008, ait considéré qu’aucune circonstance ne justifiait une minoration de la somme laissée à sa charge par rapport au plafond réglementaire ;</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Attendu que, dès lors, eu égard à la nature du manquement, il sera fait une juste appréciation des circonstances de l’espèce en fixant à 256</w:t>
      </w:r>
      <w:r w:rsidR="00A01BD2">
        <w:rPr>
          <w:rFonts w:eastAsia="Times New Roman" w:cs="Arial"/>
          <w:sz w:val="22"/>
          <w:lang w:eastAsia="fr-FR"/>
        </w:rPr>
        <w:t> </w:t>
      </w:r>
      <w:r w:rsidRPr="00285E15">
        <w:rPr>
          <w:rFonts w:eastAsia="Times New Roman" w:cs="Arial"/>
          <w:sz w:val="22"/>
          <w:lang w:eastAsia="fr-FR"/>
        </w:rPr>
        <w:t>€ la somme laissée à la charge de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w:t>
      </w:r>
    </w:p>
    <w:p w:rsidR="00285E15" w:rsidRPr="00285E15" w:rsidRDefault="00285E15" w:rsidP="00285E15">
      <w:pPr>
        <w:spacing w:before="240" w:after="240" w:line="240" w:lineRule="auto"/>
        <w:jc w:val="both"/>
        <w:rPr>
          <w:rFonts w:eastAsia="Times New Roman" w:cs="Arial"/>
          <w:sz w:val="22"/>
          <w:lang w:eastAsia="fr-FR"/>
        </w:rPr>
      </w:pPr>
      <w:r w:rsidRPr="00285E15">
        <w:rPr>
          <w:rFonts w:eastAsia="Times New Roman" w:cs="Arial"/>
          <w:sz w:val="22"/>
          <w:lang w:eastAsia="fr-FR"/>
        </w:rPr>
        <w:t>Par ces motifs,</w:t>
      </w:r>
    </w:p>
    <w:p w:rsidR="00285E15" w:rsidRPr="00285E15" w:rsidRDefault="00285E15" w:rsidP="00285E15">
      <w:pPr>
        <w:spacing w:before="240" w:after="240" w:line="240" w:lineRule="auto"/>
        <w:jc w:val="center"/>
        <w:rPr>
          <w:rFonts w:eastAsia="Times New Roman" w:cs="Arial"/>
          <w:sz w:val="22"/>
          <w:lang w:eastAsia="fr-FR"/>
        </w:rPr>
      </w:pPr>
      <w:r w:rsidRPr="00285E15">
        <w:rPr>
          <w:rFonts w:eastAsia="Times New Roman" w:cs="Arial"/>
          <w:b/>
          <w:sz w:val="22"/>
          <w:lang w:eastAsia="fr-FR"/>
        </w:rPr>
        <w:t>D</w:t>
      </w:r>
      <w:r w:rsidR="006E6836">
        <w:rPr>
          <w:rFonts w:eastAsia="Times New Roman" w:cs="Arial"/>
          <w:b/>
          <w:sz w:val="22"/>
          <w:lang w:eastAsia="fr-FR"/>
        </w:rPr>
        <w:t>E</w:t>
      </w:r>
      <w:r w:rsidRPr="00285E15">
        <w:rPr>
          <w:rFonts w:eastAsia="Times New Roman" w:cs="Arial"/>
          <w:b/>
          <w:sz w:val="22"/>
          <w:lang w:eastAsia="fr-FR"/>
        </w:rPr>
        <w:t>CIDE</w:t>
      </w:r>
      <w:r w:rsidRPr="00285E15">
        <w:rPr>
          <w:rFonts w:eastAsia="Times New Roman" w:cs="Arial"/>
          <w:sz w:val="22"/>
          <w:lang w:eastAsia="fr-FR"/>
        </w:rPr>
        <w:t> :</w:t>
      </w:r>
    </w:p>
    <w:p w:rsidR="00285E15" w:rsidRPr="00285E15" w:rsidRDefault="00285E15" w:rsidP="00285E15">
      <w:pPr>
        <w:spacing w:before="240" w:after="240" w:line="240" w:lineRule="auto"/>
        <w:jc w:val="both"/>
        <w:rPr>
          <w:rFonts w:eastAsia="Times New Roman" w:cs="Arial"/>
          <w:sz w:val="22"/>
          <w:lang w:eastAsia="fr-FR"/>
        </w:rPr>
      </w:pPr>
      <w:r w:rsidRPr="00A01BD2">
        <w:rPr>
          <w:rFonts w:eastAsia="Times New Roman" w:cs="Arial"/>
          <w:b/>
          <w:sz w:val="22"/>
          <w:u w:val="single"/>
          <w:lang w:eastAsia="fr-FR"/>
        </w:rPr>
        <w:t>Article 1</w:t>
      </w:r>
      <w:r w:rsidRPr="00A01BD2">
        <w:rPr>
          <w:rFonts w:eastAsia="Times New Roman" w:cs="Arial"/>
          <w:b/>
          <w:sz w:val="22"/>
          <w:u w:val="single"/>
          <w:vertAlign w:val="superscript"/>
          <w:lang w:eastAsia="fr-FR"/>
        </w:rPr>
        <w:t>er</w:t>
      </w:r>
      <w:r w:rsidRPr="00285E15">
        <w:rPr>
          <w:rFonts w:eastAsia="Times New Roman" w:cs="Arial"/>
          <w:b/>
          <w:sz w:val="22"/>
          <w:lang w:eastAsia="fr-FR"/>
        </w:rPr>
        <w:t> – </w:t>
      </w:r>
      <w:r w:rsidRPr="00285E15">
        <w:rPr>
          <w:rFonts w:eastAsia="Times New Roman" w:cs="Arial"/>
          <w:sz w:val="22"/>
          <w:lang w:eastAsia="fr-FR"/>
        </w:rPr>
        <w:t xml:space="preserve">Le jugement n° 2013-0018 du 14 novembre 2013 de la chambre régionale des comptes </w:t>
      </w:r>
      <w:r w:rsidR="004F3CBF">
        <w:rPr>
          <w:rFonts w:eastAsia="Times New Roman" w:cs="Arial"/>
          <w:sz w:val="22"/>
          <w:lang w:eastAsia="fr-FR"/>
        </w:rPr>
        <w:t xml:space="preserve">de Midi-Pyrénées </w:t>
      </w:r>
      <w:r w:rsidRPr="00285E15">
        <w:rPr>
          <w:rFonts w:eastAsia="Times New Roman" w:cs="Arial"/>
          <w:sz w:val="22"/>
          <w:lang w:eastAsia="fr-FR"/>
        </w:rPr>
        <w:t>est infirmé en ce qu’il a constitué M. </w:t>
      </w:r>
      <w:r w:rsidR="00AB3670">
        <w:rPr>
          <w:rFonts w:eastAsia="Times New Roman" w:cs="Arial"/>
          <w:sz w:val="22"/>
          <w:lang w:eastAsia="fr-FR"/>
        </w:rPr>
        <w:t>X</w:t>
      </w:r>
      <w:r w:rsidRPr="00285E15">
        <w:rPr>
          <w:rFonts w:eastAsia="Times New Roman" w:cs="Arial"/>
          <w:sz w:val="22"/>
          <w:lang w:eastAsia="fr-FR"/>
        </w:rPr>
        <w:t>, comptable de la communauté d’agglomération du Grand Montauban, débiteur de cette communauté de la somme de 117</w:t>
      </w:r>
      <w:r w:rsidR="004F3CBF">
        <w:rPr>
          <w:rFonts w:eastAsia="Times New Roman" w:cs="Arial"/>
          <w:sz w:val="22"/>
          <w:lang w:eastAsia="fr-FR"/>
        </w:rPr>
        <w:t> </w:t>
      </w:r>
      <w:r w:rsidRPr="00285E15">
        <w:rPr>
          <w:rFonts w:eastAsia="Times New Roman" w:cs="Arial"/>
          <w:sz w:val="22"/>
          <w:lang w:eastAsia="fr-FR"/>
        </w:rPr>
        <w:t>379</w:t>
      </w:r>
      <w:r w:rsidR="004F3CBF">
        <w:rPr>
          <w:rFonts w:eastAsia="Times New Roman" w:cs="Arial"/>
          <w:sz w:val="22"/>
          <w:lang w:eastAsia="fr-FR"/>
        </w:rPr>
        <w:t> </w:t>
      </w:r>
      <w:r w:rsidRPr="00285E15">
        <w:rPr>
          <w:rFonts w:eastAsia="Times New Roman" w:cs="Arial"/>
          <w:sz w:val="22"/>
          <w:lang w:eastAsia="fr-FR"/>
        </w:rPr>
        <w:t>€.</w:t>
      </w:r>
    </w:p>
    <w:p w:rsidR="00285E15" w:rsidRPr="00285E15" w:rsidRDefault="00285E15" w:rsidP="00285E15">
      <w:pPr>
        <w:spacing w:before="240" w:after="240" w:line="240" w:lineRule="auto"/>
        <w:jc w:val="both"/>
        <w:rPr>
          <w:rFonts w:eastAsia="Times New Roman" w:cs="Arial"/>
          <w:sz w:val="22"/>
          <w:lang w:eastAsia="fr-FR"/>
        </w:rPr>
      </w:pPr>
      <w:r w:rsidRPr="00A01BD2">
        <w:rPr>
          <w:rFonts w:eastAsia="Times New Roman" w:cs="Arial"/>
          <w:b/>
          <w:sz w:val="22"/>
          <w:u w:val="single"/>
          <w:lang w:eastAsia="fr-FR"/>
        </w:rPr>
        <w:lastRenderedPageBreak/>
        <w:t>Article 2</w:t>
      </w:r>
      <w:r w:rsidRPr="00285E15">
        <w:rPr>
          <w:rFonts w:eastAsia="Times New Roman" w:cs="Arial"/>
          <w:b/>
          <w:sz w:val="22"/>
          <w:lang w:eastAsia="fr-FR"/>
        </w:rPr>
        <w:t> </w:t>
      </w:r>
      <w:r w:rsidRPr="00285E15">
        <w:rPr>
          <w:rFonts w:eastAsia="Times New Roman" w:cs="Arial"/>
          <w:sz w:val="22"/>
          <w:lang w:eastAsia="fr-FR"/>
        </w:rPr>
        <w:t>– La somme de 256</w:t>
      </w:r>
      <w:r w:rsidR="004F3CBF">
        <w:rPr>
          <w:rFonts w:eastAsia="Times New Roman" w:cs="Arial"/>
          <w:sz w:val="22"/>
          <w:lang w:eastAsia="fr-FR"/>
        </w:rPr>
        <w:t> </w:t>
      </w:r>
      <w:r w:rsidRPr="00285E15">
        <w:rPr>
          <w:rFonts w:eastAsia="Times New Roman" w:cs="Arial"/>
          <w:sz w:val="22"/>
          <w:lang w:eastAsia="fr-FR"/>
        </w:rPr>
        <w:t>€ est mise à la charge de M.</w:t>
      </w:r>
      <w:r w:rsidR="004F3CBF">
        <w:rPr>
          <w:rFonts w:eastAsia="Times New Roman" w:cs="Arial"/>
          <w:sz w:val="22"/>
          <w:lang w:eastAsia="fr-FR"/>
        </w:rPr>
        <w:t> </w:t>
      </w:r>
      <w:r w:rsidR="00AB3670">
        <w:rPr>
          <w:rFonts w:eastAsia="Times New Roman" w:cs="Arial"/>
          <w:sz w:val="22"/>
          <w:lang w:eastAsia="fr-FR"/>
        </w:rPr>
        <w:t>X</w:t>
      </w:r>
      <w:r w:rsidRPr="00285E15">
        <w:rPr>
          <w:rFonts w:eastAsia="Times New Roman" w:cs="Arial"/>
          <w:sz w:val="22"/>
          <w:lang w:eastAsia="fr-FR"/>
        </w:rPr>
        <w:t>, pour l’exercice</w:t>
      </w:r>
      <w:r w:rsidR="004F3CBF">
        <w:rPr>
          <w:rFonts w:eastAsia="Times New Roman" w:cs="Arial"/>
          <w:sz w:val="22"/>
          <w:lang w:eastAsia="fr-FR"/>
        </w:rPr>
        <w:t> </w:t>
      </w:r>
      <w:r w:rsidRPr="00285E15">
        <w:rPr>
          <w:rFonts w:eastAsia="Times New Roman" w:cs="Arial"/>
          <w:sz w:val="22"/>
          <w:lang w:eastAsia="fr-FR"/>
        </w:rPr>
        <w:t>2008, au titre de la quatrième présomption de charge du réquisitoire du procureur financier près la chambre régionale des comptes de Midi-Pyrénées du 18 mars 2013.</w:t>
      </w:r>
    </w:p>
    <w:p w:rsidR="00285E15" w:rsidRPr="00285E15" w:rsidRDefault="00285E15" w:rsidP="00285E15">
      <w:pPr>
        <w:tabs>
          <w:tab w:val="center" w:pos="5245"/>
        </w:tabs>
        <w:spacing w:before="120" w:after="360" w:line="240" w:lineRule="auto"/>
        <w:jc w:val="center"/>
        <w:rPr>
          <w:rFonts w:eastAsia="Times New Roman" w:cs="Arial"/>
          <w:sz w:val="22"/>
          <w:lang w:eastAsia="fr-FR"/>
        </w:rPr>
      </w:pPr>
      <w:r w:rsidRPr="00285E15">
        <w:rPr>
          <w:rFonts w:eastAsia="Times New Roman" w:cs="Arial"/>
          <w:sz w:val="22"/>
          <w:lang w:eastAsia="fr-FR"/>
        </w:rPr>
        <w:t>------------</w:t>
      </w:r>
    </w:p>
    <w:p w:rsidR="007B699E" w:rsidRPr="00A272BF" w:rsidRDefault="007B699E" w:rsidP="007B699E">
      <w:pPr>
        <w:spacing w:before="120" w:after="360" w:line="240" w:lineRule="auto"/>
        <w:jc w:val="both"/>
        <w:rPr>
          <w:rFonts w:eastAsia="Times New Roman" w:cs="Arial"/>
          <w:sz w:val="22"/>
          <w:lang w:eastAsia="fr-FR"/>
        </w:rPr>
      </w:pPr>
      <w:r w:rsidRPr="00A272BF">
        <w:rPr>
          <w:rFonts w:eastAsia="Times New Roman" w:cs="Arial"/>
          <w:sz w:val="22"/>
          <w:lang w:eastAsia="fr-FR"/>
        </w:rPr>
        <w:t>Fait et jugé en la Cour des comptes, quatrième chambre, première section. Présents : M. Jean-Philippe VACHIA, président de chambre, président de la formation, M. Yves</w:t>
      </w:r>
      <w:r w:rsidR="00F503D1">
        <w:rPr>
          <w:rFonts w:eastAsia="Times New Roman" w:cs="Arial"/>
          <w:sz w:val="22"/>
          <w:lang w:eastAsia="fr-FR"/>
        </w:rPr>
        <w:t xml:space="preserve"> </w:t>
      </w:r>
      <w:r w:rsidRPr="00A272BF">
        <w:rPr>
          <w:rFonts w:eastAsia="Times New Roman" w:cs="Arial"/>
          <w:sz w:val="22"/>
          <w:lang w:eastAsia="fr-FR"/>
        </w:rPr>
        <w:t xml:space="preserve">ROLLAND, conseiller maître, président de section, </w:t>
      </w:r>
      <w:r w:rsidR="00A01BD2" w:rsidRPr="00A01BD2">
        <w:rPr>
          <w:rFonts w:eastAsia="Times New Roman" w:cs="Arial"/>
          <w:sz w:val="22"/>
          <w:lang w:eastAsia="fr-FR"/>
        </w:rPr>
        <w:t>M</w:t>
      </w:r>
      <w:r w:rsidR="00A01BD2" w:rsidRPr="00A01BD2">
        <w:rPr>
          <w:rFonts w:eastAsia="Times New Roman" w:cs="Arial"/>
          <w:sz w:val="22"/>
          <w:vertAlign w:val="superscript"/>
          <w:lang w:eastAsia="fr-FR"/>
        </w:rPr>
        <w:t>me</w:t>
      </w:r>
      <w:r w:rsidR="00A01BD2">
        <w:rPr>
          <w:rFonts w:eastAsia="Times New Roman" w:cs="Arial"/>
          <w:sz w:val="22"/>
          <w:lang w:eastAsia="fr-FR"/>
        </w:rPr>
        <w:t> </w:t>
      </w:r>
      <w:r w:rsidRPr="00A272BF">
        <w:rPr>
          <w:rFonts w:eastAsia="Times New Roman" w:cs="Arial"/>
          <w:sz w:val="22"/>
          <w:lang w:eastAsia="fr-FR"/>
        </w:rPr>
        <w:t>Anne FROMENT-MEURICE, présidente de chambre maintenue en activité, MM. Gérard GANSER,</w:t>
      </w:r>
      <w:r w:rsidR="00DB1F76">
        <w:rPr>
          <w:rFonts w:eastAsia="Times New Roman" w:cs="Arial"/>
          <w:sz w:val="22"/>
          <w:lang w:eastAsia="fr-FR"/>
        </w:rPr>
        <w:t xml:space="preserve"> </w:t>
      </w:r>
      <w:r w:rsidRPr="00A272BF">
        <w:rPr>
          <w:rFonts w:eastAsia="Times New Roman" w:cs="Arial"/>
          <w:sz w:val="22"/>
          <w:lang w:eastAsia="fr-FR"/>
        </w:rPr>
        <w:t xml:space="preserve">Jean-Pierre LAFAURE, Jean-Yves BERTUCCI, conseillers maîtres, </w:t>
      </w:r>
      <w:r w:rsidR="006C2EA9">
        <w:rPr>
          <w:rFonts w:eastAsia="Times New Roman" w:cs="Arial"/>
          <w:sz w:val="22"/>
          <w:lang w:eastAsia="fr-FR"/>
        </w:rPr>
        <w:t xml:space="preserve">et </w:t>
      </w:r>
      <w:r w:rsidR="00A01BD2" w:rsidRPr="00A01BD2">
        <w:rPr>
          <w:rFonts w:eastAsia="Times New Roman" w:cs="Arial"/>
          <w:sz w:val="22"/>
          <w:lang w:eastAsia="fr-FR"/>
        </w:rPr>
        <w:t>M</w:t>
      </w:r>
      <w:r w:rsidR="00A01BD2" w:rsidRPr="00A01BD2">
        <w:rPr>
          <w:rFonts w:eastAsia="Times New Roman" w:cs="Arial"/>
          <w:sz w:val="22"/>
          <w:vertAlign w:val="superscript"/>
          <w:lang w:eastAsia="fr-FR"/>
        </w:rPr>
        <w:t>me</w:t>
      </w:r>
      <w:r w:rsidR="00A01BD2">
        <w:rPr>
          <w:rFonts w:eastAsia="Times New Roman" w:cs="Arial"/>
          <w:sz w:val="22"/>
          <w:lang w:eastAsia="fr-FR"/>
        </w:rPr>
        <w:t> </w:t>
      </w:r>
      <w:r w:rsidRPr="00A272BF">
        <w:rPr>
          <w:rFonts w:eastAsia="Times New Roman" w:cs="Arial"/>
          <w:sz w:val="22"/>
          <w:lang w:eastAsia="fr-FR"/>
        </w:rPr>
        <w:t>Laurence ENGEL</w:t>
      </w:r>
      <w:r w:rsidR="006C2EA9">
        <w:rPr>
          <w:rFonts w:eastAsia="Times New Roman" w:cs="Arial"/>
          <w:sz w:val="22"/>
          <w:lang w:eastAsia="fr-FR"/>
        </w:rPr>
        <w:t>,</w:t>
      </w:r>
      <w:r w:rsidRPr="00A272BF">
        <w:rPr>
          <w:rFonts w:eastAsia="Times New Roman" w:cs="Arial"/>
          <w:sz w:val="22"/>
          <w:lang w:eastAsia="fr-FR"/>
        </w:rPr>
        <w:t xml:space="preserve"> conseillère maître.</w:t>
      </w:r>
    </w:p>
    <w:p w:rsidR="007B699E" w:rsidRPr="00A272BF" w:rsidRDefault="007B699E" w:rsidP="007B699E">
      <w:pPr>
        <w:tabs>
          <w:tab w:val="center" w:pos="4536"/>
          <w:tab w:val="right" w:pos="9072"/>
        </w:tabs>
        <w:spacing w:before="120" w:after="360" w:line="240" w:lineRule="auto"/>
        <w:jc w:val="both"/>
        <w:rPr>
          <w:rFonts w:eastAsia="Times New Roman" w:cs="Arial"/>
          <w:sz w:val="22"/>
          <w:lang w:eastAsia="fr-FR"/>
        </w:rPr>
      </w:pPr>
      <w:r w:rsidRPr="00A272BF">
        <w:rPr>
          <w:rFonts w:eastAsia="Times New Roman" w:cs="Arial"/>
          <w:sz w:val="22"/>
          <w:lang w:eastAsia="fr-FR"/>
        </w:rPr>
        <w:t>En présence de</w:t>
      </w:r>
      <w:r w:rsidR="007563EB">
        <w:rPr>
          <w:rFonts w:eastAsia="Times New Roman" w:cs="Arial"/>
          <w:sz w:val="22"/>
          <w:lang w:eastAsia="fr-FR"/>
        </w:rPr>
        <w:t xml:space="preserve"> </w:t>
      </w:r>
      <w:r w:rsidR="00A01BD2" w:rsidRPr="00A01BD2">
        <w:rPr>
          <w:rFonts w:eastAsia="Times New Roman" w:cs="Arial"/>
          <w:sz w:val="22"/>
          <w:lang w:eastAsia="fr-FR"/>
        </w:rPr>
        <w:t>M</w:t>
      </w:r>
      <w:r w:rsidR="00A01BD2" w:rsidRPr="00A01BD2">
        <w:rPr>
          <w:rFonts w:eastAsia="Times New Roman" w:cs="Arial"/>
          <w:sz w:val="22"/>
          <w:vertAlign w:val="superscript"/>
          <w:lang w:eastAsia="fr-FR"/>
        </w:rPr>
        <w:t>me</w:t>
      </w:r>
      <w:r w:rsidR="00A01BD2">
        <w:rPr>
          <w:rFonts w:eastAsia="Times New Roman" w:cs="Arial"/>
          <w:sz w:val="22"/>
          <w:lang w:eastAsia="fr-FR"/>
        </w:rPr>
        <w:t> </w:t>
      </w:r>
      <w:bookmarkStart w:id="0" w:name="_GoBack"/>
      <w:bookmarkEnd w:id="0"/>
      <w:r w:rsidR="007563EB">
        <w:rPr>
          <w:rFonts w:eastAsia="Times New Roman" w:cs="Arial"/>
          <w:sz w:val="22"/>
          <w:lang w:eastAsia="fr-FR"/>
        </w:rPr>
        <w:t>Annie LE BARON</w:t>
      </w:r>
      <w:r w:rsidRPr="00A272BF">
        <w:rPr>
          <w:rFonts w:eastAsia="Times New Roman" w:cs="Arial"/>
          <w:sz w:val="22"/>
          <w:lang w:eastAsia="fr-FR"/>
        </w:rPr>
        <w:t>, greffière de séance.</w:t>
      </w:r>
    </w:p>
    <w:tbl>
      <w:tblPr>
        <w:tblW w:w="0" w:type="auto"/>
        <w:tblInd w:w="34" w:type="dxa"/>
        <w:tblLook w:val="00A0" w:firstRow="1" w:lastRow="0" w:firstColumn="1" w:lastColumn="0" w:noHBand="0" w:noVBand="0"/>
      </w:tblPr>
      <w:tblGrid>
        <w:gridCol w:w="4628"/>
        <w:gridCol w:w="4624"/>
      </w:tblGrid>
      <w:tr w:rsidR="006A6A2B" w:rsidRPr="00A272BF" w:rsidTr="00A87B79">
        <w:tc>
          <w:tcPr>
            <w:tcW w:w="4628" w:type="dxa"/>
          </w:tcPr>
          <w:p w:rsidR="006A6A2B" w:rsidRDefault="00041452" w:rsidP="00C03789">
            <w:pPr>
              <w:tabs>
                <w:tab w:val="center" w:pos="4536"/>
                <w:tab w:val="right" w:pos="9072"/>
              </w:tabs>
              <w:spacing w:line="240" w:lineRule="auto"/>
              <w:jc w:val="center"/>
              <w:rPr>
                <w:rFonts w:eastAsia="Times New Roman" w:cs="Arial"/>
                <w:b/>
                <w:sz w:val="22"/>
                <w:lang w:eastAsia="fr-FR"/>
              </w:rPr>
            </w:pPr>
          </w:p>
          <w:p w:rsidR="00A87B79" w:rsidRPr="00A272BF" w:rsidRDefault="00A87B79" w:rsidP="00C03789">
            <w:pPr>
              <w:tabs>
                <w:tab w:val="center" w:pos="4536"/>
                <w:tab w:val="right" w:pos="9072"/>
              </w:tabs>
              <w:spacing w:line="240" w:lineRule="auto"/>
              <w:jc w:val="center"/>
              <w:rPr>
                <w:rFonts w:eastAsia="Times New Roman" w:cs="Arial"/>
                <w:b/>
                <w:sz w:val="22"/>
                <w:lang w:eastAsia="fr-FR"/>
              </w:rPr>
            </w:pPr>
          </w:p>
          <w:p w:rsidR="006A6A2B" w:rsidRPr="00A272BF" w:rsidRDefault="00041452" w:rsidP="00C03789">
            <w:pPr>
              <w:tabs>
                <w:tab w:val="center" w:pos="4536"/>
                <w:tab w:val="right" w:pos="9072"/>
              </w:tabs>
              <w:spacing w:line="240" w:lineRule="auto"/>
              <w:jc w:val="center"/>
              <w:rPr>
                <w:rFonts w:eastAsia="Times New Roman" w:cs="Arial"/>
                <w:b/>
                <w:sz w:val="22"/>
                <w:lang w:eastAsia="fr-FR"/>
              </w:rPr>
            </w:pPr>
          </w:p>
          <w:p w:rsidR="006A6A2B" w:rsidRDefault="00041452"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6A6A2B" w:rsidRPr="00A272BF" w:rsidRDefault="007563EB" w:rsidP="00C03789">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6A6A2B" w:rsidRPr="00A272BF" w:rsidRDefault="00041452" w:rsidP="00C03789">
            <w:pPr>
              <w:tabs>
                <w:tab w:val="center" w:pos="4536"/>
                <w:tab w:val="right" w:pos="9072"/>
              </w:tabs>
              <w:jc w:val="center"/>
              <w:rPr>
                <w:rFonts w:eastAsia="Times New Roman" w:cs="Arial"/>
                <w:b/>
                <w:sz w:val="22"/>
                <w:lang w:eastAsia="fr-FR"/>
              </w:rPr>
            </w:pPr>
          </w:p>
        </w:tc>
        <w:tc>
          <w:tcPr>
            <w:tcW w:w="4624" w:type="dxa"/>
          </w:tcPr>
          <w:p w:rsidR="006A6A2B" w:rsidRPr="00A272BF" w:rsidRDefault="00041452" w:rsidP="00C03789">
            <w:pPr>
              <w:tabs>
                <w:tab w:val="center" w:pos="4536"/>
                <w:tab w:val="right" w:pos="9072"/>
              </w:tabs>
              <w:spacing w:line="240" w:lineRule="auto"/>
              <w:jc w:val="center"/>
              <w:rPr>
                <w:rFonts w:eastAsia="Times New Roman" w:cs="Arial"/>
                <w:b/>
                <w:sz w:val="22"/>
                <w:lang w:eastAsia="fr-FR"/>
              </w:rPr>
            </w:pPr>
          </w:p>
          <w:p w:rsidR="006A6A2B" w:rsidRPr="00A272BF" w:rsidRDefault="00041452" w:rsidP="00C03789">
            <w:pPr>
              <w:tabs>
                <w:tab w:val="center" w:pos="4536"/>
                <w:tab w:val="right" w:pos="9072"/>
              </w:tabs>
              <w:spacing w:line="240" w:lineRule="auto"/>
              <w:jc w:val="center"/>
              <w:rPr>
                <w:rFonts w:eastAsia="Times New Roman" w:cs="Arial"/>
                <w:b/>
                <w:sz w:val="22"/>
                <w:lang w:eastAsia="fr-FR"/>
              </w:rPr>
            </w:pPr>
          </w:p>
          <w:p w:rsidR="006A6A2B" w:rsidRDefault="00041452"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A87B79" w:rsidRDefault="00A87B79" w:rsidP="00C03789">
            <w:pPr>
              <w:tabs>
                <w:tab w:val="center" w:pos="4536"/>
                <w:tab w:val="right" w:pos="9072"/>
              </w:tabs>
              <w:spacing w:line="240" w:lineRule="auto"/>
              <w:jc w:val="center"/>
              <w:rPr>
                <w:rFonts w:eastAsia="Times New Roman" w:cs="Arial"/>
                <w:b/>
                <w:sz w:val="22"/>
                <w:lang w:eastAsia="fr-FR"/>
              </w:rPr>
            </w:pPr>
          </w:p>
          <w:p w:rsidR="00242D2F" w:rsidRDefault="00242D2F" w:rsidP="00C03789">
            <w:pPr>
              <w:tabs>
                <w:tab w:val="center" w:pos="4536"/>
                <w:tab w:val="right" w:pos="9072"/>
              </w:tabs>
              <w:spacing w:line="240" w:lineRule="auto"/>
              <w:jc w:val="center"/>
              <w:rPr>
                <w:rFonts w:eastAsia="Times New Roman" w:cs="Arial"/>
                <w:b/>
                <w:sz w:val="22"/>
                <w:lang w:eastAsia="fr-FR"/>
              </w:rPr>
            </w:pPr>
          </w:p>
          <w:p w:rsidR="006A6A2B" w:rsidRPr="007563EB" w:rsidRDefault="00BA4F93" w:rsidP="00C03789">
            <w:pPr>
              <w:tabs>
                <w:tab w:val="center" w:pos="4536"/>
                <w:tab w:val="right" w:pos="9072"/>
              </w:tabs>
              <w:spacing w:line="240" w:lineRule="auto"/>
              <w:jc w:val="center"/>
              <w:rPr>
                <w:rFonts w:eastAsia="Times New Roman" w:cs="Arial"/>
                <w:b/>
                <w:sz w:val="22"/>
                <w:lang w:eastAsia="fr-FR"/>
              </w:rPr>
            </w:pPr>
            <w:r w:rsidRPr="007563EB">
              <w:rPr>
                <w:rFonts w:eastAsia="Times New Roman" w:cs="Arial"/>
                <w:b/>
                <w:sz w:val="22"/>
                <w:lang w:eastAsia="fr-FR"/>
              </w:rPr>
              <w:t>Jean-Philippe VACHIA</w:t>
            </w:r>
          </w:p>
          <w:p w:rsidR="006A6A2B" w:rsidRPr="00A272BF" w:rsidRDefault="00041452" w:rsidP="00C03789">
            <w:pPr>
              <w:tabs>
                <w:tab w:val="center" w:pos="4536"/>
                <w:tab w:val="right" w:pos="9072"/>
              </w:tabs>
              <w:jc w:val="center"/>
              <w:rPr>
                <w:rFonts w:eastAsia="Times New Roman" w:cs="Arial"/>
                <w:b/>
                <w:sz w:val="22"/>
                <w:lang w:eastAsia="fr-FR"/>
              </w:rPr>
            </w:pPr>
          </w:p>
        </w:tc>
      </w:tr>
    </w:tbl>
    <w:p w:rsidR="00F942D7" w:rsidRDefault="00041452" w:rsidP="00F942D7">
      <w:pPr>
        <w:tabs>
          <w:tab w:val="center" w:pos="4536"/>
        </w:tabs>
        <w:spacing w:line="240" w:lineRule="auto"/>
        <w:jc w:val="both"/>
        <w:rPr>
          <w:rFonts w:eastAsia="Times New Roman" w:cs="Arial"/>
          <w:sz w:val="22"/>
          <w:lang w:eastAsia="fr-FR"/>
        </w:rPr>
      </w:pPr>
    </w:p>
    <w:p w:rsidR="00B27B05" w:rsidRPr="00A272BF" w:rsidRDefault="00B27B05" w:rsidP="00F942D7">
      <w:pPr>
        <w:tabs>
          <w:tab w:val="center" w:pos="4536"/>
        </w:tabs>
        <w:spacing w:line="240" w:lineRule="auto"/>
        <w:jc w:val="both"/>
        <w:rPr>
          <w:rFonts w:eastAsia="Times New Roman" w:cs="Arial"/>
          <w:sz w:val="22"/>
          <w:lang w:eastAsia="fr-FR"/>
        </w:rPr>
      </w:pPr>
    </w:p>
    <w:p w:rsidR="00F942D7" w:rsidRDefault="00A87B79" w:rsidP="00F942D7">
      <w:pPr>
        <w:tabs>
          <w:tab w:val="center" w:pos="4536"/>
        </w:tabs>
        <w:spacing w:line="240" w:lineRule="auto"/>
        <w:jc w:val="both"/>
        <w:rPr>
          <w:rFonts w:eastAsia="Times New Roman" w:cs="Arial"/>
          <w:sz w:val="22"/>
          <w:lang w:eastAsia="fr-FR"/>
        </w:rPr>
      </w:pPr>
      <w:r w:rsidRPr="00285E15">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285E15">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A87B79" w:rsidRDefault="00A87B79" w:rsidP="00F942D7">
      <w:pPr>
        <w:tabs>
          <w:tab w:val="center" w:pos="4536"/>
        </w:tabs>
        <w:spacing w:line="240" w:lineRule="auto"/>
        <w:jc w:val="both"/>
        <w:rPr>
          <w:rFonts w:eastAsia="Times New Roman" w:cs="Arial"/>
          <w:sz w:val="22"/>
          <w:lang w:eastAsia="fr-FR"/>
        </w:rPr>
      </w:pPr>
    </w:p>
    <w:p w:rsidR="00A87B79" w:rsidRDefault="00A87B79" w:rsidP="00F942D7">
      <w:pPr>
        <w:tabs>
          <w:tab w:val="center" w:pos="4536"/>
        </w:tabs>
        <w:spacing w:line="240" w:lineRule="auto"/>
        <w:jc w:val="both"/>
        <w:rPr>
          <w:rFonts w:eastAsia="Times New Roman" w:cs="Arial"/>
          <w:sz w:val="22"/>
          <w:lang w:eastAsia="fr-FR"/>
        </w:rPr>
      </w:pPr>
    </w:p>
    <w:p w:rsidR="008F197D" w:rsidRPr="00A272BF" w:rsidRDefault="00BA4F93" w:rsidP="00F35882">
      <w:pPr>
        <w:tabs>
          <w:tab w:val="center" w:pos="4536"/>
        </w:tabs>
        <w:spacing w:line="240" w:lineRule="auto"/>
        <w:jc w:val="both"/>
        <w:rPr>
          <w:rFonts w:cs="Arial"/>
          <w:sz w:val="22"/>
        </w:rPr>
      </w:pPr>
      <w:r w:rsidRPr="00A272BF">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8F197D" w:rsidRPr="00A272BF" w:rsidRDefault="00041452" w:rsidP="00F35882">
      <w:pPr>
        <w:spacing w:before="240" w:after="240" w:line="240" w:lineRule="auto"/>
        <w:jc w:val="both"/>
        <w:rPr>
          <w:rFonts w:cs="Arial"/>
          <w:sz w:val="22"/>
        </w:rPr>
      </w:pPr>
    </w:p>
    <w:sectPr w:rsidR="008F197D" w:rsidRPr="00A272BF"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452" w:rsidRDefault="00041452" w:rsidP="00B41656">
      <w:pPr>
        <w:spacing w:line="240" w:lineRule="auto"/>
      </w:pPr>
      <w:r>
        <w:separator/>
      </w:r>
    </w:p>
  </w:endnote>
  <w:endnote w:type="continuationSeparator" w:id="0">
    <w:p w:rsidR="00041452" w:rsidRDefault="00041452"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452" w:rsidRDefault="00041452" w:rsidP="00B41656">
      <w:pPr>
        <w:spacing w:line="240" w:lineRule="auto"/>
      </w:pPr>
      <w:r>
        <w:separator/>
      </w:r>
    </w:p>
  </w:footnote>
  <w:footnote w:type="continuationSeparator" w:id="0">
    <w:p w:rsidR="00041452" w:rsidRDefault="00041452"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041452"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A01BD2">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A01BD2">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4D77B1E" wp14:editId="499AFF92">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41452"/>
    <w:rsid w:val="00057C1C"/>
    <w:rsid w:val="00060466"/>
    <w:rsid w:val="00067044"/>
    <w:rsid w:val="00067EA3"/>
    <w:rsid w:val="000F5299"/>
    <w:rsid w:val="000F53CA"/>
    <w:rsid w:val="00110640"/>
    <w:rsid w:val="0012020B"/>
    <w:rsid w:val="001248F5"/>
    <w:rsid w:val="0013115F"/>
    <w:rsid w:val="00131A38"/>
    <w:rsid w:val="001440E9"/>
    <w:rsid w:val="0015674C"/>
    <w:rsid w:val="0016783F"/>
    <w:rsid w:val="001733C8"/>
    <w:rsid w:val="00177B90"/>
    <w:rsid w:val="001C7F8F"/>
    <w:rsid w:val="001D11BE"/>
    <w:rsid w:val="002040C2"/>
    <w:rsid w:val="00204C87"/>
    <w:rsid w:val="002304DE"/>
    <w:rsid w:val="00231C67"/>
    <w:rsid w:val="00240C13"/>
    <w:rsid w:val="00242D2F"/>
    <w:rsid w:val="00244453"/>
    <w:rsid w:val="00265091"/>
    <w:rsid w:val="00283473"/>
    <w:rsid w:val="00285E15"/>
    <w:rsid w:val="002878B1"/>
    <w:rsid w:val="002B74C3"/>
    <w:rsid w:val="002C0B4C"/>
    <w:rsid w:val="002D0DA9"/>
    <w:rsid w:val="002E75B7"/>
    <w:rsid w:val="002F3E0B"/>
    <w:rsid w:val="00376FD6"/>
    <w:rsid w:val="003955D7"/>
    <w:rsid w:val="003A09FE"/>
    <w:rsid w:val="003B7BA2"/>
    <w:rsid w:val="003C582D"/>
    <w:rsid w:val="003C729C"/>
    <w:rsid w:val="003D7655"/>
    <w:rsid w:val="004022CB"/>
    <w:rsid w:val="004507C2"/>
    <w:rsid w:val="00462D4F"/>
    <w:rsid w:val="00466852"/>
    <w:rsid w:val="0047092C"/>
    <w:rsid w:val="00477C3D"/>
    <w:rsid w:val="004A1A11"/>
    <w:rsid w:val="004A49F1"/>
    <w:rsid w:val="004F3CBF"/>
    <w:rsid w:val="005369EE"/>
    <w:rsid w:val="0054781F"/>
    <w:rsid w:val="005B4CA5"/>
    <w:rsid w:val="005C5994"/>
    <w:rsid w:val="005E0451"/>
    <w:rsid w:val="005F61B5"/>
    <w:rsid w:val="00604974"/>
    <w:rsid w:val="006344B0"/>
    <w:rsid w:val="00647807"/>
    <w:rsid w:val="00657058"/>
    <w:rsid w:val="00662166"/>
    <w:rsid w:val="00676091"/>
    <w:rsid w:val="006774B5"/>
    <w:rsid w:val="00687F6F"/>
    <w:rsid w:val="006A4EB5"/>
    <w:rsid w:val="006A568B"/>
    <w:rsid w:val="006A7750"/>
    <w:rsid w:val="006C2EA9"/>
    <w:rsid w:val="006C72CB"/>
    <w:rsid w:val="006E170E"/>
    <w:rsid w:val="006E3A7F"/>
    <w:rsid w:val="006E6836"/>
    <w:rsid w:val="007015FC"/>
    <w:rsid w:val="00707BD1"/>
    <w:rsid w:val="00724014"/>
    <w:rsid w:val="007252C5"/>
    <w:rsid w:val="007410AA"/>
    <w:rsid w:val="007563EB"/>
    <w:rsid w:val="00764F62"/>
    <w:rsid w:val="00765A21"/>
    <w:rsid w:val="0077703E"/>
    <w:rsid w:val="007A448C"/>
    <w:rsid w:val="007B06F6"/>
    <w:rsid w:val="007B699E"/>
    <w:rsid w:val="007E06F2"/>
    <w:rsid w:val="007F2707"/>
    <w:rsid w:val="0081551A"/>
    <w:rsid w:val="008256E2"/>
    <w:rsid w:val="0085194D"/>
    <w:rsid w:val="00863D04"/>
    <w:rsid w:val="0086760B"/>
    <w:rsid w:val="00875AE9"/>
    <w:rsid w:val="008844EF"/>
    <w:rsid w:val="008A34BF"/>
    <w:rsid w:val="008A6ACF"/>
    <w:rsid w:val="008C244D"/>
    <w:rsid w:val="008C7ED9"/>
    <w:rsid w:val="008D5AB2"/>
    <w:rsid w:val="008E360F"/>
    <w:rsid w:val="008E5EE8"/>
    <w:rsid w:val="008E6349"/>
    <w:rsid w:val="009405CE"/>
    <w:rsid w:val="00950441"/>
    <w:rsid w:val="00966697"/>
    <w:rsid w:val="009802E3"/>
    <w:rsid w:val="009B22BF"/>
    <w:rsid w:val="00A01BD2"/>
    <w:rsid w:val="00A02D30"/>
    <w:rsid w:val="00A272BF"/>
    <w:rsid w:val="00A32C49"/>
    <w:rsid w:val="00A4059D"/>
    <w:rsid w:val="00A56A52"/>
    <w:rsid w:val="00A755A3"/>
    <w:rsid w:val="00A83FC9"/>
    <w:rsid w:val="00A86492"/>
    <w:rsid w:val="00A87B79"/>
    <w:rsid w:val="00A95C19"/>
    <w:rsid w:val="00A9735F"/>
    <w:rsid w:val="00AA25D4"/>
    <w:rsid w:val="00AB3670"/>
    <w:rsid w:val="00AE774F"/>
    <w:rsid w:val="00B128E3"/>
    <w:rsid w:val="00B15644"/>
    <w:rsid w:val="00B27B05"/>
    <w:rsid w:val="00B41656"/>
    <w:rsid w:val="00B645D1"/>
    <w:rsid w:val="00B967C8"/>
    <w:rsid w:val="00BA4F93"/>
    <w:rsid w:val="00BA60D8"/>
    <w:rsid w:val="00BB2920"/>
    <w:rsid w:val="00BB7176"/>
    <w:rsid w:val="00BC40A5"/>
    <w:rsid w:val="00BD40C9"/>
    <w:rsid w:val="00C04525"/>
    <w:rsid w:val="00C17123"/>
    <w:rsid w:val="00C22187"/>
    <w:rsid w:val="00C23B89"/>
    <w:rsid w:val="00C32D50"/>
    <w:rsid w:val="00C470E9"/>
    <w:rsid w:val="00C77CA2"/>
    <w:rsid w:val="00CA1BD5"/>
    <w:rsid w:val="00CB2D9B"/>
    <w:rsid w:val="00CC39B0"/>
    <w:rsid w:val="00CE1BD7"/>
    <w:rsid w:val="00CE4F79"/>
    <w:rsid w:val="00CF6809"/>
    <w:rsid w:val="00D1166E"/>
    <w:rsid w:val="00D128AD"/>
    <w:rsid w:val="00D21CDB"/>
    <w:rsid w:val="00D500EF"/>
    <w:rsid w:val="00D51C43"/>
    <w:rsid w:val="00D62649"/>
    <w:rsid w:val="00D64414"/>
    <w:rsid w:val="00D76D31"/>
    <w:rsid w:val="00D817B5"/>
    <w:rsid w:val="00D86F3A"/>
    <w:rsid w:val="00D9086F"/>
    <w:rsid w:val="00DA6392"/>
    <w:rsid w:val="00DB1038"/>
    <w:rsid w:val="00DB1F76"/>
    <w:rsid w:val="00DE48AF"/>
    <w:rsid w:val="00DE6999"/>
    <w:rsid w:val="00E03E5C"/>
    <w:rsid w:val="00E12854"/>
    <w:rsid w:val="00E25406"/>
    <w:rsid w:val="00E35B8A"/>
    <w:rsid w:val="00E430FB"/>
    <w:rsid w:val="00E55D24"/>
    <w:rsid w:val="00E86FB6"/>
    <w:rsid w:val="00E87137"/>
    <w:rsid w:val="00ED3235"/>
    <w:rsid w:val="00ED3BBB"/>
    <w:rsid w:val="00EE3AA4"/>
    <w:rsid w:val="00EE4F42"/>
    <w:rsid w:val="00F02D0A"/>
    <w:rsid w:val="00F34BAC"/>
    <w:rsid w:val="00F503D1"/>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B699E"/>
    <w:rPr>
      <w:sz w:val="24"/>
      <w:lang w:val="fr-FR" w:eastAsia="fr-FR" w:bidi="ar-SA"/>
    </w:rPr>
  </w:style>
  <w:style w:type="paragraph" w:styleId="Rvision">
    <w:name w:val="Revision"/>
    <w:hidden/>
    <w:uiPriority w:val="71"/>
    <w:rsid w:val="00AA25D4"/>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B699E"/>
    <w:rPr>
      <w:sz w:val="24"/>
      <w:lang w:val="fr-FR" w:eastAsia="fr-FR" w:bidi="ar-SA"/>
    </w:rPr>
  </w:style>
  <w:style w:type="paragraph" w:styleId="Rvision">
    <w:name w:val="Revision"/>
    <w:hidden/>
    <w:uiPriority w:val="71"/>
    <w:rsid w:val="00AA25D4"/>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11EA3-19EF-4ED6-A784-E011E8FF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1633</Words>
  <Characters>8984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20</cp:revision>
  <cp:lastPrinted>2015-07-07T08:49:00Z</cp:lastPrinted>
  <dcterms:created xsi:type="dcterms:W3CDTF">2015-07-07T07:56:00Z</dcterms:created>
  <dcterms:modified xsi:type="dcterms:W3CDTF">2015-10-06T12:51:00Z</dcterms:modified>
</cp:coreProperties>
</file>