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E76" w:rsidRPr="007F2707" w:rsidRDefault="009C6E76" w:rsidP="007F2707"/>
    <w:p w:rsidR="009C6E76" w:rsidRPr="004A1A11" w:rsidRDefault="009C6E76" w:rsidP="004A1A11"/>
    <w:p w:rsidR="009C6E76" w:rsidRPr="004A1A11" w:rsidRDefault="009C6E76" w:rsidP="004A1A11"/>
    <w:tbl>
      <w:tblPr>
        <w:tblW w:w="9890" w:type="dxa"/>
        <w:tblLook w:val="00A0" w:firstRow="1" w:lastRow="0" w:firstColumn="1" w:lastColumn="0" w:noHBand="0" w:noVBand="0"/>
      </w:tblPr>
      <w:tblGrid>
        <w:gridCol w:w="4503"/>
        <w:gridCol w:w="5387"/>
      </w:tblGrid>
      <w:tr w:rsidR="009C6E76" w:rsidRPr="00C13095">
        <w:tc>
          <w:tcPr>
            <w:tcW w:w="4503" w:type="dxa"/>
          </w:tcPr>
          <w:p w:rsidR="009C6E76" w:rsidRPr="00C13095" w:rsidRDefault="009C6E76" w:rsidP="00B95E0A">
            <w:pPr>
              <w:spacing w:line="240" w:lineRule="auto"/>
              <w:ind w:right="318"/>
              <w:jc w:val="center"/>
              <w:rPr>
                <w:rFonts w:cs="Arial"/>
                <w:sz w:val="22"/>
                <w:lang w:eastAsia="fr-FR"/>
              </w:rPr>
            </w:pPr>
            <w:r>
              <w:rPr>
                <w:rFonts w:cs="Arial"/>
                <w:sz w:val="22"/>
                <w:lang w:eastAsia="fr-FR"/>
              </w:rPr>
              <w:t>DEUXIEME</w:t>
            </w:r>
            <w:r w:rsidRPr="00C13095">
              <w:rPr>
                <w:rFonts w:cs="Arial"/>
                <w:sz w:val="22"/>
                <w:lang w:eastAsia="fr-FR"/>
              </w:rPr>
              <w:t xml:space="preserve"> CHAMBRE</w:t>
            </w:r>
          </w:p>
          <w:p w:rsidR="009C6E76" w:rsidRPr="00C13095" w:rsidRDefault="009C6E76" w:rsidP="00B95E0A">
            <w:pPr>
              <w:spacing w:line="240" w:lineRule="auto"/>
              <w:ind w:right="318"/>
              <w:jc w:val="center"/>
              <w:rPr>
                <w:rFonts w:cs="Arial"/>
                <w:b/>
                <w:sz w:val="22"/>
                <w:lang w:eastAsia="fr-FR"/>
              </w:rPr>
            </w:pPr>
            <w:r w:rsidRPr="00C13095">
              <w:rPr>
                <w:rFonts w:cs="Arial"/>
                <w:b/>
                <w:sz w:val="22"/>
                <w:lang w:eastAsia="fr-FR"/>
              </w:rPr>
              <w:t>-------</w:t>
            </w:r>
          </w:p>
          <w:p w:rsidR="009C6E76" w:rsidRPr="00C13095" w:rsidRDefault="00AA6014" w:rsidP="00B95E0A">
            <w:pPr>
              <w:tabs>
                <w:tab w:val="center" w:pos="4819"/>
                <w:tab w:val="right" w:pos="9071"/>
              </w:tabs>
              <w:spacing w:line="240" w:lineRule="auto"/>
              <w:ind w:right="318"/>
              <w:jc w:val="center"/>
              <w:rPr>
                <w:rFonts w:cs="Arial"/>
                <w:sz w:val="22"/>
                <w:lang w:eastAsia="fr-FR"/>
              </w:rPr>
            </w:pPr>
            <w:r>
              <w:rPr>
                <w:rFonts w:cs="Arial"/>
                <w:sz w:val="22"/>
                <w:lang w:eastAsia="fr-FR"/>
              </w:rPr>
              <w:t>Plénière</w:t>
            </w:r>
          </w:p>
          <w:p w:rsidR="009C6E76" w:rsidRPr="00C13095" w:rsidRDefault="009C6E76" w:rsidP="00B95E0A">
            <w:pPr>
              <w:tabs>
                <w:tab w:val="center" w:pos="4819"/>
                <w:tab w:val="right" w:pos="9071"/>
              </w:tabs>
              <w:spacing w:line="240" w:lineRule="auto"/>
              <w:ind w:right="318"/>
              <w:jc w:val="center"/>
              <w:rPr>
                <w:rFonts w:cs="Arial"/>
                <w:b/>
                <w:sz w:val="22"/>
                <w:lang w:eastAsia="fr-FR"/>
              </w:rPr>
            </w:pPr>
            <w:r w:rsidRPr="00C13095">
              <w:rPr>
                <w:rFonts w:cs="Arial"/>
                <w:b/>
                <w:sz w:val="22"/>
                <w:lang w:eastAsia="fr-FR"/>
              </w:rPr>
              <w:t>-------</w:t>
            </w:r>
          </w:p>
          <w:p w:rsidR="009C6E76" w:rsidRPr="00C13095" w:rsidRDefault="00E26A9B" w:rsidP="00B95E0A">
            <w:pPr>
              <w:tabs>
                <w:tab w:val="center" w:pos="4819"/>
                <w:tab w:val="right" w:pos="9071"/>
              </w:tabs>
              <w:spacing w:line="240" w:lineRule="auto"/>
              <w:ind w:right="318"/>
              <w:jc w:val="center"/>
              <w:rPr>
                <w:rFonts w:cs="Arial"/>
                <w:sz w:val="22"/>
                <w:lang w:eastAsia="fr-FR"/>
              </w:rPr>
            </w:pPr>
            <w:r>
              <w:rPr>
                <w:rFonts w:cs="Arial"/>
                <w:sz w:val="22"/>
                <w:lang w:eastAsia="fr-FR"/>
              </w:rPr>
              <w:t>A</w:t>
            </w:r>
            <w:r w:rsidR="009C6E76">
              <w:rPr>
                <w:rFonts w:cs="Arial"/>
                <w:sz w:val="22"/>
                <w:lang w:eastAsia="fr-FR"/>
              </w:rPr>
              <w:t xml:space="preserve">rrêt n° </w:t>
            </w:r>
            <w:r>
              <w:rPr>
                <w:rFonts w:cs="Arial"/>
                <w:sz w:val="22"/>
                <w:lang w:eastAsia="fr-FR"/>
              </w:rPr>
              <w:t>72</w:t>
            </w:r>
            <w:r w:rsidR="0076395C">
              <w:rPr>
                <w:rFonts w:cs="Arial"/>
                <w:sz w:val="22"/>
                <w:lang w:eastAsia="fr-FR"/>
              </w:rPr>
              <w:t>674</w:t>
            </w:r>
          </w:p>
          <w:p w:rsidR="009C6E76" w:rsidRPr="00C13095" w:rsidRDefault="009C6E76" w:rsidP="00B95E0A">
            <w:pPr>
              <w:tabs>
                <w:tab w:val="center" w:pos="4819"/>
                <w:tab w:val="right" w:pos="9071"/>
              </w:tabs>
              <w:spacing w:line="240" w:lineRule="auto"/>
              <w:ind w:right="318"/>
              <w:jc w:val="center"/>
              <w:rPr>
                <w:rFonts w:cs="Arial"/>
                <w:sz w:val="22"/>
                <w:lang w:eastAsia="fr-FR"/>
              </w:rPr>
            </w:pPr>
          </w:p>
          <w:p w:rsidR="009C6E76" w:rsidRPr="00C13095" w:rsidRDefault="001A1443" w:rsidP="00B95E0A">
            <w:pPr>
              <w:spacing w:line="240" w:lineRule="auto"/>
              <w:ind w:right="318"/>
              <w:jc w:val="center"/>
              <w:rPr>
                <w:rFonts w:cs="Arial"/>
                <w:sz w:val="22"/>
                <w:lang w:eastAsia="fr-FR"/>
              </w:rPr>
            </w:pPr>
            <w:r>
              <w:rPr>
                <w:rFonts w:cs="Arial"/>
                <w:sz w:val="22"/>
                <w:lang w:eastAsia="fr-FR"/>
              </w:rPr>
              <w:t>A</w:t>
            </w:r>
            <w:r w:rsidR="009C6E76">
              <w:rPr>
                <w:rFonts w:cs="Arial"/>
                <w:sz w:val="22"/>
                <w:lang w:eastAsia="fr-FR"/>
              </w:rPr>
              <w:t xml:space="preserve">udience publique du </w:t>
            </w:r>
            <w:r w:rsidR="00D64D5E">
              <w:rPr>
                <w:rFonts w:cs="Arial"/>
                <w:sz w:val="22"/>
                <w:lang w:eastAsia="fr-FR"/>
              </w:rPr>
              <w:t>23 juillet</w:t>
            </w:r>
            <w:r w:rsidR="009C6E76">
              <w:rPr>
                <w:rFonts w:cs="Arial"/>
                <w:sz w:val="22"/>
                <w:lang w:eastAsia="fr-FR"/>
              </w:rPr>
              <w:t xml:space="preserve"> 2015</w:t>
            </w:r>
          </w:p>
          <w:p w:rsidR="009C6E76" w:rsidRPr="00C13095" w:rsidRDefault="009C6E76" w:rsidP="00B95E0A">
            <w:pPr>
              <w:spacing w:line="240" w:lineRule="auto"/>
              <w:ind w:right="318"/>
              <w:jc w:val="center"/>
              <w:rPr>
                <w:rFonts w:cs="Arial"/>
                <w:sz w:val="22"/>
                <w:lang w:eastAsia="fr-FR"/>
              </w:rPr>
            </w:pPr>
          </w:p>
          <w:p w:rsidR="009C6E76" w:rsidRPr="00C13095" w:rsidRDefault="001A1443" w:rsidP="00B95E0A">
            <w:pPr>
              <w:spacing w:line="240" w:lineRule="auto"/>
              <w:ind w:right="318"/>
              <w:jc w:val="center"/>
              <w:rPr>
                <w:rFonts w:cs="Arial"/>
                <w:i/>
                <w:sz w:val="22"/>
                <w:lang w:eastAsia="fr-FR"/>
              </w:rPr>
            </w:pPr>
            <w:r>
              <w:rPr>
                <w:rFonts w:cs="Arial"/>
                <w:sz w:val="22"/>
                <w:lang w:eastAsia="fr-FR"/>
              </w:rPr>
              <w:t>L</w:t>
            </w:r>
            <w:r w:rsidR="00D64D5E">
              <w:rPr>
                <w:rFonts w:cs="Arial"/>
                <w:sz w:val="22"/>
                <w:lang w:eastAsia="fr-FR"/>
              </w:rPr>
              <w:t xml:space="preserve">ecture publique du 14 septembre </w:t>
            </w:r>
            <w:r w:rsidR="009C6E76">
              <w:rPr>
                <w:rFonts w:cs="Arial"/>
                <w:sz w:val="22"/>
                <w:lang w:eastAsia="fr-FR"/>
              </w:rPr>
              <w:t>2015</w:t>
            </w:r>
          </w:p>
          <w:p w:rsidR="009C6E76" w:rsidRPr="00C13095" w:rsidRDefault="009C6E76" w:rsidP="00B95E0A">
            <w:pPr>
              <w:spacing w:line="240" w:lineRule="auto"/>
              <w:ind w:right="318" w:firstLine="851"/>
              <w:rPr>
                <w:rFonts w:cs="Arial"/>
                <w:sz w:val="22"/>
                <w:lang w:eastAsia="fr-FR"/>
              </w:rPr>
            </w:pPr>
          </w:p>
        </w:tc>
        <w:tc>
          <w:tcPr>
            <w:tcW w:w="5387" w:type="dxa"/>
          </w:tcPr>
          <w:p w:rsidR="00AA6014" w:rsidRDefault="00AA6014" w:rsidP="006F38F2">
            <w:pPr>
              <w:spacing w:line="240" w:lineRule="auto"/>
              <w:ind w:left="1026"/>
              <w:jc w:val="both"/>
              <w:rPr>
                <w:rFonts w:cs="Arial"/>
                <w:sz w:val="22"/>
                <w:lang w:eastAsia="fr-FR"/>
              </w:rPr>
            </w:pPr>
            <w:r>
              <w:rPr>
                <w:rFonts w:cs="Arial"/>
                <w:sz w:val="22"/>
                <w:lang w:eastAsia="fr-FR"/>
              </w:rPr>
              <w:t>GESTION DE FAIT</w:t>
            </w:r>
          </w:p>
          <w:p w:rsidR="0076395C" w:rsidRDefault="00AA6014" w:rsidP="006F38F2">
            <w:pPr>
              <w:spacing w:line="240" w:lineRule="auto"/>
              <w:ind w:left="1026"/>
              <w:jc w:val="both"/>
              <w:rPr>
                <w:rFonts w:cs="Arial"/>
                <w:sz w:val="22"/>
                <w:lang w:eastAsia="fr-FR"/>
              </w:rPr>
            </w:pPr>
            <w:r>
              <w:rPr>
                <w:rFonts w:cs="Arial"/>
                <w:sz w:val="22"/>
                <w:lang w:eastAsia="fr-FR"/>
              </w:rPr>
              <w:t xml:space="preserve">DES DENIERS DE L’ETAT </w:t>
            </w:r>
          </w:p>
          <w:p w:rsidR="00AA6014" w:rsidRDefault="00AA6014" w:rsidP="006F38F2">
            <w:pPr>
              <w:spacing w:line="240" w:lineRule="auto"/>
              <w:ind w:left="1026"/>
              <w:jc w:val="both"/>
              <w:rPr>
                <w:rFonts w:cs="Arial"/>
                <w:sz w:val="22"/>
                <w:lang w:eastAsia="fr-FR"/>
              </w:rPr>
            </w:pPr>
            <w:r>
              <w:rPr>
                <w:rFonts w:cs="Arial"/>
                <w:sz w:val="22"/>
                <w:lang w:eastAsia="fr-FR"/>
              </w:rPr>
              <w:t>PAR LE</w:t>
            </w:r>
            <w:r w:rsidR="0076395C">
              <w:rPr>
                <w:rFonts w:cs="Arial"/>
                <w:sz w:val="22"/>
                <w:lang w:eastAsia="fr-FR"/>
              </w:rPr>
              <w:t xml:space="preserve"> </w:t>
            </w:r>
            <w:r w:rsidR="009C6E76">
              <w:rPr>
                <w:rFonts w:cs="Arial"/>
                <w:sz w:val="22"/>
                <w:lang w:eastAsia="fr-FR"/>
              </w:rPr>
              <w:t>FONDS</w:t>
            </w:r>
            <w:r>
              <w:rPr>
                <w:rFonts w:cs="Arial"/>
                <w:sz w:val="22"/>
                <w:lang w:eastAsia="fr-FR"/>
              </w:rPr>
              <w:t xml:space="preserve"> </w:t>
            </w:r>
            <w:r w:rsidR="009C6E76">
              <w:rPr>
                <w:rFonts w:cs="Arial"/>
                <w:sz w:val="22"/>
                <w:lang w:eastAsia="fr-FR"/>
              </w:rPr>
              <w:t>DE DOTATION</w:t>
            </w:r>
          </w:p>
          <w:p w:rsidR="009C6E76" w:rsidRPr="00C13095" w:rsidRDefault="009C6E76" w:rsidP="006F38F2">
            <w:pPr>
              <w:spacing w:line="240" w:lineRule="auto"/>
              <w:ind w:left="1026"/>
              <w:jc w:val="both"/>
              <w:rPr>
                <w:rFonts w:cs="Arial"/>
                <w:sz w:val="22"/>
                <w:lang w:eastAsia="fr-FR"/>
              </w:rPr>
            </w:pPr>
            <w:r>
              <w:rPr>
                <w:rFonts w:cs="Arial"/>
                <w:sz w:val="22"/>
                <w:lang w:eastAsia="fr-FR"/>
              </w:rPr>
              <w:t>SAINT-CYR GRANDE ECOLE</w:t>
            </w:r>
            <w:r w:rsidR="008B63C9">
              <w:rPr>
                <w:rFonts w:cs="Arial"/>
                <w:sz w:val="22"/>
                <w:lang w:eastAsia="fr-FR"/>
              </w:rPr>
              <w:t xml:space="preserve"> (SCGE)</w:t>
            </w:r>
          </w:p>
          <w:p w:rsidR="009C6E76" w:rsidRPr="00C13095" w:rsidRDefault="009C6E76" w:rsidP="006F38F2">
            <w:pPr>
              <w:spacing w:line="240" w:lineRule="auto"/>
              <w:ind w:left="1026" w:hanging="4245"/>
              <w:jc w:val="both"/>
              <w:rPr>
                <w:rFonts w:cs="Arial"/>
                <w:sz w:val="22"/>
                <w:lang w:eastAsia="fr-FR"/>
              </w:rPr>
            </w:pPr>
          </w:p>
          <w:p w:rsidR="009C6E76" w:rsidRPr="00C13095" w:rsidRDefault="00AA6014" w:rsidP="006F38F2">
            <w:pPr>
              <w:spacing w:line="240" w:lineRule="auto"/>
              <w:ind w:left="1026"/>
              <w:jc w:val="both"/>
              <w:rPr>
                <w:rFonts w:cs="Arial"/>
                <w:i/>
                <w:noProof/>
                <w:color w:val="000000"/>
                <w:sz w:val="22"/>
                <w:lang w:eastAsia="fr-FR"/>
              </w:rPr>
            </w:pPr>
            <w:r>
              <w:rPr>
                <w:rFonts w:cs="Arial"/>
                <w:sz w:val="22"/>
                <w:lang w:eastAsia="fr-FR"/>
              </w:rPr>
              <w:t>E</w:t>
            </w:r>
            <w:r w:rsidR="009C6E76" w:rsidRPr="00C13095">
              <w:rPr>
                <w:rFonts w:cs="Arial"/>
                <w:sz w:val="22"/>
                <w:lang w:eastAsia="fr-FR"/>
              </w:rPr>
              <w:t xml:space="preserve">xercices </w:t>
            </w:r>
            <w:r w:rsidR="00D64D5E">
              <w:rPr>
                <w:rFonts w:cs="Arial"/>
                <w:sz w:val="22"/>
                <w:lang w:eastAsia="fr-FR"/>
              </w:rPr>
              <w:t>2011 et</w:t>
            </w:r>
            <w:r w:rsidR="009C6E76">
              <w:rPr>
                <w:rFonts w:cs="Arial"/>
                <w:sz w:val="22"/>
                <w:lang w:eastAsia="fr-FR"/>
              </w:rPr>
              <w:t xml:space="preserve"> 2012</w:t>
            </w:r>
          </w:p>
          <w:p w:rsidR="009C6E76" w:rsidRPr="00C13095" w:rsidRDefault="009C6E76" w:rsidP="006F38F2">
            <w:pPr>
              <w:spacing w:line="240" w:lineRule="auto"/>
              <w:ind w:left="1026"/>
              <w:jc w:val="both"/>
              <w:rPr>
                <w:rFonts w:cs="Arial"/>
                <w:i/>
                <w:noProof/>
                <w:color w:val="000000"/>
                <w:sz w:val="22"/>
                <w:lang w:eastAsia="fr-FR"/>
              </w:rPr>
            </w:pPr>
          </w:p>
          <w:p w:rsidR="009C6E76" w:rsidRPr="00C13095" w:rsidRDefault="00AA6014" w:rsidP="006F38F2">
            <w:pPr>
              <w:spacing w:line="240" w:lineRule="auto"/>
              <w:ind w:left="1026"/>
              <w:rPr>
                <w:rFonts w:cs="Arial"/>
                <w:sz w:val="22"/>
                <w:lang w:eastAsia="fr-FR"/>
              </w:rPr>
            </w:pPr>
            <w:r>
              <w:rPr>
                <w:rFonts w:cs="Arial"/>
                <w:noProof/>
                <w:color w:val="000000"/>
                <w:sz w:val="22"/>
                <w:lang w:eastAsia="fr-FR"/>
              </w:rPr>
              <w:t>R</w:t>
            </w:r>
            <w:r w:rsidR="009C6E76">
              <w:rPr>
                <w:rFonts w:cs="Arial"/>
                <w:noProof/>
                <w:color w:val="000000"/>
                <w:sz w:val="22"/>
                <w:lang w:eastAsia="fr-FR"/>
              </w:rPr>
              <w:t xml:space="preserve">apport n° </w:t>
            </w:r>
            <w:r w:rsidR="00D64D5E">
              <w:rPr>
                <w:rFonts w:cs="Arial"/>
                <w:noProof/>
                <w:color w:val="000000"/>
                <w:sz w:val="22"/>
                <w:lang w:eastAsia="fr-FR"/>
              </w:rPr>
              <w:t>2015-121-0</w:t>
            </w:r>
          </w:p>
          <w:p w:rsidR="009C6E76" w:rsidRPr="00C13095" w:rsidRDefault="009C6E76" w:rsidP="00C13095">
            <w:pPr>
              <w:spacing w:line="240" w:lineRule="auto"/>
              <w:ind w:left="5670" w:hanging="4245"/>
              <w:jc w:val="both"/>
              <w:rPr>
                <w:rFonts w:cs="Arial"/>
                <w:sz w:val="22"/>
                <w:lang w:eastAsia="fr-FR"/>
              </w:rPr>
            </w:pPr>
          </w:p>
          <w:p w:rsidR="009C6E76" w:rsidRPr="00C13095" w:rsidRDefault="009C6E76" w:rsidP="00C13095">
            <w:pPr>
              <w:spacing w:line="240" w:lineRule="auto"/>
              <w:ind w:left="5670" w:hanging="4245"/>
              <w:jc w:val="both"/>
              <w:rPr>
                <w:rFonts w:cs="Arial"/>
                <w:sz w:val="22"/>
                <w:lang w:eastAsia="fr-FR"/>
              </w:rPr>
            </w:pPr>
          </w:p>
          <w:p w:rsidR="009C6E76" w:rsidRPr="00C13095" w:rsidRDefault="009C6E76" w:rsidP="00C13095">
            <w:pPr>
              <w:spacing w:line="240" w:lineRule="auto"/>
              <w:rPr>
                <w:rFonts w:cs="Arial"/>
                <w:sz w:val="22"/>
                <w:lang w:eastAsia="fr-FR"/>
              </w:rPr>
            </w:pPr>
          </w:p>
        </w:tc>
      </w:tr>
    </w:tbl>
    <w:p w:rsidR="009C6E76" w:rsidRDefault="009C6E76" w:rsidP="00C13095">
      <w:pPr>
        <w:spacing w:line="240" w:lineRule="auto"/>
        <w:ind w:left="5670"/>
        <w:rPr>
          <w:rFonts w:cs="Arial"/>
          <w:sz w:val="22"/>
          <w:lang w:eastAsia="fr-FR"/>
        </w:rPr>
      </w:pPr>
    </w:p>
    <w:p w:rsidR="009C6E76" w:rsidRPr="00C13095" w:rsidRDefault="009C6E76" w:rsidP="00C13095">
      <w:pPr>
        <w:spacing w:line="240" w:lineRule="auto"/>
        <w:ind w:left="5670"/>
        <w:rPr>
          <w:rFonts w:cs="Arial"/>
          <w:sz w:val="22"/>
          <w:lang w:eastAsia="fr-FR"/>
        </w:rPr>
      </w:pPr>
    </w:p>
    <w:p w:rsidR="009C6E76" w:rsidRPr="00C13095" w:rsidRDefault="009C6E76" w:rsidP="00C13095">
      <w:pPr>
        <w:tabs>
          <w:tab w:val="center" w:pos="9072"/>
        </w:tabs>
        <w:spacing w:line="240" w:lineRule="auto"/>
        <w:jc w:val="center"/>
        <w:rPr>
          <w:rFonts w:cs="Arial"/>
          <w:sz w:val="22"/>
          <w:lang w:eastAsia="fr-FR"/>
        </w:rPr>
      </w:pPr>
      <w:r w:rsidRPr="00C13095">
        <w:rPr>
          <w:rFonts w:cs="Arial"/>
          <w:sz w:val="22"/>
          <w:lang w:eastAsia="fr-FR"/>
        </w:rPr>
        <w:t>République Française,</w:t>
      </w:r>
    </w:p>
    <w:p w:rsidR="009C6E76" w:rsidRPr="00C13095" w:rsidRDefault="009C6E76" w:rsidP="00C13095">
      <w:pPr>
        <w:tabs>
          <w:tab w:val="center" w:pos="9072"/>
        </w:tabs>
        <w:spacing w:line="240" w:lineRule="auto"/>
        <w:jc w:val="center"/>
        <w:rPr>
          <w:rFonts w:cs="Arial"/>
          <w:sz w:val="22"/>
          <w:lang w:eastAsia="fr-FR"/>
        </w:rPr>
      </w:pPr>
      <w:r w:rsidRPr="00C13095">
        <w:rPr>
          <w:rFonts w:cs="Arial"/>
          <w:sz w:val="22"/>
          <w:lang w:eastAsia="fr-FR"/>
        </w:rPr>
        <w:t>Au nom du peuple français,</w:t>
      </w:r>
    </w:p>
    <w:p w:rsidR="009C6E76" w:rsidRPr="00C13095" w:rsidRDefault="009C6E76" w:rsidP="00C13095">
      <w:pPr>
        <w:tabs>
          <w:tab w:val="center" w:pos="9072"/>
        </w:tabs>
        <w:spacing w:line="240" w:lineRule="auto"/>
        <w:jc w:val="center"/>
        <w:rPr>
          <w:rFonts w:cs="Arial"/>
          <w:sz w:val="22"/>
          <w:lang w:eastAsia="fr-FR"/>
        </w:rPr>
      </w:pPr>
    </w:p>
    <w:p w:rsidR="009C6E76" w:rsidRPr="00C13095" w:rsidRDefault="009C6E76" w:rsidP="00C13095">
      <w:pPr>
        <w:tabs>
          <w:tab w:val="center" w:pos="9072"/>
        </w:tabs>
        <w:spacing w:line="240" w:lineRule="auto"/>
        <w:jc w:val="center"/>
        <w:rPr>
          <w:rFonts w:cs="Arial"/>
          <w:sz w:val="22"/>
          <w:lang w:eastAsia="fr-FR"/>
        </w:rPr>
      </w:pPr>
      <w:r w:rsidRPr="00C13095">
        <w:rPr>
          <w:rFonts w:cs="Arial"/>
          <w:sz w:val="22"/>
          <w:lang w:eastAsia="fr-FR"/>
        </w:rPr>
        <w:t>La Cour,</w:t>
      </w:r>
    </w:p>
    <w:p w:rsidR="009C6E76" w:rsidRDefault="009C6E76" w:rsidP="00C13095">
      <w:pPr>
        <w:tabs>
          <w:tab w:val="center" w:pos="4536"/>
          <w:tab w:val="right" w:pos="9072"/>
        </w:tabs>
        <w:spacing w:line="240" w:lineRule="auto"/>
        <w:ind w:left="-567"/>
        <w:jc w:val="both"/>
        <w:rPr>
          <w:rFonts w:cs="Arial"/>
          <w:sz w:val="22"/>
          <w:lang w:eastAsia="fr-FR"/>
        </w:rPr>
      </w:pPr>
    </w:p>
    <w:p w:rsidR="009C6E76" w:rsidRPr="00C13095" w:rsidRDefault="009C6E76" w:rsidP="00C13095">
      <w:pPr>
        <w:tabs>
          <w:tab w:val="center" w:pos="4536"/>
          <w:tab w:val="right" w:pos="9072"/>
        </w:tabs>
        <w:spacing w:line="240" w:lineRule="auto"/>
        <w:ind w:left="-567"/>
        <w:jc w:val="both"/>
        <w:rPr>
          <w:rFonts w:cs="Arial"/>
          <w:sz w:val="22"/>
          <w:lang w:eastAsia="fr-FR"/>
        </w:rPr>
      </w:pPr>
    </w:p>
    <w:p w:rsidR="009C6E76" w:rsidRDefault="009C6E76" w:rsidP="00C13095">
      <w:pPr>
        <w:tabs>
          <w:tab w:val="center" w:pos="4536"/>
          <w:tab w:val="right" w:pos="9072"/>
        </w:tabs>
        <w:spacing w:line="240" w:lineRule="auto"/>
        <w:jc w:val="both"/>
        <w:rPr>
          <w:rFonts w:cs="Arial"/>
          <w:sz w:val="22"/>
          <w:lang w:eastAsia="fr-FR"/>
        </w:rPr>
      </w:pPr>
      <w:r w:rsidRPr="00C13095">
        <w:rPr>
          <w:rFonts w:cs="Arial"/>
          <w:sz w:val="22"/>
          <w:lang w:eastAsia="fr-FR"/>
        </w:rPr>
        <w:t>V</w:t>
      </w:r>
      <w:r>
        <w:rPr>
          <w:rFonts w:cs="Arial"/>
          <w:sz w:val="22"/>
          <w:lang w:eastAsia="fr-FR"/>
        </w:rPr>
        <w:t>u</w:t>
      </w:r>
      <w:r w:rsidRPr="00C13095">
        <w:rPr>
          <w:rFonts w:cs="Arial"/>
          <w:sz w:val="22"/>
          <w:lang w:eastAsia="fr-FR"/>
        </w:rPr>
        <w:t xml:space="preserve"> le réquisitoire </w:t>
      </w:r>
      <w:r>
        <w:rPr>
          <w:rFonts w:cs="Arial"/>
          <w:sz w:val="22"/>
          <w:lang w:eastAsia="fr-FR"/>
        </w:rPr>
        <w:t xml:space="preserve">introductif </w:t>
      </w:r>
      <w:r w:rsidR="00AA6014">
        <w:rPr>
          <w:rFonts w:cs="Arial"/>
          <w:sz w:val="22"/>
          <w:lang w:eastAsia="fr-FR"/>
        </w:rPr>
        <w:t>n</w:t>
      </w:r>
      <w:r>
        <w:rPr>
          <w:rFonts w:cs="Arial"/>
          <w:sz w:val="22"/>
          <w:lang w:eastAsia="fr-FR"/>
        </w:rPr>
        <w:t>°</w:t>
      </w:r>
      <w:r w:rsidR="0076395C">
        <w:rPr>
          <w:rFonts w:cs="Arial"/>
          <w:sz w:val="22"/>
          <w:lang w:eastAsia="fr-FR"/>
        </w:rPr>
        <w:t xml:space="preserve"> </w:t>
      </w:r>
      <w:r>
        <w:rPr>
          <w:rFonts w:cs="Arial"/>
          <w:sz w:val="22"/>
          <w:lang w:eastAsia="fr-FR"/>
        </w:rPr>
        <w:t xml:space="preserve">2014-57-RQ-GF en </w:t>
      </w:r>
      <w:r w:rsidRPr="00C13095">
        <w:rPr>
          <w:rFonts w:cs="Arial"/>
          <w:sz w:val="22"/>
          <w:lang w:eastAsia="fr-FR"/>
        </w:rPr>
        <w:t xml:space="preserve">date du </w:t>
      </w:r>
      <w:r>
        <w:rPr>
          <w:rFonts w:cs="Arial"/>
          <w:sz w:val="22"/>
          <w:lang w:eastAsia="fr-FR"/>
        </w:rPr>
        <w:t>14 mai 2014</w:t>
      </w:r>
      <w:r w:rsidRPr="00C13095">
        <w:rPr>
          <w:rFonts w:cs="Arial"/>
          <w:sz w:val="22"/>
          <w:lang w:eastAsia="fr-FR"/>
        </w:rPr>
        <w:t>, par lequel le Procureur génér</w:t>
      </w:r>
      <w:r>
        <w:rPr>
          <w:rFonts w:cs="Arial"/>
          <w:sz w:val="22"/>
          <w:lang w:eastAsia="fr-FR"/>
        </w:rPr>
        <w:t xml:space="preserve">al de la République a saisi la deuxième </w:t>
      </w:r>
      <w:r w:rsidRPr="00C13095">
        <w:rPr>
          <w:rFonts w:cs="Arial"/>
          <w:sz w:val="22"/>
          <w:lang w:eastAsia="fr-FR"/>
        </w:rPr>
        <w:t xml:space="preserve">chambre de la Cour des comptes de </w:t>
      </w:r>
      <w:r>
        <w:rPr>
          <w:rFonts w:cs="Arial"/>
          <w:sz w:val="22"/>
          <w:lang w:eastAsia="fr-FR"/>
        </w:rPr>
        <w:t>faits constatés</w:t>
      </w:r>
      <w:r w:rsidRPr="009F4E53">
        <w:rPr>
          <w:rFonts w:cs="Arial"/>
          <w:sz w:val="22"/>
          <w:lang w:eastAsia="fr-FR"/>
        </w:rPr>
        <w:t xml:space="preserve"> dans le cadre de la gestion du fonds de dotation de </w:t>
      </w:r>
      <w:r>
        <w:rPr>
          <w:rFonts w:cs="Arial"/>
          <w:sz w:val="22"/>
          <w:lang w:eastAsia="fr-FR"/>
        </w:rPr>
        <w:t xml:space="preserve">Saint-Cyr Grande </w:t>
      </w:r>
      <w:proofErr w:type="spellStart"/>
      <w:r>
        <w:rPr>
          <w:rFonts w:cs="Arial"/>
          <w:sz w:val="22"/>
          <w:lang w:eastAsia="fr-FR"/>
        </w:rPr>
        <w:t>Ecole</w:t>
      </w:r>
      <w:proofErr w:type="spellEnd"/>
      <w:r>
        <w:rPr>
          <w:rFonts w:cs="Arial"/>
          <w:sz w:val="22"/>
          <w:lang w:eastAsia="fr-FR"/>
        </w:rPr>
        <w:t xml:space="preserve"> (</w:t>
      </w:r>
      <w:r w:rsidRPr="009F4E53">
        <w:rPr>
          <w:rFonts w:cs="Arial"/>
          <w:sz w:val="22"/>
          <w:lang w:eastAsia="fr-FR"/>
        </w:rPr>
        <w:t>SCGE</w:t>
      </w:r>
      <w:r>
        <w:rPr>
          <w:rFonts w:cs="Arial"/>
          <w:sz w:val="22"/>
          <w:lang w:eastAsia="fr-FR"/>
        </w:rPr>
        <w:t xml:space="preserve">) </w:t>
      </w:r>
      <w:r w:rsidRPr="00C13095">
        <w:rPr>
          <w:rFonts w:cs="Arial"/>
          <w:sz w:val="22"/>
          <w:lang w:eastAsia="fr-FR"/>
        </w:rPr>
        <w:t xml:space="preserve">au titre </w:t>
      </w:r>
      <w:r>
        <w:rPr>
          <w:rFonts w:cs="Arial"/>
          <w:sz w:val="22"/>
          <w:lang w:eastAsia="fr-FR"/>
        </w:rPr>
        <w:t>des exercices 2011 à 2012, et susceptibles de constituer une gestion de fait des deniers de l’</w:t>
      </w:r>
      <w:proofErr w:type="spellStart"/>
      <w:r>
        <w:rPr>
          <w:rFonts w:cs="Arial"/>
          <w:sz w:val="22"/>
          <w:lang w:eastAsia="fr-FR"/>
        </w:rPr>
        <w:t>Etat</w:t>
      </w:r>
      <w:proofErr w:type="spellEnd"/>
      <w:r>
        <w:rPr>
          <w:rFonts w:cs="Arial"/>
          <w:sz w:val="22"/>
          <w:lang w:eastAsia="fr-FR"/>
        </w:rPr>
        <w:t> ;</w:t>
      </w:r>
    </w:p>
    <w:p w:rsidR="009C6E76" w:rsidRDefault="009C6E76" w:rsidP="00C13095">
      <w:pPr>
        <w:tabs>
          <w:tab w:val="center" w:pos="4536"/>
          <w:tab w:val="right" w:pos="9072"/>
        </w:tabs>
        <w:spacing w:line="240" w:lineRule="auto"/>
        <w:jc w:val="both"/>
        <w:rPr>
          <w:rFonts w:cs="Arial"/>
          <w:sz w:val="22"/>
          <w:lang w:eastAsia="fr-FR"/>
        </w:rPr>
      </w:pPr>
    </w:p>
    <w:p w:rsidR="009C6E76" w:rsidRPr="00C13095" w:rsidRDefault="009C6E76" w:rsidP="00C13095">
      <w:pPr>
        <w:tabs>
          <w:tab w:val="center" w:pos="4536"/>
          <w:tab w:val="right" w:pos="9072"/>
        </w:tabs>
        <w:spacing w:line="240" w:lineRule="auto"/>
        <w:jc w:val="both"/>
        <w:rPr>
          <w:rFonts w:cs="Arial"/>
          <w:sz w:val="22"/>
          <w:lang w:eastAsia="fr-FR"/>
        </w:rPr>
      </w:pPr>
      <w:r>
        <w:rPr>
          <w:rFonts w:cs="Arial"/>
          <w:sz w:val="22"/>
          <w:lang w:eastAsia="fr-FR"/>
        </w:rPr>
        <w:t xml:space="preserve">Vu le réquisitoire supplétif </w:t>
      </w:r>
      <w:r w:rsidR="00AA6014">
        <w:rPr>
          <w:rFonts w:cs="Arial"/>
          <w:sz w:val="22"/>
          <w:lang w:eastAsia="fr-FR"/>
        </w:rPr>
        <w:t>n</w:t>
      </w:r>
      <w:r>
        <w:rPr>
          <w:rFonts w:cs="Arial"/>
          <w:sz w:val="22"/>
          <w:lang w:eastAsia="fr-FR"/>
        </w:rPr>
        <w:t>°</w:t>
      </w:r>
      <w:r w:rsidR="0076395C">
        <w:rPr>
          <w:rFonts w:cs="Arial"/>
          <w:sz w:val="22"/>
          <w:lang w:eastAsia="fr-FR"/>
        </w:rPr>
        <w:t xml:space="preserve"> </w:t>
      </w:r>
      <w:r>
        <w:rPr>
          <w:rFonts w:cs="Arial"/>
          <w:sz w:val="22"/>
          <w:lang w:eastAsia="fr-FR"/>
        </w:rPr>
        <w:t>2015-3-R</w:t>
      </w:r>
      <w:r w:rsidR="000F7B52">
        <w:rPr>
          <w:rFonts w:cs="Arial"/>
          <w:sz w:val="22"/>
          <w:lang w:eastAsia="fr-FR"/>
        </w:rPr>
        <w:t>Q</w:t>
      </w:r>
      <w:r>
        <w:rPr>
          <w:rFonts w:cs="Arial"/>
          <w:sz w:val="22"/>
          <w:lang w:eastAsia="fr-FR"/>
        </w:rPr>
        <w:t xml:space="preserve">-GF en date du 9 janvier 2015, par lequel </w:t>
      </w:r>
      <w:r w:rsidRPr="00C13095">
        <w:rPr>
          <w:rFonts w:cs="Arial"/>
          <w:sz w:val="22"/>
          <w:lang w:eastAsia="fr-FR"/>
        </w:rPr>
        <w:t>le Procureur génér</w:t>
      </w:r>
      <w:r>
        <w:rPr>
          <w:rFonts w:cs="Arial"/>
          <w:sz w:val="22"/>
          <w:lang w:eastAsia="fr-FR"/>
        </w:rPr>
        <w:t xml:space="preserve">al a saisi la deuxième chambre de la Cour des comptes d’opérations imputables à </w:t>
      </w:r>
      <w:r w:rsidR="004E7804">
        <w:rPr>
          <w:rFonts w:cs="Arial"/>
          <w:sz w:val="22"/>
          <w:lang w:eastAsia="fr-FR"/>
        </w:rPr>
        <w:t>M.</w:t>
      </w:r>
      <w:r w:rsidR="00B95E0A">
        <w:rPr>
          <w:rFonts w:cs="Arial"/>
          <w:sz w:val="22"/>
          <w:lang w:eastAsia="fr-FR"/>
        </w:rPr>
        <w:t> </w:t>
      </w:r>
      <w:r w:rsidR="004E7804">
        <w:rPr>
          <w:rFonts w:cs="Arial"/>
          <w:sz w:val="22"/>
          <w:lang w:eastAsia="fr-FR"/>
        </w:rPr>
        <w:t>Y</w:t>
      </w:r>
      <w:r>
        <w:rPr>
          <w:rFonts w:cs="Arial"/>
          <w:sz w:val="22"/>
          <w:lang w:eastAsia="fr-FR"/>
        </w:rPr>
        <w:t xml:space="preserve">, directeur de </w:t>
      </w:r>
      <w:r w:rsidRPr="0051704B">
        <w:rPr>
          <w:rFonts w:cs="Arial"/>
          <w:sz w:val="22"/>
          <w:lang w:eastAsia="fr-FR"/>
        </w:rPr>
        <w:t>centre de formation «</w:t>
      </w:r>
      <w:r w:rsidR="00B95E0A">
        <w:rPr>
          <w:rFonts w:cs="Arial"/>
          <w:sz w:val="22"/>
          <w:lang w:eastAsia="fr-FR"/>
        </w:rPr>
        <w:t> </w:t>
      </w:r>
      <w:r w:rsidRPr="0051704B">
        <w:rPr>
          <w:rFonts w:cs="Arial"/>
          <w:sz w:val="22"/>
          <w:lang w:eastAsia="fr-FR"/>
        </w:rPr>
        <w:t>Saint-Cyr Formation Continue</w:t>
      </w:r>
      <w:r w:rsidR="00B95E0A">
        <w:rPr>
          <w:rFonts w:cs="Arial"/>
          <w:sz w:val="22"/>
          <w:lang w:eastAsia="fr-FR"/>
        </w:rPr>
        <w:t> </w:t>
      </w:r>
      <w:r w:rsidRPr="0051704B">
        <w:rPr>
          <w:rFonts w:cs="Arial"/>
          <w:sz w:val="22"/>
          <w:lang w:eastAsia="fr-FR"/>
        </w:rPr>
        <w:t>» (SCYFCO)</w:t>
      </w:r>
      <w:r>
        <w:rPr>
          <w:rFonts w:cs="Arial"/>
          <w:sz w:val="22"/>
          <w:lang w:eastAsia="fr-FR"/>
        </w:rPr>
        <w:t xml:space="preserve"> au sein de SCGE ;</w:t>
      </w:r>
    </w:p>
    <w:p w:rsidR="009C6E76" w:rsidRPr="00C13095" w:rsidRDefault="009C6E76" w:rsidP="00C13095">
      <w:pPr>
        <w:tabs>
          <w:tab w:val="center" w:pos="4536"/>
          <w:tab w:val="right" w:pos="9072"/>
        </w:tabs>
        <w:spacing w:line="240" w:lineRule="auto"/>
        <w:jc w:val="both"/>
        <w:rPr>
          <w:rFonts w:cs="Arial"/>
          <w:sz w:val="22"/>
          <w:lang w:eastAsia="fr-FR"/>
        </w:rPr>
      </w:pPr>
    </w:p>
    <w:p w:rsidR="009C6E76" w:rsidRDefault="009C6E76" w:rsidP="00C13095">
      <w:pPr>
        <w:spacing w:line="240" w:lineRule="auto"/>
        <w:ind w:right="141"/>
        <w:jc w:val="both"/>
        <w:rPr>
          <w:rFonts w:cs="Arial"/>
          <w:sz w:val="22"/>
          <w:lang w:eastAsia="fr-FR"/>
        </w:rPr>
      </w:pPr>
      <w:r w:rsidRPr="00C13095">
        <w:rPr>
          <w:rFonts w:cs="Arial"/>
          <w:sz w:val="22"/>
          <w:lang w:eastAsia="fr-FR"/>
        </w:rPr>
        <w:t>V</w:t>
      </w:r>
      <w:r>
        <w:rPr>
          <w:rFonts w:cs="Arial"/>
          <w:sz w:val="22"/>
          <w:lang w:eastAsia="fr-FR"/>
        </w:rPr>
        <w:t>u</w:t>
      </w:r>
      <w:r w:rsidRPr="00C13095">
        <w:rPr>
          <w:rFonts w:cs="Arial"/>
          <w:sz w:val="22"/>
          <w:lang w:eastAsia="fr-FR"/>
        </w:rPr>
        <w:t xml:space="preserve"> </w:t>
      </w:r>
      <w:r>
        <w:rPr>
          <w:rFonts w:cs="Arial"/>
          <w:sz w:val="22"/>
          <w:lang w:eastAsia="fr-FR"/>
        </w:rPr>
        <w:t>le courrier électronique en date du 21 mai 2014, par lequel</w:t>
      </w:r>
      <w:r w:rsidRPr="001176A7">
        <w:rPr>
          <w:rFonts w:cs="Arial"/>
          <w:sz w:val="22"/>
          <w:lang w:eastAsia="fr-FR"/>
        </w:rPr>
        <w:t xml:space="preserve"> le président de la deuxième chamb</w:t>
      </w:r>
      <w:r>
        <w:rPr>
          <w:rFonts w:cs="Arial"/>
          <w:sz w:val="22"/>
          <w:lang w:eastAsia="fr-FR"/>
        </w:rPr>
        <w:t>re a désigné M. Laurent M</w:t>
      </w:r>
      <w:r w:rsidR="00B95E0A">
        <w:rPr>
          <w:rFonts w:cs="Arial"/>
          <w:sz w:val="22"/>
          <w:lang w:eastAsia="fr-FR"/>
        </w:rPr>
        <w:t>ICHELET</w:t>
      </w:r>
      <w:r w:rsidRPr="001176A7">
        <w:rPr>
          <w:rFonts w:cs="Arial"/>
          <w:sz w:val="22"/>
          <w:lang w:eastAsia="fr-FR"/>
        </w:rPr>
        <w:t xml:space="preserve">, conseiller référendaire, pour instruire ce </w:t>
      </w:r>
      <w:r>
        <w:rPr>
          <w:rFonts w:cs="Arial"/>
          <w:sz w:val="22"/>
          <w:lang w:eastAsia="fr-FR"/>
        </w:rPr>
        <w:t>dossier</w:t>
      </w:r>
      <w:r w:rsidR="00B95E0A">
        <w:rPr>
          <w:rFonts w:cs="Arial"/>
          <w:sz w:val="22"/>
          <w:lang w:eastAsia="fr-FR"/>
        </w:rPr>
        <w:t> ;</w:t>
      </w:r>
    </w:p>
    <w:p w:rsidR="009C6E76" w:rsidRDefault="009C6E76" w:rsidP="00C13095">
      <w:pPr>
        <w:spacing w:line="240" w:lineRule="auto"/>
        <w:ind w:right="141"/>
        <w:jc w:val="both"/>
        <w:rPr>
          <w:rFonts w:cs="Arial"/>
          <w:sz w:val="22"/>
          <w:lang w:eastAsia="fr-FR"/>
        </w:rPr>
      </w:pPr>
    </w:p>
    <w:p w:rsidR="009C6E76" w:rsidRPr="001176A7" w:rsidRDefault="009C6E76" w:rsidP="001176A7">
      <w:pPr>
        <w:spacing w:line="240" w:lineRule="auto"/>
        <w:ind w:right="141"/>
        <w:jc w:val="both"/>
        <w:rPr>
          <w:rFonts w:cs="Arial"/>
          <w:sz w:val="22"/>
          <w:lang w:eastAsia="fr-FR"/>
        </w:rPr>
      </w:pPr>
      <w:r>
        <w:rPr>
          <w:rFonts w:cs="Arial"/>
          <w:sz w:val="22"/>
          <w:lang w:eastAsia="fr-FR"/>
        </w:rPr>
        <w:t xml:space="preserve">Vu </w:t>
      </w:r>
      <w:r w:rsidRPr="001176A7">
        <w:rPr>
          <w:rFonts w:cs="Arial"/>
          <w:sz w:val="22"/>
          <w:lang w:eastAsia="fr-FR"/>
        </w:rPr>
        <w:t>les lettres du</w:t>
      </w:r>
      <w:r>
        <w:rPr>
          <w:rFonts w:cs="Arial"/>
          <w:sz w:val="22"/>
          <w:lang w:eastAsia="fr-FR"/>
        </w:rPr>
        <w:t xml:space="preserve"> 25 juillet 2014, 15 septembre 2014 et 14 janvier 2015 portant notification des</w:t>
      </w:r>
      <w:r w:rsidRPr="001176A7">
        <w:rPr>
          <w:rFonts w:cs="Arial"/>
          <w:sz w:val="22"/>
          <w:lang w:eastAsia="fr-FR"/>
        </w:rPr>
        <w:t xml:space="preserve"> réquisitoire</w:t>
      </w:r>
      <w:r>
        <w:rPr>
          <w:rFonts w:cs="Arial"/>
          <w:sz w:val="22"/>
          <w:lang w:eastAsia="fr-FR"/>
        </w:rPr>
        <w:t>s</w:t>
      </w:r>
      <w:r w:rsidRPr="001176A7">
        <w:rPr>
          <w:rFonts w:cs="Arial"/>
          <w:sz w:val="22"/>
          <w:lang w:eastAsia="fr-FR"/>
        </w:rPr>
        <w:t xml:space="preserve"> susvisé</w:t>
      </w:r>
      <w:r>
        <w:rPr>
          <w:rFonts w:cs="Arial"/>
          <w:sz w:val="22"/>
          <w:lang w:eastAsia="fr-FR"/>
        </w:rPr>
        <w:t>s</w:t>
      </w:r>
      <w:r w:rsidRPr="001176A7">
        <w:rPr>
          <w:rFonts w:cs="Arial"/>
          <w:sz w:val="22"/>
          <w:lang w:eastAsia="fr-FR"/>
        </w:rPr>
        <w:t xml:space="preserve"> aux parties et les informant de la désignation du rapporteur</w:t>
      </w:r>
      <w:r w:rsidR="00B95E0A">
        <w:rPr>
          <w:rFonts w:cs="Arial"/>
          <w:sz w:val="22"/>
          <w:lang w:eastAsia="fr-FR"/>
        </w:rPr>
        <w:t> ;</w:t>
      </w:r>
    </w:p>
    <w:p w:rsidR="009C6E76" w:rsidRPr="00C13095" w:rsidRDefault="009C6E76" w:rsidP="00C13095">
      <w:pPr>
        <w:spacing w:line="240" w:lineRule="auto"/>
        <w:ind w:right="141"/>
        <w:jc w:val="both"/>
        <w:rPr>
          <w:rFonts w:cs="Arial"/>
          <w:sz w:val="22"/>
          <w:lang w:eastAsia="fr-FR"/>
        </w:rPr>
      </w:pPr>
    </w:p>
    <w:p w:rsidR="009C6E76" w:rsidRPr="00C13095" w:rsidRDefault="009C6E76" w:rsidP="00F838C2">
      <w:pPr>
        <w:spacing w:after="240" w:line="240" w:lineRule="auto"/>
        <w:ind w:right="141"/>
        <w:jc w:val="both"/>
        <w:rPr>
          <w:rFonts w:cs="Arial"/>
          <w:sz w:val="22"/>
          <w:lang w:eastAsia="fr-FR"/>
        </w:rPr>
      </w:pPr>
      <w:r w:rsidRPr="00C13095">
        <w:rPr>
          <w:rFonts w:cs="Arial"/>
          <w:sz w:val="22"/>
          <w:lang w:eastAsia="fr-FR"/>
        </w:rPr>
        <w:t>V</w:t>
      </w:r>
      <w:r>
        <w:rPr>
          <w:rFonts w:cs="Arial"/>
          <w:sz w:val="22"/>
          <w:lang w:eastAsia="fr-FR"/>
        </w:rPr>
        <w:t>u</w:t>
      </w:r>
      <w:r w:rsidRPr="00C13095">
        <w:rPr>
          <w:rFonts w:cs="Arial"/>
          <w:sz w:val="22"/>
          <w:lang w:eastAsia="fr-FR"/>
        </w:rPr>
        <w:t xml:space="preserve"> l’article 60 de la loi de finances n° 63-156 du 23 février 1963 ;</w:t>
      </w:r>
    </w:p>
    <w:p w:rsidR="009C6E76" w:rsidRPr="00C13095" w:rsidRDefault="009C6E76" w:rsidP="00F838C2">
      <w:pPr>
        <w:spacing w:after="240" w:line="240" w:lineRule="auto"/>
        <w:ind w:right="141"/>
        <w:jc w:val="both"/>
        <w:rPr>
          <w:rFonts w:cs="Arial"/>
          <w:sz w:val="22"/>
          <w:lang w:eastAsia="fr-FR"/>
        </w:rPr>
      </w:pPr>
      <w:r w:rsidRPr="00C13095">
        <w:rPr>
          <w:rFonts w:cs="Arial"/>
          <w:sz w:val="22"/>
          <w:lang w:eastAsia="fr-FR"/>
        </w:rPr>
        <w:t>V</w:t>
      </w:r>
      <w:r>
        <w:rPr>
          <w:rFonts w:cs="Arial"/>
          <w:sz w:val="22"/>
          <w:lang w:eastAsia="fr-FR"/>
        </w:rPr>
        <w:t>u</w:t>
      </w:r>
      <w:r w:rsidRPr="00C13095">
        <w:rPr>
          <w:rFonts w:cs="Arial"/>
          <w:sz w:val="22"/>
          <w:lang w:eastAsia="fr-FR"/>
        </w:rPr>
        <w:t xml:space="preserve"> le code des juridictions financières</w:t>
      </w:r>
      <w:r w:rsidR="00B95E0A">
        <w:rPr>
          <w:rFonts w:cs="Arial"/>
          <w:sz w:val="22"/>
          <w:lang w:eastAsia="fr-FR"/>
        </w:rPr>
        <w:t> ;</w:t>
      </w:r>
    </w:p>
    <w:p w:rsidR="009C6E76" w:rsidRPr="00C13095" w:rsidRDefault="009C6E76" w:rsidP="00F838C2">
      <w:pPr>
        <w:spacing w:before="120" w:after="240" w:line="240" w:lineRule="auto"/>
        <w:ind w:right="141"/>
        <w:jc w:val="both"/>
        <w:rPr>
          <w:rFonts w:cs="Arial"/>
          <w:sz w:val="22"/>
          <w:lang w:eastAsia="fr-FR"/>
        </w:rPr>
      </w:pPr>
      <w:r w:rsidRPr="00C13095">
        <w:rPr>
          <w:rFonts w:cs="Arial"/>
          <w:bCs/>
          <w:sz w:val="22"/>
          <w:lang w:eastAsia="fr-FR"/>
        </w:rPr>
        <w:t>V</w:t>
      </w:r>
      <w:r>
        <w:rPr>
          <w:rFonts w:cs="Arial"/>
          <w:bCs/>
          <w:sz w:val="22"/>
          <w:lang w:eastAsia="fr-FR"/>
        </w:rPr>
        <w:t>u la loi n°</w:t>
      </w:r>
      <w:r w:rsidR="0076395C">
        <w:rPr>
          <w:rFonts w:cs="Arial"/>
          <w:bCs/>
          <w:sz w:val="22"/>
          <w:lang w:eastAsia="fr-FR"/>
        </w:rPr>
        <w:t xml:space="preserve"> </w:t>
      </w:r>
      <w:r>
        <w:rPr>
          <w:rFonts w:cs="Arial"/>
          <w:bCs/>
          <w:sz w:val="22"/>
          <w:lang w:eastAsia="fr-FR"/>
        </w:rPr>
        <w:t>2008-776 du 4 ao</w:t>
      </w:r>
      <w:r w:rsidR="008B63C9">
        <w:rPr>
          <w:rFonts w:cs="Arial"/>
          <w:bCs/>
          <w:sz w:val="22"/>
          <w:lang w:eastAsia="fr-FR"/>
        </w:rPr>
        <w:t>û</w:t>
      </w:r>
      <w:r>
        <w:rPr>
          <w:rFonts w:cs="Arial"/>
          <w:bCs/>
          <w:sz w:val="22"/>
          <w:lang w:eastAsia="fr-FR"/>
        </w:rPr>
        <w:t>t 2008 de modernisation de l’économie et plus particulièrement son article 140 ;</w:t>
      </w:r>
    </w:p>
    <w:p w:rsidR="009C6E76" w:rsidRPr="00C13095" w:rsidRDefault="009C6E76" w:rsidP="00C13095">
      <w:pPr>
        <w:spacing w:before="120" w:after="360" w:line="240" w:lineRule="auto"/>
        <w:ind w:right="141"/>
        <w:jc w:val="both"/>
        <w:rPr>
          <w:rFonts w:cs="Arial"/>
          <w:sz w:val="22"/>
          <w:lang w:eastAsia="fr-FR"/>
        </w:rPr>
      </w:pPr>
      <w:r w:rsidRPr="00C13095">
        <w:rPr>
          <w:rFonts w:cs="Arial"/>
          <w:sz w:val="22"/>
          <w:lang w:eastAsia="fr-FR"/>
        </w:rPr>
        <w:t>V</w:t>
      </w:r>
      <w:r>
        <w:rPr>
          <w:rFonts w:cs="Arial"/>
          <w:sz w:val="22"/>
          <w:lang w:eastAsia="fr-FR"/>
        </w:rPr>
        <w:t>u</w:t>
      </w:r>
      <w:r w:rsidRPr="00C13095">
        <w:rPr>
          <w:rFonts w:cs="Arial"/>
          <w:sz w:val="22"/>
          <w:lang w:eastAsia="fr-FR"/>
        </w:rPr>
        <w:t xml:space="preserve"> le décret n° 62-1587 du 29 décembre 1962 </w:t>
      </w:r>
      <w:r>
        <w:rPr>
          <w:rFonts w:cs="Arial"/>
          <w:sz w:val="22"/>
          <w:lang w:eastAsia="fr-FR"/>
        </w:rPr>
        <w:t xml:space="preserve">modifié </w:t>
      </w:r>
      <w:r w:rsidRPr="00C13095">
        <w:rPr>
          <w:rFonts w:cs="Arial"/>
          <w:sz w:val="22"/>
          <w:lang w:eastAsia="fr-FR"/>
        </w:rPr>
        <w:t xml:space="preserve">portant règlement général sur </w:t>
      </w:r>
      <w:r>
        <w:rPr>
          <w:rFonts w:cs="Arial"/>
          <w:sz w:val="22"/>
          <w:lang w:eastAsia="fr-FR"/>
        </w:rPr>
        <w:t>la comptabilité publique</w:t>
      </w:r>
      <w:r w:rsidR="00385A52">
        <w:rPr>
          <w:rFonts w:cs="Arial"/>
          <w:sz w:val="22"/>
          <w:lang w:eastAsia="fr-FR"/>
        </w:rPr>
        <w:t xml:space="preserve"> alors en vigueur et le décret n° 2012-1246 du 7 novembre 2012</w:t>
      </w:r>
      <w:r>
        <w:rPr>
          <w:rFonts w:cs="Arial"/>
          <w:sz w:val="22"/>
          <w:lang w:eastAsia="fr-FR"/>
        </w:rPr>
        <w:t> ;</w:t>
      </w:r>
    </w:p>
    <w:p w:rsidR="009C6E76" w:rsidRDefault="009C6E76" w:rsidP="00F838C2">
      <w:pPr>
        <w:spacing w:before="120" w:after="240" w:line="240" w:lineRule="auto"/>
        <w:ind w:right="141"/>
        <w:jc w:val="both"/>
        <w:rPr>
          <w:rFonts w:cs="Arial"/>
          <w:sz w:val="22"/>
          <w:lang w:eastAsia="fr-FR"/>
        </w:rPr>
      </w:pPr>
      <w:r w:rsidRPr="00C13095">
        <w:rPr>
          <w:rFonts w:cs="Arial"/>
          <w:sz w:val="22"/>
          <w:lang w:eastAsia="fr-FR"/>
        </w:rPr>
        <w:t>V</w:t>
      </w:r>
      <w:r>
        <w:rPr>
          <w:rFonts w:cs="Arial"/>
          <w:sz w:val="22"/>
          <w:lang w:eastAsia="fr-FR"/>
        </w:rPr>
        <w:t>u</w:t>
      </w:r>
      <w:r w:rsidRPr="00C13095">
        <w:rPr>
          <w:rFonts w:cs="Arial"/>
          <w:sz w:val="22"/>
          <w:lang w:eastAsia="fr-FR"/>
        </w:rPr>
        <w:t xml:space="preserve"> le décret n° </w:t>
      </w:r>
      <w:r>
        <w:rPr>
          <w:rFonts w:cs="Arial"/>
          <w:sz w:val="22"/>
          <w:lang w:eastAsia="fr-FR"/>
        </w:rPr>
        <w:t>2009-158 du 11 février 2009 relatif aux fonds de dotation ;</w:t>
      </w:r>
    </w:p>
    <w:p w:rsidR="0076395C" w:rsidRDefault="0076395C" w:rsidP="00F838C2">
      <w:pPr>
        <w:spacing w:before="120" w:after="240" w:line="240" w:lineRule="auto"/>
        <w:ind w:right="141"/>
        <w:jc w:val="both"/>
        <w:rPr>
          <w:rFonts w:cs="Arial"/>
          <w:sz w:val="22"/>
          <w:lang w:eastAsia="fr-FR"/>
        </w:rPr>
      </w:pPr>
    </w:p>
    <w:p w:rsidR="0076395C" w:rsidRDefault="0076395C" w:rsidP="00F838C2">
      <w:pPr>
        <w:spacing w:before="120" w:after="240" w:line="240" w:lineRule="auto"/>
        <w:ind w:right="141"/>
        <w:jc w:val="both"/>
        <w:rPr>
          <w:rFonts w:cs="Arial"/>
          <w:sz w:val="22"/>
          <w:lang w:eastAsia="fr-FR"/>
        </w:rPr>
      </w:pPr>
    </w:p>
    <w:p w:rsidR="009C6E76" w:rsidRDefault="009C6E76" w:rsidP="00F838C2">
      <w:pPr>
        <w:spacing w:before="120" w:after="240" w:line="240" w:lineRule="auto"/>
        <w:ind w:right="141"/>
        <w:jc w:val="both"/>
        <w:rPr>
          <w:rFonts w:cs="Arial"/>
          <w:sz w:val="22"/>
          <w:lang w:eastAsia="fr-FR"/>
        </w:rPr>
      </w:pPr>
      <w:r>
        <w:rPr>
          <w:rFonts w:cs="Arial"/>
          <w:sz w:val="22"/>
          <w:lang w:eastAsia="fr-FR"/>
        </w:rPr>
        <w:t>Vu le décret n°</w:t>
      </w:r>
      <w:r w:rsidR="0076395C">
        <w:rPr>
          <w:rFonts w:cs="Arial"/>
          <w:sz w:val="22"/>
          <w:lang w:eastAsia="fr-FR"/>
        </w:rPr>
        <w:t xml:space="preserve"> </w:t>
      </w:r>
      <w:r>
        <w:rPr>
          <w:rFonts w:cs="Arial"/>
          <w:sz w:val="22"/>
          <w:lang w:eastAsia="fr-FR"/>
        </w:rPr>
        <w:t>83-927 du 21 octobre 1983 fixant les conditions de remboursement de certaines dépenses supportées par les armées ;</w:t>
      </w:r>
    </w:p>
    <w:p w:rsidR="009C6E76" w:rsidRDefault="009C6E76" w:rsidP="00F838C2">
      <w:pPr>
        <w:spacing w:before="120" w:after="240" w:line="240" w:lineRule="auto"/>
        <w:ind w:right="141"/>
        <w:jc w:val="both"/>
        <w:rPr>
          <w:rFonts w:cs="Arial"/>
          <w:sz w:val="22"/>
          <w:lang w:eastAsia="fr-FR"/>
        </w:rPr>
      </w:pPr>
      <w:r>
        <w:rPr>
          <w:rFonts w:cs="Arial"/>
          <w:sz w:val="22"/>
          <w:lang w:eastAsia="fr-FR"/>
        </w:rPr>
        <w:t>Vu la convention du 23 janvier 2013 entre le fonds de dotation SCGE et le ministère de la défense ;</w:t>
      </w:r>
    </w:p>
    <w:p w:rsidR="009C6E76" w:rsidRPr="00C13095" w:rsidRDefault="009C6E76" w:rsidP="00F838C2">
      <w:pPr>
        <w:spacing w:before="120" w:after="240" w:line="240" w:lineRule="auto"/>
        <w:ind w:right="141"/>
        <w:jc w:val="both"/>
        <w:rPr>
          <w:rFonts w:cs="Arial"/>
          <w:sz w:val="22"/>
          <w:lang w:eastAsia="fr-FR"/>
        </w:rPr>
      </w:pPr>
      <w:r w:rsidRPr="00C13095">
        <w:rPr>
          <w:rFonts w:cs="Arial"/>
          <w:sz w:val="22"/>
          <w:lang w:eastAsia="fr-FR"/>
        </w:rPr>
        <w:t>V</w:t>
      </w:r>
      <w:r>
        <w:rPr>
          <w:rFonts w:cs="Arial"/>
          <w:sz w:val="22"/>
          <w:lang w:eastAsia="fr-FR"/>
        </w:rPr>
        <w:t>u</w:t>
      </w:r>
      <w:r w:rsidRPr="00C13095">
        <w:rPr>
          <w:rFonts w:cs="Arial"/>
          <w:sz w:val="22"/>
          <w:lang w:eastAsia="fr-FR"/>
        </w:rPr>
        <w:t xml:space="preserve"> </w:t>
      </w:r>
      <w:r>
        <w:rPr>
          <w:rFonts w:cs="Arial"/>
          <w:sz w:val="22"/>
          <w:lang w:eastAsia="fr-FR"/>
        </w:rPr>
        <w:t xml:space="preserve">le rapport à fin d’arrêt de M. Laurent </w:t>
      </w:r>
      <w:r w:rsidR="00B95E0A">
        <w:rPr>
          <w:rFonts w:cs="Arial"/>
          <w:sz w:val="22"/>
          <w:lang w:eastAsia="fr-FR"/>
        </w:rPr>
        <w:t>MICHELET,</w:t>
      </w:r>
      <w:r>
        <w:rPr>
          <w:rFonts w:cs="Arial"/>
          <w:sz w:val="22"/>
          <w:lang w:eastAsia="fr-FR"/>
        </w:rPr>
        <w:t xml:space="preserve"> conseiller référendaire, magistrat</w:t>
      </w:r>
      <w:r w:rsidRPr="00C13095">
        <w:rPr>
          <w:rFonts w:cs="Arial"/>
          <w:sz w:val="22"/>
          <w:lang w:eastAsia="fr-FR"/>
        </w:rPr>
        <w:t xml:space="preserve"> chargé de l’instruction ;</w:t>
      </w:r>
    </w:p>
    <w:p w:rsidR="009C6E76" w:rsidRPr="00C13095" w:rsidRDefault="006F5E46" w:rsidP="00F838C2">
      <w:pPr>
        <w:spacing w:before="120" w:after="240" w:line="240" w:lineRule="auto"/>
        <w:ind w:right="141"/>
        <w:jc w:val="both"/>
        <w:rPr>
          <w:rFonts w:cs="Arial"/>
          <w:sz w:val="22"/>
          <w:lang w:eastAsia="fr-FR"/>
        </w:rPr>
      </w:pPr>
      <w:r w:rsidRPr="006F5E46">
        <w:rPr>
          <w:rFonts w:cs="Arial"/>
          <w:sz w:val="22"/>
          <w:lang w:eastAsia="fr-FR"/>
        </w:rPr>
        <w:t>Vu les conclusions n° 356 en date du 10 juin 2</w:t>
      </w:r>
      <w:r w:rsidR="009C6E76" w:rsidRPr="006F5E46">
        <w:rPr>
          <w:rFonts w:cs="Arial"/>
          <w:sz w:val="22"/>
          <w:lang w:eastAsia="fr-FR"/>
        </w:rPr>
        <w:t>015 du Procureur général</w:t>
      </w:r>
      <w:r w:rsidR="00AA6014">
        <w:rPr>
          <w:rFonts w:cs="Arial"/>
          <w:sz w:val="22"/>
          <w:lang w:eastAsia="fr-FR"/>
        </w:rPr>
        <w:t> ;</w:t>
      </w:r>
    </w:p>
    <w:p w:rsidR="009C6E76" w:rsidRDefault="009C6E76" w:rsidP="00F838C2">
      <w:pPr>
        <w:spacing w:before="120" w:after="240" w:line="240" w:lineRule="auto"/>
        <w:ind w:right="141"/>
        <w:jc w:val="both"/>
        <w:rPr>
          <w:rFonts w:cs="Arial"/>
          <w:sz w:val="22"/>
          <w:lang w:eastAsia="fr-FR"/>
        </w:rPr>
      </w:pPr>
      <w:r w:rsidRPr="00C13095">
        <w:rPr>
          <w:rFonts w:cs="Arial"/>
          <w:sz w:val="22"/>
          <w:lang w:eastAsia="fr-FR"/>
        </w:rPr>
        <w:t>V</w:t>
      </w:r>
      <w:r>
        <w:rPr>
          <w:rFonts w:cs="Arial"/>
          <w:sz w:val="22"/>
          <w:lang w:eastAsia="fr-FR"/>
        </w:rPr>
        <w:t>u</w:t>
      </w:r>
      <w:r w:rsidRPr="00C13095">
        <w:rPr>
          <w:rFonts w:cs="Arial"/>
          <w:sz w:val="22"/>
          <w:lang w:eastAsia="fr-FR"/>
        </w:rPr>
        <w:t xml:space="preserve"> les pièces du dossier</w:t>
      </w:r>
      <w:r w:rsidR="00B95E0A">
        <w:rPr>
          <w:rFonts w:cs="Arial"/>
          <w:sz w:val="22"/>
          <w:lang w:eastAsia="fr-FR"/>
        </w:rPr>
        <w:t> ;</w:t>
      </w:r>
    </w:p>
    <w:p w:rsidR="009C6E76" w:rsidRPr="00C13095" w:rsidRDefault="009C6E76" w:rsidP="00F838C2">
      <w:pPr>
        <w:spacing w:before="120" w:after="240" w:line="240" w:lineRule="auto"/>
        <w:ind w:right="141"/>
        <w:jc w:val="both"/>
        <w:rPr>
          <w:rFonts w:cs="Arial"/>
          <w:sz w:val="22"/>
          <w:lang w:eastAsia="fr-FR"/>
        </w:rPr>
      </w:pPr>
      <w:r w:rsidRPr="00301F44">
        <w:rPr>
          <w:rFonts w:cs="Arial"/>
          <w:sz w:val="22"/>
          <w:lang w:eastAsia="fr-FR"/>
        </w:rPr>
        <w:t>Vu les courriers du</w:t>
      </w:r>
      <w:r w:rsidR="00301F44" w:rsidRPr="00301F44">
        <w:rPr>
          <w:rFonts w:cs="Arial"/>
          <w:sz w:val="22"/>
          <w:lang w:eastAsia="fr-FR"/>
        </w:rPr>
        <w:t xml:space="preserve"> 10 juin </w:t>
      </w:r>
      <w:r w:rsidRPr="00301F44">
        <w:rPr>
          <w:rFonts w:cs="Arial"/>
          <w:sz w:val="22"/>
          <w:lang w:eastAsia="fr-FR"/>
        </w:rPr>
        <w:t xml:space="preserve">2015 informant les parties de la tenue d’une audience publique en date du </w:t>
      </w:r>
      <w:r w:rsidR="00301F44" w:rsidRPr="00301F44">
        <w:rPr>
          <w:rFonts w:cs="Arial"/>
          <w:sz w:val="22"/>
          <w:lang w:eastAsia="fr-FR"/>
        </w:rPr>
        <w:t>23 juillet 2015</w:t>
      </w:r>
      <w:r w:rsidR="00AA6014">
        <w:rPr>
          <w:rFonts w:cs="Arial"/>
          <w:sz w:val="22"/>
          <w:lang w:eastAsia="fr-FR"/>
        </w:rPr>
        <w:t xml:space="preserve"> dont il a été accusé réception les 11, 12, 15 et 16 juin 2015</w:t>
      </w:r>
      <w:r w:rsidR="00301F44" w:rsidRPr="00301F44">
        <w:rPr>
          <w:rFonts w:cs="Arial"/>
          <w:sz w:val="22"/>
          <w:lang w:eastAsia="fr-FR"/>
        </w:rPr>
        <w:t> ;</w:t>
      </w:r>
    </w:p>
    <w:p w:rsidR="009C6E76" w:rsidRDefault="009C6E76" w:rsidP="00B95E0A">
      <w:pPr>
        <w:spacing w:before="120" w:after="240" w:line="240" w:lineRule="auto"/>
        <w:ind w:right="141"/>
        <w:jc w:val="both"/>
        <w:rPr>
          <w:rFonts w:cs="Arial"/>
          <w:sz w:val="22"/>
          <w:lang w:eastAsia="fr-FR"/>
        </w:rPr>
      </w:pPr>
      <w:r w:rsidRPr="009C7879">
        <w:rPr>
          <w:rFonts w:cs="Arial"/>
          <w:sz w:val="22"/>
          <w:lang w:eastAsia="fr-FR"/>
        </w:rPr>
        <w:t>Entendu lors de l’audience publique M. M</w:t>
      </w:r>
      <w:r w:rsidR="00B95E0A">
        <w:rPr>
          <w:rFonts w:cs="Arial"/>
          <w:sz w:val="22"/>
          <w:lang w:eastAsia="fr-FR"/>
        </w:rPr>
        <w:t>ICHELET</w:t>
      </w:r>
      <w:r w:rsidRPr="009C7879">
        <w:rPr>
          <w:rFonts w:cs="Arial"/>
          <w:sz w:val="22"/>
          <w:lang w:eastAsia="fr-FR"/>
        </w:rPr>
        <w:t xml:space="preserve">, en son </w:t>
      </w:r>
      <w:r w:rsidRPr="006F5E46">
        <w:rPr>
          <w:rFonts w:cs="Arial"/>
          <w:sz w:val="22"/>
          <w:lang w:eastAsia="fr-FR"/>
        </w:rPr>
        <w:t>rapport, M.</w:t>
      </w:r>
      <w:r w:rsidR="009C7879" w:rsidRPr="006F5E46">
        <w:rPr>
          <w:rFonts w:cs="Arial"/>
          <w:sz w:val="22"/>
          <w:lang w:eastAsia="fr-FR"/>
        </w:rPr>
        <w:t xml:space="preserve"> Hervé R</w:t>
      </w:r>
      <w:r w:rsidR="00B95E0A">
        <w:rPr>
          <w:rFonts w:cs="Arial"/>
          <w:sz w:val="22"/>
          <w:lang w:eastAsia="fr-FR"/>
        </w:rPr>
        <w:t>OBERT</w:t>
      </w:r>
      <w:r w:rsidR="009C7879" w:rsidRPr="006F5E46">
        <w:rPr>
          <w:rFonts w:cs="Arial"/>
          <w:sz w:val="22"/>
          <w:lang w:eastAsia="fr-FR"/>
        </w:rPr>
        <w:t xml:space="preserve">, substitut </w:t>
      </w:r>
      <w:r w:rsidR="006F5E46" w:rsidRPr="006F5E46">
        <w:rPr>
          <w:rFonts w:cs="Arial"/>
          <w:sz w:val="22"/>
          <w:lang w:eastAsia="fr-FR"/>
        </w:rPr>
        <w:t>général</w:t>
      </w:r>
      <w:r w:rsidR="009C7879" w:rsidRPr="006F5E46">
        <w:rPr>
          <w:rFonts w:cs="Arial"/>
          <w:sz w:val="22"/>
          <w:lang w:eastAsia="fr-FR"/>
        </w:rPr>
        <w:t xml:space="preserve">, </w:t>
      </w:r>
      <w:r w:rsidRPr="006F5E46">
        <w:rPr>
          <w:rFonts w:cs="Arial"/>
          <w:sz w:val="22"/>
          <w:lang w:eastAsia="fr-FR"/>
        </w:rPr>
        <w:t>en ses conclusions ;</w:t>
      </w:r>
      <w:r w:rsidR="00AA6014">
        <w:rPr>
          <w:rFonts w:cs="Arial"/>
          <w:sz w:val="22"/>
          <w:lang w:eastAsia="fr-FR"/>
        </w:rPr>
        <w:t xml:space="preserve"> </w:t>
      </w:r>
      <w:r w:rsidR="00AA6014" w:rsidRPr="0076395C">
        <w:rPr>
          <w:rFonts w:cs="Arial"/>
          <w:sz w:val="22"/>
          <w:lang w:eastAsia="fr-FR"/>
        </w:rPr>
        <w:t xml:space="preserve">le fonds de dotation Saint-Cyr Grande </w:t>
      </w:r>
      <w:proofErr w:type="spellStart"/>
      <w:r w:rsidR="00AA6014" w:rsidRPr="0076395C">
        <w:rPr>
          <w:rFonts w:cs="Arial"/>
          <w:sz w:val="22"/>
          <w:lang w:eastAsia="fr-FR"/>
        </w:rPr>
        <w:t>Ecole</w:t>
      </w:r>
      <w:proofErr w:type="spellEnd"/>
      <w:r w:rsidR="00AA6014" w:rsidRPr="0076395C">
        <w:rPr>
          <w:rFonts w:cs="Arial"/>
          <w:sz w:val="22"/>
          <w:lang w:eastAsia="fr-FR"/>
        </w:rPr>
        <w:t>, représenté par son président en exercice et M</w:t>
      </w:r>
      <w:r w:rsidR="00B95E0A" w:rsidRPr="00B95E0A">
        <w:rPr>
          <w:rFonts w:cs="Arial"/>
          <w:sz w:val="22"/>
          <w:vertAlign w:val="superscript"/>
          <w:lang w:eastAsia="fr-FR"/>
        </w:rPr>
        <w:t>e</w:t>
      </w:r>
      <w:r w:rsidR="00AA6014" w:rsidRPr="0076395C">
        <w:rPr>
          <w:rFonts w:cs="Arial"/>
          <w:sz w:val="22"/>
          <w:lang w:eastAsia="fr-FR"/>
        </w:rPr>
        <w:t xml:space="preserve"> Arnaud C</w:t>
      </w:r>
      <w:r w:rsidR="00B95E0A">
        <w:rPr>
          <w:rFonts w:cs="Arial"/>
          <w:sz w:val="22"/>
          <w:lang w:eastAsia="fr-FR"/>
        </w:rPr>
        <w:t>HARVIN</w:t>
      </w:r>
      <w:r w:rsidR="00AA6014" w:rsidRPr="0076395C">
        <w:rPr>
          <w:rFonts w:cs="Arial"/>
          <w:sz w:val="22"/>
          <w:lang w:eastAsia="fr-FR"/>
        </w:rPr>
        <w:t xml:space="preserve">, avocat, en leurs observations ; en présence des généraux </w:t>
      </w:r>
      <w:r w:rsidR="004E7804">
        <w:rPr>
          <w:rFonts w:cs="Arial"/>
          <w:sz w:val="22"/>
          <w:lang w:eastAsia="fr-FR"/>
        </w:rPr>
        <w:t>Z</w:t>
      </w:r>
      <w:r w:rsidR="00AA6014" w:rsidRPr="0076395C">
        <w:rPr>
          <w:rFonts w:cs="Arial"/>
          <w:sz w:val="22"/>
          <w:lang w:eastAsia="fr-FR"/>
        </w:rPr>
        <w:t xml:space="preserve"> et </w:t>
      </w:r>
      <w:r w:rsidR="004E7804">
        <w:rPr>
          <w:rFonts w:cs="Arial"/>
          <w:sz w:val="22"/>
          <w:lang w:eastAsia="fr-FR"/>
        </w:rPr>
        <w:t>A</w:t>
      </w:r>
      <w:r w:rsidR="00AA6014" w:rsidRPr="0076395C">
        <w:rPr>
          <w:rFonts w:cs="Arial"/>
          <w:sz w:val="22"/>
          <w:lang w:eastAsia="fr-FR"/>
        </w:rPr>
        <w:t>, du lieutenant</w:t>
      </w:r>
      <w:r w:rsidR="00FC3327" w:rsidRPr="0076395C">
        <w:rPr>
          <w:rFonts w:cs="Arial"/>
          <w:sz w:val="22"/>
          <w:lang w:eastAsia="fr-FR"/>
        </w:rPr>
        <w:t>-</w:t>
      </w:r>
      <w:r w:rsidR="00AA6014" w:rsidRPr="0076395C">
        <w:rPr>
          <w:rFonts w:cs="Arial"/>
          <w:sz w:val="22"/>
          <w:lang w:eastAsia="fr-FR"/>
        </w:rPr>
        <w:t xml:space="preserve">colonel </w:t>
      </w:r>
      <w:r w:rsidR="004E7804">
        <w:rPr>
          <w:rFonts w:cs="Arial"/>
          <w:sz w:val="22"/>
          <w:lang w:eastAsia="fr-FR"/>
        </w:rPr>
        <w:t>Y</w:t>
      </w:r>
      <w:r w:rsidR="00AA6014" w:rsidRPr="0076395C">
        <w:rPr>
          <w:rFonts w:cs="Arial"/>
          <w:sz w:val="22"/>
          <w:lang w:eastAsia="fr-FR"/>
        </w:rPr>
        <w:t>, et de MM</w:t>
      </w:r>
      <w:r w:rsidR="0076395C" w:rsidRPr="0076395C">
        <w:rPr>
          <w:rFonts w:cs="Arial"/>
          <w:sz w:val="22"/>
          <w:lang w:eastAsia="fr-FR"/>
        </w:rPr>
        <w:t>.</w:t>
      </w:r>
      <w:r w:rsidR="00AA6014" w:rsidRPr="0076395C">
        <w:rPr>
          <w:rFonts w:cs="Arial"/>
          <w:sz w:val="22"/>
          <w:lang w:eastAsia="fr-FR"/>
        </w:rPr>
        <w:t xml:space="preserve"> </w:t>
      </w:r>
      <w:r w:rsidR="004E7804">
        <w:rPr>
          <w:rFonts w:cs="Arial"/>
          <w:sz w:val="22"/>
          <w:lang w:eastAsia="fr-FR"/>
        </w:rPr>
        <w:t>B</w:t>
      </w:r>
      <w:r w:rsidR="00AA6014" w:rsidRPr="0076395C">
        <w:rPr>
          <w:rFonts w:cs="Arial"/>
          <w:sz w:val="22"/>
          <w:lang w:eastAsia="fr-FR"/>
        </w:rPr>
        <w:t xml:space="preserve"> et </w:t>
      </w:r>
      <w:r w:rsidR="004E7804">
        <w:rPr>
          <w:rFonts w:cs="Arial"/>
          <w:sz w:val="22"/>
          <w:lang w:eastAsia="fr-FR"/>
        </w:rPr>
        <w:t>X</w:t>
      </w:r>
      <w:r w:rsidR="00AA6014" w:rsidRPr="0076395C">
        <w:rPr>
          <w:rFonts w:cs="Arial"/>
          <w:sz w:val="22"/>
          <w:lang w:eastAsia="fr-FR"/>
        </w:rPr>
        <w:t xml:space="preserve"> qui, invités à s’exprimer, n’ont pas souhaité prendre la parole ;</w:t>
      </w:r>
    </w:p>
    <w:p w:rsidR="009C6E76" w:rsidRPr="00E570A1" w:rsidRDefault="009C6E76" w:rsidP="00E570A1">
      <w:pPr>
        <w:spacing w:line="240" w:lineRule="auto"/>
        <w:ind w:right="141"/>
        <w:jc w:val="both"/>
        <w:rPr>
          <w:rFonts w:cs="Arial"/>
          <w:sz w:val="22"/>
          <w:lang w:eastAsia="fr-FR"/>
        </w:rPr>
      </w:pPr>
      <w:r w:rsidRPr="009C7879">
        <w:rPr>
          <w:rFonts w:cs="Arial"/>
          <w:sz w:val="22"/>
          <w:lang w:eastAsia="fr-FR"/>
        </w:rPr>
        <w:t>Entendu en délibéré M.</w:t>
      </w:r>
      <w:r w:rsidR="009C7879">
        <w:rPr>
          <w:rFonts w:cs="Arial"/>
          <w:sz w:val="22"/>
          <w:lang w:eastAsia="fr-FR"/>
        </w:rPr>
        <w:t xml:space="preserve"> </w:t>
      </w:r>
      <w:r w:rsidR="009C7879" w:rsidRPr="009C7879">
        <w:rPr>
          <w:rFonts w:cs="Arial"/>
          <w:sz w:val="22"/>
          <w:lang w:eastAsia="fr-FR"/>
        </w:rPr>
        <w:t>Pierre R</w:t>
      </w:r>
      <w:r w:rsidR="00B95E0A">
        <w:rPr>
          <w:rFonts w:cs="Arial"/>
          <w:sz w:val="22"/>
          <w:lang w:eastAsia="fr-FR"/>
        </w:rPr>
        <w:t>OCCA</w:t>
      </w:r>
      <w:r w:rsidR="009C7879" w:rsidRPr="009C7879">
        <w:rPr>
          <w:rFonts w:cs="Arial"/>
          <w:sz w:val="22"/>
          <w:lang w:eastAsia="fr-FR"/>
        </w:rPr>
        <w:t xml:space="preserve">, conseiller maître, </w:t>
      </w:r>
      <w:r w:rsidRPr="009C7879">
        <w:rPr>
          <w:rFonts w:cs="Arial"/>
          <w:sz w:val="22"/>
          <w:lang w:eastAsia="fr-FR"/>
        </w:rPr>
        <w:t>en ses observations ;</w:t>
      </w:r>
    </w:p>
    <w:p w:rsidR="009C6E76" w:rsidRDefault="009C6E76" w:rsidP="00E570A1">
      <w:pPr>
        <w:spacing w:line="240" w:lineRule="auto"/>
        <w:ind w:right="141"/>
        <w:jc w:val="both"/>
        <w:rPr>
          <w:rFonts w:ascii="Times New Roman" w:hAnsi="Times New Roman"/>
          <w:sz w:val="24"/>
          <w:szCs w:val="20"/>
          <w:lang w:eastAsia="fr-FR"/>
        </w:rPr>
      </w:pPr>
    </w:p>
    <w:p w:rsidR="00A034B1" w:rsidRPr="00E570A1" w:rsidRDefault="00A034B1" w:rsidP="00E570A1">
      <w:pPr>
        <w:spacing w:line="240" w:lineRule="auto"/>
        <w:ind w:right="141"/>
        <w:jc w:val="both"/>
        <w:rPr>
          <w:rFonts w:ascii="Times New Roman" w:hAnsi="Times New Roman"/>
          <w:sz w:val="24"/>
          <w:szCs w:val="20"/>
          <w:lang w:eastAsia="fr-FR"/>
        </w:rPr>
      </w:pPr>
    </w:p>
    <w:p w:rsidR="00A034B1" w:rsidRDefault="00A034B1" w:rsidP="00E570A1">
      <w:pPr>
        <w:tabs>
          <w:tab w:val="center" w:pos="4536"/>
          <w:tab w:val="right" w:pos="9072"/>
        </w:tabs>
        <w:spacing w:line="240" w:lineRule="auto"/>
        <w:jc w:val="both"/>
        <w:rPr>
          <w:rFonts w:cs="Arial"/>
          <w:b/>
          <w:i/>
          <w:sz w:val="22"/>
          <w:lang w:eastAsia="fr-FR"/>
        </w:rPr>
      </w:pPr>
      <w:r>
        <w:rPr>
          <w:rFonts w:cs="Arial"/>
          <w:b/>
          <w:i/>
          <w:sz w:val="22"/>
          <w:lang w:eastAsia="fr-FR"/>
        </w:rPr>
        <w:t>Sur la procédure</w:t>
      </w:r>
    </w:p>
    <w:p w:rsidR="00A034B1" w:rsidRDefault="00A034B1" w:rsidP="004975A9">
      <w:pPr>
        <w:tabs>
          <w:tab w:val="center" w:pos="4536"/>
          <w:tab w:val="right" w:pos="9072"/>
        </w:tabs>
        <w:spacing w:line="240" w:lineRule="auto"/>
        <w:jc w:val="both"/>
        <w:rPr>
          <w:rFonts w:cs="Arial"/>
          <w:sz w:val="22"/>
          <w:lang w:eastAsia="fr-FR"/>
        </w:rPr>
      </w:pPr>
    </w:p>
    <w:p w:rsidR="00A034B1" w:rsidRDefault="00A034B1" w:rsidP="004975A9">
      <w:pPr>
        <w:tabs>
          <w:tab w:val="center" w:pos="4536"/>
          <w:tab w:val="right" w:pos="9072"/>
        </w:tabs>
        <w:spacing w:line="240" w:lineRule="auto"/>
        <w:jc w:val="both"/>
        <w:rPr>
          <w:rFonts w:cs="Arial"/>
          <w:sz w:val="22"/>
          <w:lang w:eastAsia="fr-FR"/>
        </w:rPr>
      </w:pPr>
      <w:r w:rsidRPr="00A034B1">
        <w:rPr>
          <w:rFonts w:cs="Arial"/>
          <w:sz w:val="22"/>
          <w:lang w:eastAsia="fr-FR"/>
        </w:rPr>
        <w:t>Attendu que</w:t>
      </w:r>
      <w:r w:rsidR="00640D64">
        <w:rPr>
          <w:rFonts w:cs="Arial"/>
          <w:sz w:val="22"/>
          <w:lang w:eastAsia="fr-FR"/>
        </w:rPr>
        <w:t>,</w:t>
      </w:r>
      <w:r w:rsidRPr="00A034B1">
        <w:rPr>
          <w:rFonts w:cs="Arial"/>
          <w:sz w:val="22"/>
          <w:lang w:eastAsia="fr-FR"/>
        </w:rPr>
        <w:t xml:space="preserve"> par réquisitoire</w:t>
      </w:r>
      <w:r w:rsidR="00640D64">
        <w:rPr>
          <w:rFonts w:cs="Arial"/>
          <w:sz w:val="22"/>
          <w:lang w:eastAsia="fr-FR"/>
        </w:rPr>
        <w:t>s</w:t>
      </w:r>
      <w:r w:rsidRPr="00A034B1">
        <w:rPr>
          <w:rFonts w:cs="Arial"/>
          <w:sz w:val="22"/>
          <w:lang w:eastAsia="fr-FR"/>
        </w:rPr>
        <w:t xml:space="preserve"> </w:t>
      </w:r>
      <w:r>
        <w:rPr>
          <w:rFonts w:cs="Arial"/>
          <w:sz w:val="22"/>
          <w:lang w:eastAsia="fr-FR"/>
        </w:rPr>
        <w:t>n°</w:t>
      </w:r>
      <w:r w:rsidR="0076395C">
        <w:rPr>
          <w:rFonts w:cs="Arial"/>
          <w:sz w:val="22"/>
          <w:lang w:eastAsia="fr-FR"/>
        </w:rPr>
        <w:t xml:space="preserve"> </w:t>
      </w:r>
      <w:r>
        <w:rPr>
          <w:rFonts w:cs="Arial"/>
          <w:sz w:val="22"/>
          <w:lang w:eastAsia="fr-FR"/>
        </w:rPr>
        <w:t xml:space="preserve">2014-57-RQ-GF en </w:t>
      </w:r>
      <w:r w:rsidRPr="00C13095">
        <w:rPr>
          <w:rFonts w:cs="Arial"/>
          <w:sz w:val="22"/>
          <w:lang w:eastAsia="fr-FR"/>
        </w:rPr>
        <w:t xml:space="preserve">date du </w:t>
      </w:r>
      <w:r>
        <w:rPr>
          <w:rFonts w:cs="Arial"/>
          <w:sz w:val="22"/>
          <w:lang w:eastAsia="fr-FR"/>
        </w:rPr>
        <w:t xml:space="preserve">14 mai 2014 </w:t>
      </w:r>
      <w:r w:rsidR="000F7B52">
        <w:rPr>
          <w:rFonts w:cs="Arial"/>
          <w:sz w:val="22"/>
          <w:lang w:eastAsia="fr-FR"/>
        </w:rPr>
        <w:t>et n° 2015-3-RQ</w:t>
      </w:r>
      <w:r w:rsidR="00B95E0A">
        <w:rPr>
          <w:rFonts w:cs="Arial"/>
          <w:sz w:val="22"/>
          <w:lang w:eastAsia="fr-FR"/>
        </w:rPr>
        <w:t>-</w:t>
      </w:r>
      <w:r w:rsidR="00640D64">
        <w:rPr>
          <w:rFonts w:cs="Arial"/>
          <w:sz w:val="22"/>
          <w:lang w:eastAsia="fr-FR"/>
        </w:rPr>
        <w:t xml:space="preserve">GF en date du 9 janvier 2015, </w:t>
      </w:r>
      <w:r>
        <w:rPr>
          <w:rFonts w:cs="Arial"/>
          <w:sz w:val="22"/>
          <w:lang w:eastAsia="fr-FR"/>
        </w:rPr>
        <w:t>la Cour a été saisi</w:t>
      </w:r>
      <w:r w:rsidR="00640D64">
        <w:rPr>
          <w:rFonts w:cs="Arial"/>
          <w:sz w:val="22"/>
          <w:lang w:eastAsia="fr-FR"/>
        </w:rPr>
        <w:t>e</w:t>
      </w:r>
      <w:r>
        <w:rPr>
          <w:rFonts w:cs="Arial"/>
          <w:sz w:val="22"/>
          <w:lang w:eastAsia="fr-FR"/>
        </w:rPr>
        <w:t xml:space="preserve"> de faits présomptifs de gestion de fait des deniers de l’</w:t>
      </w:r>
      <w:proofErr w:type="spellStart"/>
      <w:r>
        <w:rPr>
          <w:rFonts w:cs="Arial"/>
          <w:sz w:val="22"/>
          <w:lang w:eastAsia="fr-FR"/>
        </w:rPr>
        <w:t>Etat</w:t>
      </w:r>
      <w:proofErr w:type="spellEnd"/>
      <w:r>
        <w:rPr>
          <w:rFonts w:cs="Arial"/>
          <w:sz w:val="22"/>
          <w:lang w:eastAsia="fr-FR"/>
        </w:rPr>
        <w:t xml:space="preserve"> à travers la gestion du fonds de dotation </w:t>
      </w:r>
      <w:r w:rsidR="00640D64">
        <w:rPr>
          <w:rFonts w:cs="Arial"/>
          <w:sz w:val="22"/>
          <w:lang w:eastAsia="fr-FR"/>
        </w:rPr>
        <w:t xml:space="preserve">« Saint-Cyr Grande </w:t>
      </w:r>
      <w:proofErr w:type="spellStart"/>
      <w:r w:rsidR="00640D64">
        <w:rPr>
          <w:rFonts w:cs="Arial"/>
          <w:sz w:val="22"/>
          <w:lang w:eastAsia="fr-FR"/>
        </w:rPr>
        <w:t>Ecole</w:t>
      </w:r>
      <w:proofErr w:type="spellEnd"/>
      <w:r w:rsidR="00640D64">
        <w:rPr>
          <w:rFonts w:cs="Arial"/>
          <w:sz w:val="22"/>
          <w:lang w:eastAsia="fr-FR"/>
        </w:rPr>
        <w:t xml:space="preserve"> » ; que la période concernée et les opérations en cause étaient déterminées ; que les réquisitoires visaient le fonds de dotation </w:t>
      </w:r>
      <w:r w:rsidR="004975A9">
        <w:rPr>
          <w:rFonts w:cs="Arial"/>
          <w:sz w:val="22"/>
          <w:lang w:eastAsia="fr-FR"/>
        </w:rPr>
        <w:t>en tant que personne morale « </w:t>
      </w:r>
      <w:r w:rsidR="00640D64">
        <w:rPr>
          <w:rFonts w:cs="Arial"/>
          <w:sz w:val="22"/>
          <w:lang w:eastAsia="fr-FR"/>
        </w:rPr>
        <w:t>ainsi que toute autre personne qui aurait pris part aux opérations irrégulières</w:t>
      </w:r>
      <w:r w:rsidR="004975A9">
        <w:rPr>
          <w:rFonts w:cs="Arial"/>
          <w:sz w:val="22"/>
          <w:lang w:eastAsia="fr-FR"/>
        </w:rPr>
        <w:t> » ;</w:t>
      </w:r>
    </w:p>
    <w:p w:rsidR="004975A9" w:rsidRDefault="004975A9" w:rsidP="004975A9">
      <w:pPr>
        <w:tabs>
          <w:tab w:val="center" w:pos="4536"/>
          <w:tab w:val="right" w:pos="9072"/>
        </w:tabs>
        <w:spacing w:line="240" w:lineRule="auto"/>
        <w:jc w:val="both"/>
        <w:rPr>
          <w:rFonts w:cs="Arial"/>
          <w:sz w:val="22"/>
          <w:lang w:eastAsia="fr-FR"/>
        </w:rPr>
      </w:pPr>
    </w:p>
    <w:p w:rsidR="004975A9" w:rsidRPr="004975A9" w:rsidRDefault="004975A9" w:rsidP="004975A9">
      <w:pPr>
        <w:jc w:val="both"/>
        <w:rPr>
          <w:sz w:val="22"/>
        </w:rPr>
      </w:pPr>
      <w:r w:rsidRPr="004975A9">
        <w:rPr>
          <w:sz w:val="22"/>
        </w:rPr>
        <w:t>Attendu</w:t>
      </w:r>
      <w:r>
        <w:rPr>
          <w:sz w:val="22"/>
        </w:rPr>
        <w:t xml:space="preserve"> </w:t>
      </w:r>
      <w:r w:rsidRPr="004975A9">
        <w:rPr>
          <w:sz w:val="22"/>
        </w:rPr>
        <w:t>que les parties à l’instance on</w:t>
      </w:r>
      <w:r>
        <w:rPr>
          <w:sz w:val="22"/>
        </w:rPr>
        <w:t>t été régulièrement informées des</w:t>
      </w:r>
      <w:r w:rsidRPr="004975A9">
        <w:rPr>
          <w:sz w:val="22"/>
        </w:rPr>
        <w:t xml:space="preserve"> réquisitoire</w:t>
      </w:r>
      <w:r>
        <w:rPr>
          <w:sz w:val="22"/>
        </w:rPr>
        <w:t>s</w:t>
      </w:r>
      <w:r w:rsidRPr="004975A9">
        <w:rPr>
          <w:sz w:val="22"/>
        </w:rPr>
        <w:t xml:space="preserve"> et de la désignation du magistrat instructeur, par courriers de notification du greffe en date</w:t>
      </w:r>
      <w:r>
        <w:rPr>
          <w:sz w:val="22"/>
        </w:rPr>
        <w:t>s</w:t>
      </w:r>
      <w:r w:rsidRPr="004975A9">
        <w:rPr>
          <w:sz w:val="22"/>
        </w:rPr>
        <w:t xml:space="preserve"> </w:t>
      </w:r>
      <w:r>
        <w:rPr>
          <w:sz w:val="22"/>
        </w:rPr>
        <w:t xml:space="preserve">des </w:t>
      </w:r>
      <w:r>
        <w:rPr>
          <w:rFonts w:cs="Arial"/>
          <w:sz w:val="22"/>
          <w:lang w:eastAsia="fr-FR"/>
        </w:rPr>
        <w:t>25 juillet 2014, 15 septembre 2014 et 14 janvier 2015</w:t>
      </w:r>
      <w:r w:rsidRPr="004975A9">
        <w:rPr>
          <w:sz w:val="22"/>
        </w:rPr>
        <w:t xml:space="preserve"> dont il a été accusé réception par chacune des parties ; que </w:t>
      </w:r>
      <w:r>
        <w:rPr>
          <w:sz w:val="22"/>
        </w:rPr>
        <w:t>les parties en cause</w:t>
      </w:r>
      <w:r w:rsidRPr="004975A9">
        <w:rPr>
          <w:sz w:val="22"/>
        </w:rPr>
        <w:t xml:space="preserve"> ont été ainsi dûment avisé</w:t>
      </w:r>
      <w:r>
        <w:rPr>
          <w:sz w:val="22"/>
        </w:rPr>
        <w:t>e</w:t>
      </w:r>
      <w:r w:rsidRPr="004975A9">
        <w:rPr>
          <w:sz w:val="22"/>
        </w:rPr>
        <w:t>s de la présomption de charge les concernant ;</w:t>
      </w:r>
    </w:p>
    <w:p w:rsidR="004975A9" w:rsidRPr="00A034B1" w:rsidRDefault="004975A9" w:rsidP="00D847C7">
      <w:pPr>
        <w:tabs>
          <w:tab w:val="center" w:pos="4536"/>
          <w:tab w:val="right" w:pos="9072"/>
        </w:tabs>
        <w:spacing w:line="240" w:lineRule="auto"/>
        <w:jc w:val="both"/>
        <w:rPr>
          <w:rFonts w:cs="Arial"/>
          <w:sz w:val="22"/>
          <w:lang w:eastAsia="fr-FR"/>
        </w:rPr>
      </w:pPr>
    </w:p>
    <w:p w:rsidR="004975A9" w:rsidRPr="00976CAE" w:rsidRDefault="004975A9" w:rsidP="00D847C7">
      <w:pPr>
        <w:jc w:val="both"/>
        <w:rPr>
          <w:sz w:val="22"/>
        </w:rPr>
      </w:pPr>
      <w:r w:rsidRPr="00976CAE">
        <w:rPr>
          <w:sz w:val="22"/>
        </w:rPr>
        <w:t xml:space="preserve">Attendu que les </w:t>
      </w:r>
      <w:r w:rsidRPr="00301F44">
        <w:rPr>
          <w:sz w:val="22"/>
        </w:rPr>
        <w:t xml:space="preserve">parties à l’instance ont été avisées par le greffe de la clôture de l’instruction par lettre en date du </w:t>
      </w:r>
      <w:r w:rsidR="00301F44" w:rsidRPr="00301F44">
        <w:rPr>
          <w:sz w:val="22"/>
        </w:rPr>
        <w:t>11 mars</w:t>
      </w:r>
      <w:r w:rsidRPr="00301F44">
        <w:rPr>
          <w:sz w:val="22"/>
        </w:rPr>
        <w:t xml:space="preserve"> 2015, du dépôt des conclusions du ministère et de l’inscription de l’affaire au rôle de l’audience publique du </w:t>
      </w:r>
      <w:r w:rsidR="0033161A" w:rsidRPr="00301F44">
        <w:rPr>
          <w:sz w:val="22"/>
        </w:rPr>
        <w:t>23 juillet 2015</w:t>
      </w:r>
      <w:r w:rsidRPr="00301F44">
        <w:rPr>
          <w:sz w:val="22"/>
        </w:rPr>
        <w:t xml:space="preserve"> par lettre en date du </w:t>
      </w:r>
      <w:r w:rsidR="00301F44" w:rsidRPr="00301F44">
        <w:rPr>
          <w:sz w:val="22"/>
        </w:rPr>
        <w:t>10 juin</w:t>
      </w:r>
      <w:r w:rsidR="0033161A" w:rsidRPr="00301F44">
        <w:rPr>
          <w:sz w:val="22"/>
        </w:rPr>
        <w:t xml:space="preserve"> 2015 ;</w:t>
      </w:r>
      <w:r w:rsidRPr="00301F44">
        <w:rPr>
          <w:sz w:val="22"/>
        </w:rPr>
        <w:t xml:space="preserve"> </w:t>
      </w:r>
      <w:r w:rsidR="00002284" w:rsidRPr="00301F44">
        <w:rPr>
          <w:sz w:val="22"/>
        </w:rPr>
        <w:t>que les parties ont été informées de la possibilité de se faire communiquer le rapport et les conclusions et de</w:t>
      </w:r>
      <w:r w:rsidR="00002284" w:rsidRPr="00976CAE">
        <w:rPr>
          <w:sz w:val="22"/>
        </w:rPr>
        <w:t xml:space="preserve"> consulter les pièces à l’appui du dossier ; </w:t>
      </w:r>
      <w:r w:rsidR="00D847C7" w:rsidRPr="00976CAE">
        <w:rPr>
          <w:sz w:val="22"/>
        </w:rPr>
        <w:t>qu’il a été fait droit à l’ensemble des demandes en résultant concernant tant la communication du rapport et des conclusions que de la consultation des pièces du dossier ;</w:t>
      </w:r>
    </w:p>
    <w:p w:rsidR="00D847C7" w:rsidRPr="00D847C7" w:rsidRDefault="00D847C7" w:rsidP="00D847C7">
      <w:pPr>
        <w:tabs>
          <w:tab w:val="center" w:pos="4536"/>
          <w:tab w:val="right" w:pos="9072"/>
        </w:tabs>
        <w:spacing w:line="240" w:lineRule="auto"/>
        <w:jc w:val="both"/>
        <w:rPr>
          <w:rFonts w:cs="Arial"/>
          <w:sz w:val="22"/>
          <w:lang w:eastAsia="fr-FR"/>
        </w:rPr>
      </w:pPr>
    </w:p>
    <w:p w:rsidR="00D847C7" w:rsidRPr="00D847C7" w:rsidRDefault="00D847C7" w:rsidP="00D847C7">
      <w:pPr>
        <w:jc w:val="both"/>
        <w:rPr>
          <w:sz w:val="22"/>
        </w:rPr>
      </w:pPr>
      <w:r w:rsidRPr="00D847C7">
        <w:rPr>
          <w:sz w:val="22"/>
        </w:rPr>
        <w:t>Attendu qu’il résulte de l’ensemble des actes de procédure ci-dessus rappelés que le caractère contradictoire de la procédure, énoncé à l’article L. </w:t>
      </w:r>
      <w:r>
        <w:rPr>
          <w:sz w:val="22"/>
        </w:rPr>
        <w:t>1</w:t>
      </w:r>
      <w:r w:rsidRPr="00D847C7">
        <w:rPr>
          <w:sz w:val="22"/>
        </w:rPr>
        <w:t xml:space="preserve">42-1 du code des juridictions financières, a été respecté au cas d’espèce de l’instance à fin de déclaration de gestion de fait des deniers </w:t>
      </w:r>
      <w:r>
        <w:rPr>
          <w:sz w:val="22"/>
        </w:rPr>
        <w:t>de l’</w:t>
      </w:r>
      <w:proofErr w:type="spellStart"/>
      <w:r>
        <w:rPr>
          <w:sz w:val="22"/>
        </w:rPr>
        <w:t>Etat</w:t>
      </w:r>
      <w:proofErr w:type="spellEnd"/>
      <w:r w:rsidRPr="00D847C7">
        <w:rPr>
          <w:sz w:val="22"/>
        </w:rPr>
        <w:t xml:space="preserve"> ouverte par </w:t>
      </w:r>
      <w:r>
        <w:rPr>
          <w:sz w:val="22"/>
        </w:rPr>
        <w:t xml:space="preserve">les </w:t>
      </w:r>
      <w:r w:rsidRPr="00D847C7">
        <w:rPr>
          <w:sz w:val="22"/>
        </w:rPr>
        <w:t>réquisitoire</w:t>
      </w:r>
      <w:r>
        <w:rPr>
          <w:sz w:val="22"/>
        </w:rPr>
        <w:t>s</w:t>
      </w:r>
      <w:r w:rsidRPr="00D847C7">
        <w:rPr>
          <w:sz w:val="22"/>
        </w:rPr>
        <w:t xml:space="preserve"> </w:t>
      </w:r>
      <w:r>
        <w:rPr>
          <w:sz w:val="22"/>
        </w:rPr>
        <w:t>susvisés</w:t>
      </w:r>
      <w:r w:rsidRPr="00D847C7">
        <w:rPr>
          <w:sz w:val="22"/>
        </w:rPr>
        <w:t> ;</w:t>
      </w:r>
    </w:p>
    <w:p w:rsidR="00D847C7" w:rsidRDefault="00D847C7" w:rsidP="00E570A1">
      <w:pPr>
        <w:tabs>
          <w:tab w:val="center" w:pos="4536"/>
          <w:tab w:val="right" w:pos="9072"/>
        </w:tabs>
        <w:spacing w:line="240" w:lineRule="auto"/>
        <w:jc w:val="both"/>
        <w:rPr>
          <w:rFonts w:cs="Arial"/>
          <w:sz w:val="22"/>
          <w:lang w:eastAsia="fr-FR"/>
        </w:rPr>
      </w:pPr>
    </w:p>
    <w:p w:rsidR="00B95E0A" w:rsidRDefault="00B95E0A">
      <w:pPr>
        <w:spacing w:line="240" w:lineRule="auto"/>
        <w:rPr>
          <w:rFonts w:cs="Arial"/>
          <w:sz w:val="22"/>
          <w:lang w:eastAsia="fr-FR"/>
        </w:rPr>
      </w:pPr>
      <w:r>
        <w:rPr>
          <w:rFonts w:cs="Arial"/>
          <w:sz w:val="22"/>
          <w:lang w:eastAsia="fr-FR"/>
        </w:rPr>
        <w:br w:type="page"/>
      </w:r>
    </w:p>
    <w:p w:rsidR="0076395C" w:rsidRDefault="0076395C" w:rsidP="00E570A1">
      <w:pPr>
        <w:tabs>
          <w:tab w:val="center" w:pos="4536"/>
          <w:tab w:val="right" w:pos="9072"/>
        </w:tabs>
        <w:spacing w:line="240" w:lineRule="auto"/>
        <w:jc w:val="both"/>
        <w:rPr>
          <w:rFonts w:cs="Arial"/>
          <w:sz w:val="22"/>
          <w:lang w:eastAsia="fr-FR"/>
        </w:rPr>
      </w:pPr>
    </w:p>
    <w:p w:rsidR="00A531E4" w:rsidRDefault="00A531E4" w:rsidP="00E570A1">
      <w:pPr>
        <w:tabs>
          <w:tab w:val="center" w:pos="4536"/>
          <w:tab w:val="right" w:pos="9072"/>
        </w:tabs>
        <w:spacing w:line="240" w:lineRule="auto"/>
        <w:jc w:val="both"/>
        <w:rPr>
          <w:rFonts w:cs="Arial"/>
          <w:sz w:val="22"/>
          <w:lang w:eastAsia="fr-FR"/>
        </w:rPr>
      </w:pPr>
    </w:p>
    <w:p w:rsidR="00A531E4" w:rsidRPr="00E570A1" w:rsidRDefault="00A531E4" w:rsidP="00A531E4">
      <w:pPr>
        <w:tabs>
          <w:tab w:val="center" w:pos="4536"/>
          <w:tab w:val="right" w:pos="9072"/>
        </w:tabs>
        <w:spacing w:line="240" w:lineRule="auto"/>
        <w:jc w:val="both"/>
        <w:rPr>
          <w:rFonts w:cs="Arial"/>
          <w:b/>
          <w:i/>
          <w:sz w:val="22"/>
          <w:lang w:eastAsia="fr-FR"/>
        </w:rPr>
      </w:pPr>
      <w:r w:rsidRPr="00E570A1">
        <w:rPr>
          <w:rFonts w:cs="Arial"/>
          <w:b/>
          <w:i/>
          <w:sz w:val="22"/>
          <w:lang w:eastAsia="fr-FR"/>
        </w:rPr>
        <w:t xml:space="preserve">Sur </w:t>
      </w:r>
      <w:r>
        <w:rPr>
          <w:rFonts w:cs="Arial"/>
          <w:b/>
          <w:i/>
          <w:sz w:val="22"/>
          <w:lang w:eastAsia="fr-FR"/>
        </w:rPr>
        <w:t>l’analyse du rapporteur en charge de l’instruction</w:t>
      </w:r>
    </w:p>
    <w:p w:rsidR="00A531E4" w:rsidRDefault="00A531E4" w:rsidP="00A531E4">
      <w:pPr>
        <w:tabs>
          <w:tab w:val="center" w:pos="4536"/>
          <w:tab w:val="right" w:pos="9072"/>
        </w:tabs>
        <w:spacing w:line="240" w:lineRule="auto"/>
        <w:jc w:val="both"/>
        <w:rPr>
          <w:rFonts w:cs="Arial"/>
          <w:sz w:val="22"/>
          <w:lang w:eastAsia="fr-FR"/>
        </w:rPr>
      </w:pPr>
    </w:p>
    <w:p w:rsidR="0028024D" w:rsidRDefault="00A531E4" w:rsidP="0028024D">
      <w:pPr>
        <w:tabs>
          <w:tab w:val="left" w:pos="1470"/>
        </w:tabs>
        <w:spacing w:line="240" w:lineRule="auto"/>
        <w:jc w:val="both"/>
        <w:rPr>
          <w:rFonts w:cs="Arial"/>
          <w:sz w:val="22"/>
          <w:lang w:eastAsia="fr-FR"/>
        </w:rPr>
      </w:pPr>
      <w:r>
        <w:rPr>
          <w:rFonts w:cs="Arial"/>
          <w:sz w:val="22"/>
          <w:lang w:eastAsia="fr-FR"/>
        </w:rPr>
        <w:t>Attendu que le rapporteur constate que l’activité de formation du fonds de dotation est réelle mais bénéficie entièrement de la mise à disposition gratuite de moyens publics ; qu’en l’absence d’une convention organisant les modalités financières et techniques de ces mise</w:t>
      </w:r>
      <w:r w:rsidR="008B63C9">
        <w:rPr>
          <w:rFonts w:cs="Arial"/>
          <w:sz w:val="22"/>
          <w:lang w:eastAsia="fr-FR"/>
        </w:rPr>
        <w:t>s</w:t>
      </w:r>
      <w:r>
        <w:rPr>
          <w:rFonts w:cs="Arial"/>
          <w:sz w:val="22"/>
          <w:lang w:eastAsia="fr-FR"/>
        </w:rPr>
        <w:t xml:space="preserve"> à disposition, le fonds de dotation est dépourvu de tout titre légal ; qu’en conséquence les recettes tirées de ces actions de formation doivent être regardées comme constituant des deniers publics ;</w:t>
      </w:r>
    </w:p>
    <w:p w:rsidR="0076395C" w:rsidRDefault="0076395C" w:rsidP="0028024D">
      <w:pPr>
        <w:tabs>
          <w:tab w:val="left" w:pos="1470"/>
        </w:tabs>
        <w:spacing w:line="240" w:lineRule="auto"/>
        <w:jc w:val="both"/>
        <w:rPr>
          <w:rFonts w:cs="Arial"/>
          <w:sz w:val="22"/>
          <w:lang w:eastAsia="fr-FR"/>
        </w:rPr>
      </w:pPr>
    </w:p>
    <w:p w:rsidR="00A531E4" w:rsidRDefault="00A531E4" w:rsidP="0028024D">
      <w:pPr>
        <w:tabs>
          <w:tab w:val="left" w:pos="1470"/>
        </w:tabs>
        <w:spacing w:line="240" w:lineRule="auto"/>
        <w:jc w:val="both"/>
        <w:rPr>
          <w:rFonts w:cs="Arial"/>
          <w:sz w:val="22"/>
          <w:lang w:eastAsia="fr-FR"/>
        </w:rPr>
      </w:pPr>
      <w:r>
        <w:rPr>
          <w:rFonts w:cs="Arial"/>
          <w:sz w:val="22"/>
          <w:lang w:eastAsia="fr-FR"/>
        </w:rPr>
        <w:t xml:space="preserve">Attendu que le rapporteur constate également que le fonds de dotation a perçu deux subventions de la région Bretagne et de l’Union européenne destinées au financement du centre de recherche </w:t>
      </w:r>
      <w:r w:rsidRPr="009E34B7">
        <w:rPr>
          <w:rFonts w:cs="Arial"/>
          <w:sz w:val="22"/>
          <w:lang w:eastAsia="fr-FR"/>
        </w:rPr>
        <w:t>des écoles de Saint-Cyr-</w:t>
      </w:r>
      <w:proofErr w:type="spellStart"/>
      <w:r w:rsidRPr="009E34B7">
        <w:rPr>
          <w:rFonts w:cs="Arial"/>
          <w:sz w:val="22"/>
          <w:lang w:eastAsia="fr-FR"/>
        </w:rPr>
        <w:t>Coëtquida</w:t>
      </w:r>
      <w:r w:rsidR="00B95E0A">
        <w:rPr>
          <w:rFonts w:cs="Arial"/>
          <w:sz w:val="22"/>
          <w:lang w:eastAsia="fr-FR"/>
        </w:rPr>
        <w:t>n</w:t>
      </w:r>
      <w:proofErr w:type="spellEnd"/>
      <w:r w:rsidRPr="009E34B7">
        <w:rPr>
          <w:rFonts w:cs="Arial"/>
          <w:sz w:val="22"/>
          <w:lang w:eastAsia="fr-FR"/>
        </w:rPr>
        <w:t xml:space="preserve"> </w:t>
      </w:r>
      <w:r>
        <w:rPr>
          <w:rFonts w:cs="Arial"/>
          <w:sz w:val="22"/>
          <w:lang w:eastAsia="fr-FR"/>
        </w:rPr>
        <w:t>qui auraient donc dû être encaissées par le comptable public ;</w:t>
      </w:r>
    </w:p>
    <w:p w:rsidR="00A531E4" w:rsidRDefault="00A531E4" w:rsidP="00A531E4">
      <w:pPr>
        <w:tabs>
          <w:tab w:val="center" w:pos="4536"/>
          <w:tab w:val="right" w:pos="9072"/>
        </w:tabs>
        <w:spacing w:line="240" w:lineRule="auto"/>
        <w:jc w:val="both"/>
        <w:rPr>
          <w:rFonts w:cs="Arial"/>
          <w:sz w:val="22"/>
          <w:lang w:eastAsia="fr-FR"/>
        </w:rPr>
      </w:pPr>
    </w:p>
    <w:p w:rsidR="00A531E4" w:rsidRDefault="00A531E4" w:rsidP="00A531E4">
      <w:pPr>
        <w:tabs>
          <w:tab w:val="center" w:pos="4536"/>
          <w:tab w:val="right" w:pos="9072"/>
        </w:tabs>
        <w:spacing w:line="240" w:lineRule="auto"/>
        <w:jc w:val="both"/>
        <w:rPr>
          <w:rFonts w:cs="Arial"/>
          <w:sz w:val="22"/>
          <w:lang w:eastAsia="fr-FR"/>
        </w:rPr>
      </w:pPr>
      <w:r>
        <w:rPr>
          <w:rFonts w:cs="Arial"/>
          <w:sz w:val="22"/>
          <w:lang w:eastAsia="fr-FR"/>
        </w:rPr>
        <w:t>Attendu que le fonds de dotation a financé, au-delà de son objet statutaire, des dépenses profitant directement aux écoles ; que celles-ci entrent donc directement dans le périmètre de la gestion de fait ;</w:t>
      </w:r>
    </w:p>
    <w:p w:rsidR="00A531E4" w:rsidRDefault="00A531E4" w:rsidP="00A531E4">
      <w:pPr>
        <w:tabs>
          <w:tab w:val="center" w:pos="4536"/>
          <w:tab w:val="right" w:pos="9072"/>
        </w:tabs>
        <w:spacing w:line="240" w:lineRule="auto"/>
        <w:jc w:val="both"/>
        <w:rPr>
          <w:rFonts w:cs="Arial"/>
          <w:sz w:val="22"/>
          <w:lang w:eastAsia="fr-FR"/>
        </w:rPr>
      </w:pPr>
    </w:p>
    <w:p w:rsidR="00D847C7" w:rsidRPr="00A034B1" w:rsidRDefault="00D847C7" w:rsidP="00E570A1">
      <w:pPr>
        <w:tabs>
          <w:tab w:val="center" w:pos="4536"/>
          <w:tab w:val="right" w:pos="9072"/>
        </w:tabs>
        <w:spacing w:line="240" w:lineRule="auto"/>
        <w:jc w:val="both"/>
        <w:rPr>
          <w:rFonts w:cs="Arial"/>
          <w:sz w:val="22"/>
          <w:lang w:eastAsia="fr-FR"/>
        </w:rPr>
      </w:pPr>
    </w:p>
    <w:p w:rsidR="009C6E76" w:rsidRPr="00E570A1" w:rsidRDefault="009C6E76" w:rsidP="00E570A1">
      <w:pPr>
        <w:tabs>
          <w:tab w:val="center" w:pos="4536"/>
          <w:tab w:val="right" w:pos="9072"/>
        </w:tabs>
        <w:spacing w:line="240" w:lineRule="auto"/>
        <w:jc w:val="both"/>
        <w:rPr>
          <w:rFonts w:cs="Arial"/>
          <w:b/>
          <w:i/>
          <w:sz w:val="22"/>
          <w:lang w:eastAsia="fr-FR"/>
        </w:rPr>
      </w:pPr>
      <w:r w:rsidRPr="00E570A1">
        <w:rPr>
          <w:rFonts w:cs="Arial"/>
          <w:b/>
          <w:i/>
          <w:sz w:val="22"/>
          <w:lang w:eastAsia="fr-FR"/>
        </w:rPr>
        <w:t xml:space="preserve">Sur </w:t>
      </w:r>
      <w:r w:rsidR="00A034B1">
        <w:rPr>
          <w:rFonts w:cs="Arial"/>
          <w:b/>
          <w:i/>
          <w:sz w:val="22"/>
          <w:lang w:eastAsia="fr-FR"/>
        </w:rPr>
        <w:t xml:space="preserve">les </w:t>
      </w:r>
      <w:r w:rsidR="00014A6E">
        <w:rPr>
          <w:rFonts w:cs="Arial"/>
          <w:b/>
          <w:i/>
          <w:sz w:val="22"/>
          <w:lang w:eastAsia="fr-FR"/>
        </w:rPr>
        <w:t>conclusions</w:t>
      </w:r>
      <w:r w:rsidR="00A034B1">
        <w:rPr>
          <w:rFonts w:cs="Arial"/>
          <w:b/>
          <w:i/>
          <w:sz w:val="22"/>
          <w:lang w:eastAsia="fr-FR"/>
        </w:rPr>
        <w:t xml:space="preserve"> du </w:t>
      </w:r>
      <w:r w:rsidR="00FC3327">
        <w:rPr>
          <w:rFonts w:cs="Arial"/>
          <w:b/>
          <w:i/>
          <w:sz w:val="22"/>
          <w:lang w:eastAsia="fr-FR"/>
        </w:rPr>
        <w:t>ministère public</w:t>
      </w:r>
    </w:p>
    <w:p w:rsidR="009C6E76" w:rsidRPr="002478DF" w:rsidRDefault="009C6E76" w:rsidP="002478DF">
      <w:pPr>
        <w:tabs>
          <w:tab w:val="center" w:pos="4536"/>
          <w:tab w:val="right" w:pos="9072"/>
        </w:tabs>
        <w:spacing w:line="240" w:lineRule="auto"/>
        <w:jc w:val="both"/>
        <w:rPr>
          <w:rFonts w:cs="Arial"/>
          <w:sz w:val="22"/>
          <w:lang w:eastAsia="fr-FR"/>
        </w:rPr>
      </w:pPr>
    </w:p>
    <w:p w:rsidR="009C6E76" w:rsidRPr="000D3C39" w:rsidRDefault="009C6E76" w:rsidP="000D3C39">
      <w:pPr>
        <w:tabs>
          <w:tab w:val="center" w:pos="4536"/>
          <w:tab w:val="right" w:pos="9072"/>
        </w:tabs>
        <w:spacing w:line="240" w:lineRule="auto"/>
        <w:jc w:val="both"/>
        <w:rPr>
          <w:rFonts w:cs="Arial"/>
          <w:sz w:val="22"/>
          <w:lang w:eastAsia="fr-FR"/>
        </w:rPr>
      </w:pPr>
      <w:r w:rsidRPr="00DA18C5">
        <w:rPr>
          <w:rFonts w:cs="Arial"/>
          <w:sz w:val="22"/>
          <w:lang w:eastAsia="fr-FR"/>
        </w:rPr>
        <w:t xml:space="preserve">Attendu </w:t>
      </w:r>
      <w:r>
        <w:rPr>
          <w:rFonts w:cs="Arial"/>
          <w:sz w:val="22"/>
          <w:lang w:eastAsia="fr-FR"/>
        </w:rPr>
        <w:t>qu’aux termes du réquisitoire introductif susvisé l’encaissement</w:t>
      </w:r>
      <w:r w:rsidR="006F5E46" w:rsidRPr="006F5E46">
        <w:rPr>
          <w:rFonts w:cs="Arial"/>
          <w:sz w:val="22"/>
          <w:lang w:eastAsia="fr-FR"/>
        </w:rPr>
        <w:t xml:space="preserve"> </w:t>
      </w:r>
      <w:r w:rsidR="006F5E46">
        <w:rPr>
          <w:rFonts w:cs="Arial"/>
          <w:sz w:val="22"/>
          <w:lang w:eastAsia="fr-FR"/>
        </w:rPr>
        <w:t xml:space="preserve">durant les exercices 2011 et 2012 par le fonds de dotation </w:t>
      </w:r>
      <w:r w:rsidR="00640D64">
        <w:rPr>
          <w:rFonts w:cs="Arial"/>
          <w:sz w:val="22"/>
          <w:lang w:eastAsia="fr-FR"/>
        </w:rPr>
        <w:t>« </w:t>
      </w:r>
      <w:r w:rsidR="006F5E46">
        <w:rPr>
          <w:rFonts w:cs="Arial"/>
          <w:sz w:val="22"/>
          <w:lang w:eastAsia="fr-FR"/>
        </w:rPr>
        <w:t xml:space="preserve">Saint-Cyr </w:t>
      </w:r>
      <w:r w:rsidR="00640D64">
        <w:rPr>
          <w:rFonts w:cs="Arial"/>
          <w:sz w:val="22"/>
          <w:lang w:eastAsia="fr-FR"/>
        </w:rPr>
        <w:t>G</w:t>
      </w:r>
      <w:r w:rsidR="006F5E46">
        <w:rPr>
          <w:rFonts w:cs="Arial"/>
          <w:sz w:val="22"/>
          <w:lang w:eastAsia="fr-FR"/>
        </w:rPr>
        <w:t xml:space="preserve">rande </w:t>
      </w:r>
      <w:proofErr w:type="spellStart"/>
      <w:r w:rsidR="00640D64">
        <w:rPr>
          <w:rFonts w:cs="Arial"/>
          <w:sz w:val="22"/>
          <w:lang w:eastAsia="fr-FR"/>
        </w:rPr>
        <w:t>E</w:t>
      </w:r>
      <w:r w:rsidR="006F5E46">
        <w:rPr>
          <w:rFonts w:cs="Arial"/>
          <w:sz w:val="22"/>
          <w:lang w:eastAsia="fr-FR"/>
        </w:rPr>
        <w:t>cole</w:t>
      </w:r>
      <w:proofErr w:type="spellEnd"/>
      <w:r w:rsidR="00640D64">
        <w:rPr>
          <w:rFonts w:cs="Arial"/>
          <w:sz w:val="22"/>
          <w:lang w:eastAsia="fr-FR"/>
        </w:rPr>
        <w:t> »</w:t>
      </w:r>
      <w:r>
        <w:rPr>
          <w:rFonts w:cs="Arial"/>
          <w:sz w:val="22"/>
          <w:lang w:eastAsia="fr-FR"/>
        </w:rPr>
        <w:t xml:space="preserve"> de recettes tirées de l’organisation de stages au profit de personnes privées avec le concours de moyens publics</w:t>
      </w:r>
      <w:r w:rsidR="006F5E46">
        <w:rPr>
          <w:rFonts w:cs="Arial"/>
          <w:sz w:val="22"/>
          <w:lang w:eastAsia="fr-FR"/>
        </w:rPr>
        <w:t xml:space="preserve"> serait constitutif d’une gestion de fait des deniers de l’</w:t>
      </w:r>
      <w:proofErr w:type="spellStart"/>
      <w:r w:rsidR="006F5E46">
        <w:rPr>
          <w:rFonts w:cs="Arial"/>
          <w:sz w:val="22"/>
          <w:lang w:eastAsia="fr-FR"/>
        </w:rPr>
        <w:t>Etat</w:t>
      </w:r>
      <w:proofErr w:type="spellEnd"/>
      <w:r w:rsidR="006F5E46">
        <w:rPr>
          <w:rFonts w:cs="Arial"/>
          <w:sz w:val="22"/>
          <w:lang w:eastAsia="fr-FR"/>
        </w:rPr>
        <w:t xml:space="preserve"> (ministère de la défense)</w:t>
      </w:r>
      <w:r>
        <w:rPr>
          <w:rFonts w:cs="Arial"/>
          <w:sz w:val="22"/>
          <w:lang w:eastAsia="fr-FR"/>
        </w:rPr>
        <w:t xml:space="preserve"> ; </w:t>
      </w:r>
      <w:r w:rsidRPr="000D3C39">
        <w:rPr>
          <w:rFonts w:cs="Arial"/>
          <w:sz w:val="22"/>
          <w:lang w:eastAsia="fr-FR"/>
        </w:rPr>
        <w:t xml:space="preserve">que </w:t>
      </w:r>
      <w:r w:rsidR="006F5E46">
        <w:rPr>
          <w:rFonts w:cs="Arial"/>
          <w:sz w:val="22"/>
          <w:lang w:eastAsia="fr-FR"/>
        </w:rPr>
        <w:t xml:space="preserve">ladite gestion porterait également sur l’encaissement par ce même fonds de subventions publiques destinées </w:t>
      </w:r>
      <w:r w:rsidR="009E34B7">
        <w:rPr>
          <w:rFonts w:cs="Arial"/>
          <w:sz w:val="22"/>
          <w:lang w:eastAsia="fr-FR"/>
        </w:rPr>
        <w:t>aux écoles</w:t>
      </w:r>
      <w:r w:rsidR="006F5E46">
        <w:rPr>
          <w:rFonts w:cs="Arial"/>
          <w:sz w:val="22"/>
          <w:lang w:eastAsia="fr-FR"/>
        </w:rPr>
        <w:t xml:space="preserve"> de Saint-Cyr-</w:t>
      </w:r>
      <w:proofErr w:type="spellStart"/>
      <w:r w:rsidR="006F5E46">
        <w:rPr>
          <w:rFonts w:cs="Arial"/>
          <w:sz w:val="22"/>
          <w:lang w:eastAsia="fr-FR"/>
        </w:rPr>
        <w:t>Coëtquidan</w:t>
      </w:r>
      <w:proofErr w:type="spellEnd"/>
      <w:r w:rsidR="006F5E46">
        <w:rPr>
          <w:rFonts w:cs="Arial"/>
          <w:sz w:val="22"/>
          <w:lang w:eastAsia="fr-FR"/>
        </w:rPr>
        <w:t xml:space="preserve"> (ministère de la défense)</w:t>
      </w:r>
      <w:r w:rsidR="00B95E0A">
        <w:rPr>
          <w:rFonts w:cs="Arial"/>
          <w:sz w:val="22"/>
          <w:lang w:eastAsia="fr-FR"/>
        </w:rPr>
        <w:t> ;</w:t>
      </w:r>
    </w:p>
    <w:p w:rsidR="00014A6E" w:rsidRDefault="00014A6E" w:rsidP="00861072">
      <w:pPr>
        <w:tabs>
          <w:tab w:val="center" w:pos="4536"/>
          <w:tab w:val="right" w:pos="9072"/>
        </w:tabs>
        <w:spacing w:line="240" w:lineRule="auto"/>
        <w:jc w:val="both"/>
        <w:rPr>
          <w:rFonts w:cs="Arial"/>
          <w:sz w:val="22"/>
          <w:lang w:eastAsia="fr-FR"/>
        </w:rPr>
      </w:pPr>
    </w:p>
    <w:p w:rsidR="009C6E76" w:rsidRDefault="009C6E76" w:rsidP="00861072">
      <w:pPr>
        <w:tabs>
          <w:tab w:val="center" w:pos="4536"/>
          <w:tab w:val="right" w:pos="9072"/>
        </w:tabs>
        <w:spacing w:line="240" w:lineRule="auto"/>
        <w:jc w:val="both"/>
        <w:rPr>
          <w:rFonts w:cs="Arial"/>
          <w:sz w:val="22"/>
          <w:lang w:eastAsia="fr-FR"/>
        </w:rPr>
      </w:pPr>
      <w:r w:rsidRPr="00DA18C5">
        <w:rPr>
          <w:rFonts w:cs="Arial"/>
          <w:sz w:val="22"/>
          <w:lang w:eastAsia="fr-FR"/>
        </w:rPr>
        <w:t xml:space="preserve">Attendu </w:t>
      </w:r>
      <w:r>
        <w:rPr>
          <w:rFonts w:cs="Arial"/>
          <w:sz w:val="22"/>
          <w:lang w:eastAsia="fr-FR"/>
        </w:rPr>
        <w:t xml:space="preserve">qu’aux termes du </w:t>
      </w:r>
      <w:r w:rsidRPr="002478DF">
        <w:rPr>
          <w:rFonts w:cs="Arial"/>
          <w:sz w:val="22"/>
          <w:lang w:eastAsia="fr-FR"/>
        </w:rPr>
        <w:t xml:space="preserve">réquisitoire </w:t>
      </w:r>
      <w:r>
        <w:rPr>
          <w:rFonts w:cs="Arial"/>
          <w:sz w:val="22"/>
          <w:lang w:eastAsia="fr-FR"/>
        </w:rPr>
        <w:t xml:space="preserve">supplétif </w:t>
      </w:r>
      <w:r w:rsidRPr="002478DF">
        <w:rPr>
          <w:rFonts w:cs="Arial"/>
          <w:sz w:val="22"/>
          <w:lang w:eastAsia="fr-FR"/>
        </w:rPr>
        <w:t xml:space="preserve">susvisé le Procureur général </w:t>
      </w:r>
      <w:r>
        <w:rPr>
          <w:rFonts w:cs="Arial"/>
          <w:sz w:val="22"/>
          <w:lang w:eastAsia="fr-FR"/>
        </w:rPr>
        <w:t xml:space="preserve">a </w:t>
      </w:r>
      <w:r w:rsidR="00BE4DF3">
        <w:rPr>
          <w:rFonts w:cs="Arial"/>
          <w:sz w:val="22"/>
          <w:lang w:eastAsia="fr-FR"/>
        </w:rPr>
        <w:t>précisé un aspect en visant spécifiquement la participation aux opérations présumées constitutives</w:t>
      </w:r>
      <w:r>
        <w:rPr>
          <w:rFonts w:cs="Arial"/>
          <w:sz w:val="22"/>
          <w:lang w:eastAsia="fr-FR"/>
        </w:rPr>
        <w:t xml:space="preserve"> de gestion de fait </w:t>
      </w:r>
      <w:r w:rsidR="00BE4DF3">
        <w:rPr>
          <w:rFonts w:cs="Arial"/>
          <w:sz w:val="22"/>
          <w:lang w:eastAsia="fr-FR"/>
        </w:rPr>
        <w:t xml:space="preserve">de </w:t>
      </w:r>
      <w:r w:rsidR="004E7804">
        <w:rPr>
          <w:rFonts w:cs="Arial"/>
          <w:sz w:val="22"/>
          <w:lang w:eastAsia="fr-FR"/>
        </w:rPr>
        <w:t>M. Y</w:t>
      </w:r>
      <w:r>
        <w:rPr>
          <w:rFonts w:cs="Arial"/>
          <w:sz w:val="22"/>
          <w:lang w:eastAsia="fr-FR"/>
        </w:rPr>
        <w:t>, directeur de « Saint-Cyr Formation continue »</w:t>
      </w:r>
      <w:r w:rsidRPr="002478DF">
        <w:rPr>
          <w:rFonts w:cs="Arial"/>
          <w:sz w:val="22"/>
          <w:lang w:eastAsia="fr-FR"/>
        </w:rPr>
        <w:t xml:space="preserve"> </w:t>
      </w:r>
      <w:r>
        <w:rPr>
          <w:rFonts w:cs="Arial"/>
          <w:sz w:val="22"/>
          <w:lang w:eastAsia="fr-FR"/>
        </w:rPr>
        <w:t>(SCYFCO), pôle de SCGE, compte tenu de ses responsabilités en matière d’organisation des stages de formation et d’emploi des personnels et matériels nécessaires à leur exécution ;</w:t>
      </w:r>
    </w:p>
    <w:p w:rsidR="00BE4DF3" w:rsidRDefault="00BE4DF3" w:rsidP="00861072">
      <w:pPr>
        <w:tabs>
          <w:tab w:val="center" w:pos="4536"/>
          <w:tab w:val="right" w:pos="9072"/>
        </w:tabs>
        <w:spacing w:line="240" w:lineRule="auto"/>
        <w:jc w:val="both"/>
        <w:rPr>
          <w:rFonts w:cs="Arial"/>
          <w:sz w:val="22"/>
          <w:lang w:eastAsia="fr-FR"/>
        </w:rPr>
      </w:pPr>
    </w:p>
    <w:p w:rsidR="00BE4DF3" w:rsidRDefault="00BE4DF3" w:rsidP="00861072">
      <w:pPr>
        <w:tabs>
          <w:tab w:val="center" w:pos="4536"/>
          <w:tab w:val="right" w:pos="9072"/>
        </w:tabs>
        <w:spacing w:line="240" w:lineRule="auto"/>
        <w:jc w:val="both"/>
        <w:rPr>
          <w:rFonts w:cs="Arial"/>
          <w:sz w:val="22"/>
          <w:lang w:eastAsia="fr-FR"/>
        </w:rPr>
      </w:pPr>
      <w:r>
        <w:rPr>
          <w:rFonts w:cs="Arial"/>
          <w:sz w:val="22"/>
          <w:lang w:eastAsia="fr-FR"/>
        </w:rPr>
        <w:t xml:space="preserve">Attendu </w:t>
      </w:r>
      <w:r w:rsidR="00014A6E">
        <w:rPr>
          <w:rFonts w:cs="Arial"/>
          <w:sz w:val="22"/>
          <w:lang w:eastAsia="fr-FR"/>
        </w:rPr>
        <w:t xml:space="preserve">que, dans ses conclusions, le procureur général constate </w:t>
      </w:r>
      <w:r>
        <w:rPr>
          <w:rFonts w:cs="Arial"/>
          <w:sz w:val="22"/>
          <w:lang w:eastAsia="fr-FR"/>
        </w:rPr>
        <w:t xml:space="preserve">que le fonds de dotation a perçu </w:t>
      </w:r>
      <w:r w:rsidR="004C76EF">
        <w:rPr>
          <w:rFonts w:cs="Arial"/>
          <w:sz w:val="22"/>
          <w:lang w:eastAsia="fr-FR"/>
        </w:rPr>
        <w:t xml:space="preserve">en 2012 </w:t>
      </w:r>
      <w:r>
        <w:rPr>
          <w:rFonts w:cs="Arial"/>
          <w:sz w:val="22"/>
          <w:lang w:eastAsia="fr-FR"/>
        </w:rPr>
        <w:t xml:space="preserve">deux subventions publiques </w:t>
      </w:r>
      <w:r w:rsidR="004C76EF">
        <w:rPr>
          <w:rFonts w:cs="Arial"/>
          <w:sz w:val="22"/>
          <w:lang w:eastAsia="fr-FR"/>
        </w:rPr>
        <w:t>attribuées à l’</w:t>
      </w:r>
      <w:proofErr w:type="spellStart"/>
      <w:r w:rsidR="004C76EF">
        <w:rPr>
          <w:rFonts w:cs="Arial"/>
          <w:sz w:val="22"/>
          <w:lang w:eastAsia="fr-FR"/>
        </w:rPr>
        <w:t>Ecole</w:t>
      </w:r>
      <w:proofErr w:type="spellEnd"/>
      <w:r w:rsidR="004C76EF">
        <w:rPr>
          <w:rFonts w:cs="Arial"/>
          <w:sz w:val="22"/>
          <w:lang w:eastAsia="fr-FR"/>
        </w:rPr>
        <w:t xml:space="preserve"> de Saint-Cyr-</w:t>
      </w:r>
      <w:proofErr w:type="spellStart"/>
      <w:r w:rsidR="004C76EF">
        <w:rPr>
          <w:rFonts w:cs="Arial"/>
          <w:sz w:val="22"/>
          <w:lang w:eastAsia="fr-FR"/>
        </w:rPr>
        <w:t>Coëtquidan</w:t>
      </w:r>
      <w:proofErr w:type="spellEnd"/>
      <w:r w:rsidR="004C76EF">
        <w:rPr>
          <w:rFonts w:cs="Arial"/>
          <w:sz w:val="22"/>
          <w:lang w:eastAsia="fr-FR"/>
        </w:rPr>
        <w:t xml:space="preserve"> et q</w:t>
      </w:r>
      <w:r>
        <w:rPr>
          <w:rFonts w:cs="Arial"/>
          <w:sz w:val="22"/>
          <w:lang w:eastAsia="fr-FR"/>
        </w:rPr>
        <w:t xml:space="preserve">ui ne lui étaient </w:t>
      </w:r>
      <w:r w:rsidR="004C76EF">
        <w:rPr>
          <w:rFonts w:cs="Arial"/>
          <w:sz w:val="22"/>
          <w:lang w:eastAsia="fr-FR"/>
        </w:rPr>
        <w:t xml:space="preserve">donc </w:t>
      </w:r>
      <w:r>
        <w:rPr>
          <w:rFonts w:cs="Arial"/>
          <w:sz w:val="22"/>
          <w:lang w:eastAsia="fr-FR"/>
        </w:rPr>
        <w:t>pas destinées</w:t>
      </w:r>
      <w:r w:rsidR="00A7170A">
        <w:rPr>
          <w:rFonts w:cs="Arial"/>
          <w:sz w:val="22"/>
          <w:lang w:eastAsia="fr-FR"/>
        </w:rPr>
        <w:t>,</w:t>
      </w:r>
      <w:r w:rsidR="004C76EF">
        <w:rPr>
          <w:rFonts w:cs="Arial"/>
          <w:sz w:val="22"/>
          <w:lang w:eastAsia="fr-FR"/>
        </w:rPr>
        <w:t xml:space="preserve"> l’une de </w:t>
      </w:r>
      <w:r w:rsidR="00014A6E">
        <w:rPr>
          <w:rFonts w:cs="Arial"/>
          <w:sz w:val="22"/>
          <w:lang w:eastAsia="fr-FR"/>
        </w:rPr>
        <w:t>3</w:t>
      </w:r>
      <w:r w:rsidR="00B95E0A">
        <w:rPr>
          <w:rFonts w:cs="Arial"/>
          <w:sz w:val="22"/>
          <w:lang w:eastAsia="fr-FR"/>
        </w:rPr>
        <w:t> </w:t>
      </w:r>
      <w:r w:rsidR="00014A6E">
        <w:rPr>
          <w:rFonts w:cs="Arial"/>
          <w:sz w:val="22"/>
          <w:lang w:eastAsia="fr-FR"/>
        </w:rPr>
        <w:t>000</w:t>
      </w:r>
      <w:r w:rsidR="00B95E0A">
        <w:rPr>
          <w:rFonts w:cs="Arial"/>
          <w:sz w:val="22"/>
          <w:lang w:eastAsia="fr-FR"/>
        </w:rPr>
        <w:t> </w:t>
      </w:r>
      <w:r w:rsidR="004C76EF">
        <w:rPr>
          <w:rFonts w:cs="Arial"/>
          <w:sz w:val="22"/>
          <w:lang w:eastAsia="fr-FR"/>
        </w:rPr>
        <w:t xml:space="preserve">€ attribuée par la région Bretagne, l’autre </w:t>
      </w:r>
      <w:r w:rsidR="00014A6E">
        <w:rPr>
          <w:rFonts w:cs="Arial"/>
          <w:sz w:val="22"/>
          <w:lang w:eastAsia="fr-FR"/>
        </w:rPr>
        <w:t xml:space="preserve">à hauteur </w:t>
      </w:r>
      <w:r w:rsidR="00FC3327">
        <w:rPr>
          <w:rFonts w:cs="Arial"/>
          <w:sz w:val="22"/>
          <w:lang w:eastAsia="fr-FR"/>
        </w:rPr>
        <w:t>de 36</w:t>
      </w:r>
      <w:r w:rsidR="00B95E0A">
        <w:rPr>
          <w:rFonts w:cs="Arial"/>
          <w:sz w:val="22"/>
          <w:lang w:eastAsia="fr-FR"/>
        </w:rPr>
        <w:t> </w:t>
      </w:r>
      <w:r w:rsidR="004C76EF">
        <w:rPr>
          <w:rFonts w:cs="Arial"/>
          <w:sz w:val="22"/>
          <w:lang w:eastAsia="fr-FR"/>
        </w:rPr>
        <w:t>000</w:t>
      </w:r>
      <w:r w:rsidR="00B95E0A">
        <w:rPr>
          <w:rFonts w:cs="Arial"/>
          <w:sz w:val="22"/>
          <w:lang w:eastAsia="fr-FR"/>
        </w:rPr>
        <w:t> </w:t>
      </w:r>
      <w:r w:rsidR="004C76EF">
        <w:rPr>
          <w:rFonts w:cs="Arial"/>
          <w:sz w:val="22"/>
          <w:lang w:eastAsia="fr-FR"/>
        </w:rPr>
        <w:t>€ attribuée par l’Union européenne ; qu’au surplus, sauf dérogation, un fonds de dotation ne peut percevoir aucun fonds public aux termes de l’article 140 II</w:t>
      </w:r>
      <w:r w:rsidR="009E34B7">
        <w:rPr>
          <w:rFonts w:cs="Arial"/>
          <w:sz w:val="22"/>
          <w:lang w:eastAsia="fr-FR"/>
        </w:rPr>
        <w:t xml:space="preserve"> de la loi</w:t>
      </w:r>
      <w:r w:rsidR="004C76EF">
        <w:rPr>
          <w:rFonts w:cs="Arial"/>
          <w:sz w:val="22"/>
          <w:lang w:eastAsia="fr-FR"/>
        </w:rPr>
        <w:t xml:space="preserve"> du 4 août 2008 ;</w:t>
      </w:r>
    </w:p>
    <w:p w:rsidR="00014A6E" w:rsidRDefault="00014A6E" w:rsidP="00014A6E">
      <w:pPr>
        <w:tabs>
          <w:tab w:val="center" w:pos="4536"/>
          <w:tab w:val="right" w:pos="9072"/>
        </w:tabs>
        <w:spacing w:line="240" w:lineRule="auto"/>
        <w:jc w:val="both"/>
        <w:rPr>
          <w:rFonts w:cs="Arial"/>
          <w:sz w:val="22"/>
          <w:lang w:eastAsia="fr-FR"/>
        </w:rPr>
      </w:pPr>
    </w:p>
    <w:p w:rsidR="00014A6E" w:rsidRDefault="00014A6E" w:rsidP="00014A6E">
      <w:pPr>
        <w:tabs>
          <w:tab w:val="center" w:pos="4536"/>
          <w:tab w:val="right" w:pos="9072"/>
        </w:tabs>
        <w:spacing w:line="240" w:lineRule="auto"/>
        <w:jc w:val="both"/>
        <w:rPr>
          <w:rFonts w:cs="Arial"/>
          <w:sz w:val="22"/>
          <w:lang w:eastAsia="fr-FR"/>
        </w:rPr>
      </w:pPr>
      <w:r>
        <w:rPr>
          <w:rFonts w:cs="Arial"/>
          <w:sz w:val="22"/>
          <w:lang w:eastAsia="fr-FR"/>
        </w:rPr>
        <w:t>Attendu par ailleurs que les recettes tirées par le fonds de dotation de la seule organis</w:t>
      </w:r>
      <w:r w:rsidR="00FC3327">
        <w:rPr>
          <w:rFonts w:cs="Arial"/>
          <w:sz w:val="22"/>
          <w:lang w:eastAsia="fr-FR"/>
        </w:rPr>
        <w:t>ation de stages s’élèvent à 501</w:t>
      </w:r>
      <w:r w:rsidR="00B95E0A">
        <w:rPr>
          <w:rFonts w:cs="Arial"/>
          <w:sz w:val="22"/>
          <w:lang w:eastAsia="fr-FR"/>
        </w:rPr>
        <w:t> </w:t>
      </w:r>
      <w:r>
        <w:rPr>
          <w:rFonts w:cs="Arial"/>
          <w:sz w:val="22"/>
          <w:lang w:eastAsia="fr-FR"/>
        </w:rPr>
        <w:t>885,77</w:t>
      </w:r>
      <w:r w:rsidR="00B95E0A">
        <w:rPr>
          <w:rFonts w:cs="Arial"/>
          <w:sz w:val="22"/>
          <w:lang w:eastAsia="fr-FR"/>
        </w:rPr>
        <w:t> </w:t>
      </w:r>
      <w:r>
        <w:rPr>
          <w:rFonts w:cs="Arial"/>
          <w:sz w:val="22"/>
          <w:lang w:eastAsia="fr-FR"/>
        </w:rPr>
        <w:t>€ en 2011 et à 663</w:t>
      </w:r>
      <w:r w:rsidR="00B95E0A">
        <w:rPr>
          <w:rFonts w:cs="Arial"/>
          <w:sz w:val="22"/>
          <w:lang w:eastAsia="fr-FR"/>
        </w:rPr>
        <w:t> </w:t>
      </w:r>
      <w:r>
        <w:rPr>
          <w:rFonts w:cs="Arial"/>
          <w:sz w:val="22"/>
          <w:lang w:eastAsia="fr-FR"/>
        </w:rPr>
        <w:t>879</w:t>
      </w:r>
      <w:r w:rsidR="00B95E0A">
        <w:rPr>
          <w:rFonts w:cs="Arial"/>
          <w:sz w:val="22"/>
          <w:lang w:eastAsia="fr-FR"/>
        </w:rPr>
        <w:t> </w:t>
      </w:r>
      <w:r>
        <w:rPr>
          <w:rFonts w:cs="Arial"/>
          <w:sz w:val="22"/>
          <w:lang w:eastAsia="fr-FR"/>
        </w:rPr>
        <w:t>€ en 2012 ; que ces recettes ont été tirées de l’utilisation à titre gratuit de moyens publics tant en personnels qu’en infrastructures et matériels dans des conditions qui, de fait, rendent le fonds de dotation totalement dépendant des moyens publics dont il bénéficie et caractérisent sa faible autonomie ; que ces moyens lui ont de surcroît bénéficié en dehors de toute convention jusqu’en janvier 2013 ;</w:t>
      </w:r>
    </w:p>
    <w:p w:rsidR="00BE4DF3" w:rsidRDefault="00BE4DF3" w:rsidP="00861072">
      <w:pPr>
        <w:tabs>
          <w:tab w:val="center" w:pos="4536"/>
          <w:tab w:val="right" w:pos="9072"/>
        </w:tabs>
        <w:spacing w:line="240" w:lineRule="auto"/>
        <w:jc w:val="both"/>
        <w:rPr>
          <w:rFonts w:cs="Arial"/>
          <w:sz w:val="22"/>
          <w:lang w:eastAsia="fr-FR"/>
        </w:rPr>
      </w:pPr>
    </w:p>
    <w:p w:rsidR="00BE4DF3" w:rsidRDefault="004C76EF" w:rsidP="00861072">
      <w:pPr>
        <w:tabs>
          <w:tab w:val="center" w:pos="4536"/>
          <w:tab w:val="right" w:pos="9072"/>
        </w:tabs>
        <w:spacing w:line="240" w:lineRule="auto"/>
        <w:jc w:val="both"/>
        <w:rPr>
          <w:rFonts w:cs="Arial"/>
          <w:sz w:val="22"/>
          <w:lang w:eastAsia="fr-FR"/>
        </w:rPr>
      </w:pPr>
      <w:r>
        <w:rPr>
          <w:rFonts w:cs="Arial"/>
          <w:sz w:val="22"/>
          <w:lang w:eastAsia="fr-FR"/>
        </w:rPr>
        <w:t>Attendu enfin que, grâce à ces recettes, le fonds de dotation a procédé pour le compte de</w:t>
      </w:r>
      <w:r w:rsidR="009E34B7">
        <w:rPr>
          <w:rFonts w:cs="Arial"/>
          <w:sz w:val="22"/>
          <w:lang w:eastAsia="fr-FR"/>
        </w:rPr>
        <w:t>s</w:t>
      </w:r>
      <w:r>
        <w:rPr>
          <w:rFonts w:cs="Arial"/>
          <w:sz w:val="22"/>
          <w:lang w:eastAsia="fr-FR"/>
        </w:rPr>
        <w:t xml:space="preserve"> </w:t>
      </w:r>
      <w:r w:rsidR="009E34B7">
        <w:rPr>
          <w:rFonts w:cs="Arial"/>
          <w:sz w:val="22"/>
          <w:lang w:eastAsia="fr-FR"/>
        </w:rPr>
        <w:t>écoles de Saint-Cyr-</w:t>
      </w:r>
      <w:proofErr w:type="spellStart"/>
      <w:r w:rsidR="009E34B7">
        <w:rPr>
          <w:rFonts w:cs="Arial"/>
          <w:sz w:val="22"/>
          <w:lang w:eastAsia="fr-FR"/>
        </w:rPr>
        <w:t>Coëtquidan</w:t>
      </w:r>
      <w:proofErr w:type="spellEnd"/>
      <w:r w:rsidR="009E34B7">
        <w:rPr>
          <w:rFonts w:cs="Arial"/>
          <w:sz w:val="22"/>
          <w:lang w:eastAsia="fr-FR"/>
        </w:rPr>
        <w:t xml:space="preserve"> à</w:t>
      </w:r>
      <w:r>
        <w:rPr>
          <w:rFonts w:cs="Arial"/>
          <w:sz w:val="22"/>
          <w:lang w:eastAsia="fr-FR"/>
        </w:rPr>
        <w:t xml:space="preserve"> de nombreuses dépenses</w:t>
      </w:r>
      <w:r w:rsidR="00A7170A">
        <w:rPr>
          <w:rFonts w:cs="Arial"/>
          <w:sz w:val="22"/>
          <w:lang w:eastAsia="fr-FR"/>
        </w:rPr>
        <w:t xml:space="preserve"> en dehors du comptable public</w:t>
      </w:r>
      <w:r>
        <w:rPr>
          <w:rFonts w:cs="Arial"/>
          <w:sz w:val="22"/>
          <w:lang w:eastAsia="fr-FR"/>
        </w:rPr>
        <w:t> ;</w:t>
      </w:r>
    </w:p>
    <w:p w:rsidR="00BE4DF3" w:rsidRDefault="00BE4DF3" w:rsidP="00861072">
      <w:pPr>
        <w:tabs>
          <w:tab w:val="center" w:pos="4536"/>
          <w:tab w:val="right" w:pos="9072"/>
        </w:tabs>
        <w:spacing w:line="240" w:lineRule="auto"/>
        <w:jc w:val="both"/>
        <w:rPr>
          <w:rFonts w:cs="Arial"/>
          <w:sz w:val="22"/>
          <w:lang w:eastAsia="fr-FR"/>
        </w:rPr>
      </w:pPr>
    </w:p>
    <w:p w:rsidR="0098678F" w:rsidRDefault="0098678F" w:rsidP="00861072">
      <w:pPr>
        <w:tabs>
          <w:tab w:val="center" w:pos="4536"/>
          <w:tab w:val="right" w:pos="9072"/>
        </w:tabs>
        <w:spacing w:line="240" w:lineRule="auto"/>
        <w:jc w:val="both"/>
        <w:rPr>
          <w:rFonts w:cs="Arial"/>
          <w:sz w:val="22"/>
          <w:lang w:eastAsia="fr-FR"/>
        </w:rPr>
      </w:pPr>
    </w:p>
    <w:p w:rsidR="0098678F" w:rsidRDefault="0098678F" w:rsidP="00861072">
      <w:pPr>
        <w:tabs>
          <w:tab w:val="center" w:pos="4536"/>
          <w:tab w:val="right" w:pos="9072"/>
        </w:tabs>
        <w:spacing w:line="240" w:lineRule="auto"/>
        <w:jc w:val="both"/>
        <w:rPr>
          <w:rFonts w:cs="Arial"/>
          <w:sz w:val="22"/>
          <w:lang w:eastAsia="fr-FR"/>
        </w:rPr>
      </w:pPr>
    </w:p>
    <w:p w:rsidR="0098678F" w:rsidRDefault="0098678F" w:rsidP="00861072">
      <w:pPr>
        <w:tabs>
          <w:tab w:val="center" w:pos="4536"/>
          <w:tab w:val="right" w:pos="9072"/>
        </w:tabs>
        <w:spacing w:line="240" w:lineRule="auto"/>
        <w:jc w:val="both"/>
        <w:rPr>
          <w:rFonts w:cs="Arial"/>
          <w:sz w:val="22"/>
          <w:lang w:eastAsia="fr-FR"/>
        </w:rPr>
      </w:pPr>
    </w:p>
    <w:p w:rsidR="0098678F" w:rsidRDefault="0098678F" w:rsidP="00861072">
      <w:pPr>
        <w:tabs>
          <w:tab w:val="center" w:pos="4536"/>
          <w:tab w:val="right" w:pos="9072"/>
        </w:tabs>
        <w:spacing w:line="240" w:lineRule="auto"/>
        <w:jc w:val="both"/>
        <w:rPr>
          <w:rFonts w:cs="Arial"/>
          <w:sz w:val="22"/>
          <w:lang w:eastAsia="fr-FR"/>
        </w:rPr>
      </w:pPr>
    </w:p>
    <w:p w:rsidR="00BE4DF3" w:rsidRDefault="004C76EF" w:rsidP="00861072">
      <w:pPr>
        <w:tabs>
          <w:tab w:val="center" w:pos="4536"/>
          <w:tab w:val="right" w:pos="9072"/>
        </w:tabs>
        <w:spacing w:line="240" w:lineRule="auto"/>
        <w:jc w:val="both"/>
        <w:rPr>
          <w:rFonts w:cs="Arial"/>
          <w:sz w:val="22"/>
          <w:lang w:eastAsia="fr-FR"/>
        </w:rPr>
      </w:pPr>
      <w:r>
        <w:rPr>
          <w:rFonts w:cs="Arial"/>
          <w:sz w:val="22"/>
          <w:lang w:eastAsia="fr-FR"/>
        </w:rPr>
        <w:t>Attendu, en conséquence, qu’il appartient à la Cour de se prononcer sur l’existence et la qualification de ces irrégularités et de déterminer les personnes qui auraient connu ou toléré le dispositif irrégulier ou y aurait participé ;</w:t>
      </w:r>
    </w:p>
    <w:p w:rsidR="00BE4DF3" w:rsidRDefault="00BE4DF3" w:rsidP="00861072">
      <w:pPr>
        <w:tabs>
          <w:tab w:val="center" w:pos="4536"/>
          <w:tab w:val="right" w:pos="9072"/>
        </w:tabs>
        <w:spacing w:line="240" w:lineRule="auto"/>
        <w:jc w:val="both"/>
        <w:rPr>
          <w:rFonts w:cs="Arial"/>
          <w:sz w:val="22"/>
          <w:lang w:eastAsia="fr-FR"/>
        </w:rPr>
      </w:pPr>
    </w:p>
    <w:p w:rsidR="004A7534" w:rsidRPr="004A7534" w:rsidRDefault="004A7534" w:rsidP="0076395C">
      <w:pPr>
        <w:jc w:val="both"/>
        <w:rPr>
          <w:sz w:val="22"/>
        </w:rPr>
      </w:pPr>
      <w:r w:rsidRPr="0076395C">
        <w:rPr>
          <w:sz w:val="22"/>
        </w:rPr>
        <w:t>Attendu que le substitut général indique en séance</w:t>
      </w:r>
      <w:r w:rsidR="0076395C">
        <w:rPr>
          <w:sz w:val="22"/>
        </w:rPr>
        <w:t>,</w:t>
      </w:r>
      <w:r w:rsidRPr="0076395C">
        <w:rPr>
          <w:sz w:val="22"/>
        </w:rPr>
        <w:t xml:space="preserve"> au nom du parquet général</w:t>
      </w:r>
      <w:r w:rsidR="0076395C">
        <w:rPr>
          <w:sz w:val="22"/>
        </w:rPr>
        <w:t>,</w:t>
      </w:r>
      <w:r w:rsidRPr="0076395C">
        <w:rPr>
          <w:sz w:val="22"/>
        </w:rPr>
        <w:t xml:space="preserve"> que l’absence de dotation initiale du fonds est en contradiction avec l’esprit de la loi de 2008 susvisée et autorise à s’interroger sur la finalité réelle du fonds de dotation</w:t>
      </w:r>
      <w:r w:rsidR="0076395C">
        <w:rPr>
          <w:sz w:val="22"/>
        </w:rPr>
        <w:t>,</w:t>
      </w:r>
      <w:r w:rsidRPr="0076395C">
        <w:rPr>
          <w:sz w:val="22"/>
        </w:rPr>
        <w:t xml:space="preserve"> tout comme l’absence de versements au titre du mécénat ;</w:t>
      </w:r>
    </w:p>
    <w:p w:rsidR="004A7534" w:rsidRDefault="004A7534" w:rsidP="00861072">
      <w:pPr>
        <w:tabs>
          <w:tab w:val="center" w:pos="4536"/>
          <w:tab w:val="right" w:pos="9072"/>
        </w:tabs>
        <w:spacing w:line="240" w:lineRule="auto"/>
        <w:jc w:val="both"/>
        <w:rPr>
          <w:rFonts w:cs="Arial"/>
          <w:sz w:val="22"/>
          <w:lang w:eastAsia="fr-FR"/>
        </w:rPr>
      </w:pPr>
    </w:p>
    <w:p w:rsidR="004A7534" w:rsidRDefault="004A7534" w:rsidP="00861072">
      <w:pPr>
        <w:tabs>
          <w:tab w:val="center" w:pos="4536"/>
          <w:tab w:val="right" w:pos="9072"/>
        </w:tabs>
        <w:spacing w:line="240" w:lineRule="auto"/>
        <w:jc w:val="both"/>
        <w:rPr>
          <w:rFonts w:cs="Arial"/>
          <w:sz w:val="22"/>
          <w:lang w:eastAsia="fr-FR"/>
        </w:rPr>
      </w:pPr>
    </w:p>
    <w:p w:rsidR="00F33F32" w:rsidRPr="00E570A1" w:rsidRDefault="00F33F32" w:rsidP="00F33F32">
      <w:pPr>
        <w:tabs>
          <w:tab w:val="center" w:pos="4536"/>
          <w:tab w:val="right" w:pos="9072"/>
        </w:tabs>
        <w:spacing w:line="240" w:lineRule="auto"/>
        <w:jc w:val="both"/>
        <w:rPr>
          <w:rFonts w:cs="Arial"/>
          <w:b/>
          <w:i/>
          <w:sz w:val="22"/>
          <w:lang w:eastAsia="fr-FR"/>
        </w:rPr>
      </w:pPr>
      <w:r w:rsidRPr="00E570A1">
        <w:rPr>
          <w:rFonts w:cs="Arial"/>
          <w:b/>
          <w:i/>
          <w:sz w:val="22"/>
          <w:lang w:eastAsia="fr-FR"/>
        </w:rPr>
        <w:t xml:space="preserve">Sur </w:t>
      </w:r>
      <w:r>
        <w:rPr>
          <w:rFonts w:cs="Arial"/>
          <w:b/>
          <w:i/>
          <w:sz w:val="22"/>
          <w:lang w:eastAsia="fr-FR"/>
        </w:rPr>
        <w:t>les moyens des parties mises en cause</w:t>
      </w:r>
    </w:p>
    <w:p w:rsidR="00BE4DF3" w:rsidRDefault="00BE4DF3" w:rsidP="00861072">
      <w:pPr>
        <w:tabs>
          <w:tab w:val="center" w:pos="4536"/>
          <w:tab w:val="right" w:pos="9072"/>
        </w:tabs>
        <w:spacing w:line="240" w:lineRule="auto"/>
        <w:jc w:val="both"/>
        <w:rPr>
          <w:rFonts w:cs="Arial"/>
          <w:sz w:val="22"/>
          <w:lang w:eastAsia="fr-FR"/>
        </w:rPr>
      </w:pPr>
    </w:p>
    <w:p w:rsidR="002A210B" w:rsidRDefault="002A210B" w:rsidP="00861072">
      <w:pPr>
        <w:tabs>
          <w:tab w:val="center" w:pos="4536"/>
          <w:tab w:val="right" w:pos="9072"/>
        </w:tabs>
        <w:spacing w:line="240" w:lineRule="auto"/>
        <w:jc w:val="both"/>
        <w:rPr>
          <w:rFonts w:cs="Arial"/>
          <w:sz w:val="22"/>
          <w:lang w:eastAsia="fr-FR"/>
        </w:rPr>
      </w:pPr>
      <w:r>
        <w:rPr>
          <w:rFonts w:cs="Arial"/>
          <w:sz w:val="22"/>
          <w:lang w:eastAsia="fr-FR"/>
        </w:rPr>
        <w:t>Attendu que le fonds de dotation</w:t>
      </w:r>
      <w:r w:rsidR="00D66D8F">
        <w:rPr>
          <w:rFonts w:cs="Arial"/>
          <w:sz w:val="22"/>
          <w:lang w:eastAsia="fr-FR"/>
        </w:rPr>
        <w:t xml:space="preserve"> de Saint-Cyr Grande </w:t>
      </w:r>
      <w:proofErr w:type="spellStart"/>
      <w:r w:rsidR="00D66D8F">
        <w:rPr>
          <w:rFonts w:cs="Arial"/>
          <w:sz w:val="22"/>
          <w:lang w:eastAsia="fr-FR"/>
        </w:rPr>
        <w:t>Ecole</w:t>
      </w:r>
      <w:proofErr w:type="spellEnd"/>
      <w:r w:rsidR="00D66D8F">
        <w:rPr>
          <w:rFonts w:cs="Arial"/>
          <w:sz w:val="22"/>
          <w:lang w:eastAsia="fr-FR"/>
        </w:rPr>
        <w:t xml:space="preserve"> a constitué avocat, en la personne de M</w:t>
      </w:r>
      <w:r w:rsidR="00D66D8F" w:rsidRPr="0098678F">
        <w:rPr>
          <w:rFonts w:cs="Arial"/>
          <w:sz w:val="22"/>
          <w:vertAlign w:val="superscript"/>
          <w:lang w:eastAsia="fr-FR"/>
        </w:rPr>
        <w:t>e</w:t>
      </w:r>
      <w:r w:rsidR="00D66D8F">
        <w:rPr>
          <w:rFonts w:cs="Arial"/>
          <w:sz w:val="22"/>
          <w:lang w:eastAsia="fr-FR"/>
        </w:rPr>
        <w:t xml:space="preserve"> Arnaud </w:t>
      </w:r>
      <w:r w:rsidR="0098678F">
        <w:rPr>
          <w:rFonts w:cs="Arial"/>
          <w:sz w:val="22"/>
          <w:lang w:eastAsia="fr-FR"/>
        </w:rPr>
        <w:t>CHARVIN</w:t>
      </w:r>
      <w:r w:rsidR="00D66D8F">
        <w:rPr>
          <w:rFonts w:cs="Arial"/>
          <w:sz w:val="22"/>
          <w:lang w:eastAsia="fr-FR"/>
        </w:rPr>
        <w:t xml:space="preserve"> (cabinet SELAS FIDAL) ; qu’i</w:t>
      </w:r>
      <w:r w:rsidR="007615B4">
        <w:rPr>
          <w:rFonts w:cs="Arial"/>
          <w:sz w:val="22"/>
          <w:lang w:eastAsia="fr-FR"/>
        </w:rPr>
        <w:t>l</w:t>
      </w:r>
      <w:r w:rsidR="00D66D8F">
        <w:rPr>
          <w:rFonts w:cs="Arial"/>
          <w:sz w:val="22"/>
          <w:lang w:eastAsia="fr-FR"/>
        </w:rPr>
        <w:t xml:space="preserve"> a produit un mémoire en défense qui, de fait, conclut pour l’ensemble des parties personne morale ou personnes physiques citées dans la procédure ;</w:t>
      </w:r>
    </w:p>
    <w:p w:rsidR="00D66D8F" w:rsidRDefault="00D66D8F" w:rsidP="00861072">
      <w:pPr>
        <w:tabs>
          <w:tab w:val="center" w:pos="4536"/>
          <w:tab w:val="right" w:pos="9072"/>
        </w:tabs>
        <w:spacing w:line="240" w:lineRule="auto"/>
        <w:jc w:val="both"/>
        <w:rPr>
          <w:rFonts w:cs="Arial"/>
          <w:sz w:val="22"/>
          <w:lang w:eastAsia="fr-FR"/>
        </w:rPr>
      </w:pPr>
    </w:p>
    <w:p w:rsidR="00D66D8F" w:rsidRDefault="00D66D8F" w:rsidP="00861072">
      <w:pPr>
        <w:tabs>
          <w:tab w:val="center" w:pos="4536"/>
          <w:tab w:val="right" w:pos="9072"/>
        </w:tabs>
        <w:spacing w:line="240" w:lineRule="auto"/>
        <w:jc w:val="both"/>
        <w:rPr>
          <w:rFonts w:cs="Arial"/>
          <w:sz w:val="22"/>
          <w:lang w:eastAsia="fr-FR"/>
        </w:rPr>
      </w:pPr>
      <w:r>
        <w:rPr>
          <w:rFonts w:cs="Arial"/>
          <w:sz w:val="22"/>
          <w:lang w:eastAsia="fr-FR"/>
        </w:rPr>
        <w:t xml:space="preserve">Attendu que le fonds conteste la qualification de deniers publics pour les recettes tirées de son activité de formation ; qu’il considère qu’il s’agit en fait de recettes commerciales répondant aux critères posés par la Cour dans sa jurisprudence </w:t>
      </w:r>
      <w:r w:rsidR="009E34B7">
        <w:rPr>
          <w:rFonts w:cs="Arial"/>
          <w:sz w:val="22"/>
          <w:lang w:eastAsia="fr-FR"/>
        </w:rPr>
        <w:t>Fondation des œuvres sociales de l’air (</w:t>
      </w:r>
      <w:r>
        <w:rPr>
          <w:rFonts w:cs="Arial"/>
          <w:sz w:val="22"/>
          <w:lang w:eastAsia="fr-FR"/>
        </w:rPr>
        <w:t>FOSA</w:t>
      </w:r>
      <w:r w:rsidR="009E34B7">
        <w:rPr>
          <w:rFonts w:cs="Arial"/>
          <w:sz w:val="22"/>
          <w:lang w:eastAsia="fr-FR"/>
        </w:rPr>
        <w:t>)</w:t>
      </w:r>
      <w:r>
        <w:rPr>
          <w:rFonts w:cs="Arial"/>
          <w:sz w:val="22"/>
          <w:lang w:eastAsia="fr-FR"/>
        </w:rPr>
        <w:t> ; que s’agissant du critère lié à l’existence d’un titre légal</w:t>
      </w:r>
      <w:r w:rsidR="000D4C4E">
        <w:rPr>
          <w:rFonts w:cs="Arial"/>
          <w:sz w:val="22"/>
          <w:lang w:eastAsia="fr-FR"/>
        </w:rPr>
        <w:t>, il importe de considérer que la convention signée le 21 juillet 2011 avec l’Association sportive et artistique des écoles constitue un tel titre et que l’association était bien habilitée à signer cette convention pour tout ce qui ne dépendait pas du domaine public ; que, même à supposer que l’association n’était pas habilitée à signer cette convention, cette circonstance ne saurait être opposée au fonds de dotation dont l’attention n’aurait jamais été attirée sur ce fait ; qu’au surplus le ministère de la défense était informé de l’utilisation de ces moyens publics avant même la signature de la convention du 23 janvier 2013 entre le ministère et le fonds de dotation ;</w:t>
      </w:r>
    </w:p>
    <w:p w:rsidR="000D4C4E" w:rsidRDefault="000D4C4E" w:rsidP="00861072">
      <w:pPr>
        <w:tabs>
          <w:tab w:val="center" w:pos="4536"/>
          <w:tab w:val="right" w:pos="9072"/>
        </w:tabs>
        <w:spacing w:line="240" w:lineRule="auto"/>
        <w:jc w:val="both"/>
        <w:rPr>
          <w:rFonts w:cs="Arial"/>
          <w:sz w:val="22"/>
          <w:lang w:eastAsia="fr-FR"/>
        </w:rPr>
      </w:pPr>
    </w:p>
    <w:p w:rsidR="000D4C4E" w:rsidRDefault="00D7695A" w:rsidP="00861072">
      <w:pPr>
        <w:tabs>
          <w:tab w:val="center" w:pos="4536"/>
          <w:tab w:val="right" w:pos="9072"/>
        </w:tabs>
        <w:spacing w:line="240" w:lineRule="auto"/>
        <w:jc w:val="both"/>
        <w:rPr>
          <w:rFonts w:cs="Arial"/>
          <w:sz w:val="22"/>
          <w:lang w:eastAsia="fr-FR"/>
        </w:rPr>
      </w:pPr>
      <w:r>
        <w:rPr>
          <w:rFonts w:cs="Arial"/>
          <w:sz w:val="22"/>
          <w:lang w:eastAsia="fr-FR"/>
        </w:rPr>
        <w:t>Attendu, au surplus, que le fonds de dotation</w:t>
      </w:r>
      <w:r w:rsidR="00254533">
        <w:rPr>
          <w:rFonts w:cs="Arial"/>
          <w:sz w:val="22"/>
          <w:lang w:eastAsia="fr-FR"/>
        </w:rPr>
        <w:t xml:space="preserve"> </w:t>
      </w:r>
      <w:r w:rsidR="0098678F">
        <w:rPr>
          <w:rFonts w:cs="Arial"/>
          <w:sz w:val="22"/>
          <w:lang w:eastAsia="fr-FR"/>
        </w:rPr>
        <w:t>– </w:t>
      </w:r>
      <w:r w:rsidR="00254533">
        <w:rPr>
          <w:rFonts w:cs="Arial"/>
          <w:sz w:val="22"/>
          <w:lang w:eastAsia="fr-FR"/>
        </w:rPr>
        <w:t>nonobstant son argumentation relative à la jurisprudence FOSA</w:t>
      </w:r>
      <w:r w:rsidR="0098678F">
        <w:rPr>
          <w:rFonts w:cs="Arial"/>
          <w:sz w:val="22"/>
          <w:lang w:eastAsia="fr-FR"/>
        </w:rPr>
        <w:t> –</w:t>
      </w:r>
      <w:r>
        <w:rPr>
          <w:rFonts w:cs="Arial"/>
          <w:sz w:val="22"/>
          <w:lang w:eastAsia="fr-FR"/>
        </w:rPr>
        <w:t xml:space="preserve"> conteste m</w:t>
      </w:r>
      <w:r w:rsidR="00254533">
        <w:rPr>
          <w:rFonts w:cs="Arial"/>
          <w:sz w:val="22"/>
          <w:lang w:eastAsia="fr-FR"/>
        </w:rPr>
        <w:t>ême l’obligation de disposer d’un titre légal dans la mesure où ces recettes ont été créées de par l’activité du fonds de dotation sans lui avoir préexisté ; que ces recette</w:t>
      </w:r>
      <w:r w:rsidR="008B63C9">
        <w:rPr>
          <w:rFonts w:cs="Arial"/>
          <w:sz w:val="22"/>
          <w:lang w:eastAsia="fr-FR"/>
        </w:rPr>
        <w:t>s</w:t>
      </w:r>
      <w:r w:rsidR="00254533">
        <w:rPr>
          <w:rFonts w:cs="Arial"/>
          <w:sz w:val="22"/>
          <w:lang w:eastAsia="fr-FR"/>
        </w:rPr>
        <w:t xml:space="preserve"> n’ont donc jamais eu vocation à entrer dans la caisse d’un comptable public ;</w:t>
      </w:r>
    </w:p>
    <w:p w:rsidR="002A210B" w:rsidRDefault="002A210B" w:rsidP="00861072">
      <w:pPr>
        <w:tabs>
          <w:tab w:val="center" w:pos="4536"/>
          <w:tab w:val="right" w:pos="9072"/>
        </w:tabs>
        <w:spacing w:line="240" w:lineRule="auto"/>
        <w:jc w:val="both"/>
        <w:rPr>
          <w:rFonts w:cs="Arial"/>
          <w:sz w:val="22"/>
          <w:lang w:eastAsia="fr-FR"/>
        </w:rPr>
      </w:pPr>
    </w:p>
    <w:p w:rsidR="002A210B" w:rsidRDefault="00254533" w:rsidP="00861072">
      <w:pPr>
        <w:tabs>
          <w:tab w:val="center" w:pos="4536"/>
          <w:tab w:val="right" w:pos="9072"/>
        </w:tabs>
        <w:spacing w:line="240" w:lineRule="auto"/>
        <w:jc w:val="both"/>
        <w:rPr>
          <w:rFonts w:cs="Arial"/>
          <w:sz w:val="22"/>
          <w:lang w:eastAsia="fr-FR"/>
        </w:rPr>
      </w:pPr>
      <w:r>
        <w:rPr>
          <w:rFonts w:cs="Arial"/>
          <w:sz w:val="22"/>
          <w:lang w:eastAsia="fr-FR"/>
        </w:rPr>
        <w:t>Attendu que le fonds de dotation estime que la mise à disposition de moyens publics</w:t>
      </w:r>
      <w:r w:rsidR="0098678F">
        <w:rPr>
          <w:rFonts w:cs="Arial"/>
          <w:sz w:val="22"/>
          <w:lang w:eastAsia="fr-FR"/>
        </w:rPr>
        <w:t>,</w:t>
      </w:r>
      <w:r>
        <w:rPr>
          <w:rFonts w:cs="Arial"/>
          <w:sz w:val="22"/>
          <w:lang w:eastAsia="fr-FR"/>
        </w:rPr>
        <w:t xml:space="preserve"> que ce soit à titre gracieux ou onéreux</w:t>
      </w:r>
      <w:r w:rsidR="0098678F">
        <w:rPr>
          <w:rFonts w:cs="Arial"/>
          <w:sz w:val="22"/>
          <w:lang w:eastAsia="fr-FR"/>
        </w:rPr>
        <w:t>,</w:t>
      </w:r>
      <w:r>
        <w:rPr>
          <w:rFonts w:cs="Arial"/>
          <w:sz w:val="22"/>
          <w:lang w:eastAsia="fr-FR"/>
        </w:rPr>
        <w:t xml:space="preserve"> ne qualifie pas pour autant en deniers publics les recettes qu’il tire de son activité dès lors qu’il est autonome par rapport à l’administration ;</w:t>
      </w:r>
    </w:p>
    <w:p w:rsidR="00BC74A4" w:rsidRDefault="00BC74A4" w:rsidP="00861072">
      <w:pPr>
        <w:tabs>
          <w:tab w:val="center" w:pos="4536"/>
          <w:tab w:val="right" w:pos="9072"/>
        </w:tabs>
        <w:spacing w:line="240" w:lineRule="auto"/>
        <w:jc w:val="both"/>
        <w:rPr>
          <w:rFonts w:cs="Arial"/>
          <w:sz w:val="22"/>
          <w:lang w:eastAsia="fr-FR"/>
        </w:rPr>
      </w:pPr>
    </w:p>
    <w:p w:rsidR="00BC74A4" w:rsidRDefault="00BC74A4" w:rsidP="00861072">
      <w:pPr>
        <w:tabs>
          <w:tab w:val="center" w:pos="4536"/>
          <w:tab w:val="right" w:pos="9072"/>
        </w:tabs>
        <w:spacing w:line="240" w:lineRule="auto"/>
        <w:jc w:val="both"/>
        <w:rPr>
          <w:rFonts w:cs="Arial"/>
          <w:sz w:val="22"/>
          <w:lang w:eastAsia="fr-FR"/>
        </w:rPr>
      </w:pPr>
      <w:r>
        <w:rPr>
          <w:rFonts w:cs="Arial"/>
          <w:sz w:val="22"/>
          <w:lang w:eastAsia="fr-FR"/>
        </w:rPr>
        <w:t>Attendu que, de manière subsidiaire, le fonds de dotation indique que, même si la qualification de deniers publics devait se fonder sur l’utilisation de moyens publics, il convient de considérer que tel n’est pas le cas pour l’ensemble des recettes de formation dont il s’agit ; que des moyens propres au fonds de dotation ont été substantiellement mis en œuvre ;</w:t>
      </w:r>
    </w:p>
    <w:p w:rsidR="00BC74A4" w:rsidRDefault="00BC74A4" w:rsidP="00861072">
      <w:pPr>
        <w:tabs>
          <w:tab w:val="center" w:pos="4536"/>
          <w:tab w:val="right" w:pos="9072"/>
        </w:tabs>
        <w:spacing w:line="240" w:lineRule="auto"/>
        <w:jc w:val="both"/>
        <w:rPr>
          <w:rFonts w:cs="Arial"/>
          <w:sz w:val="22"/>
          <w:lang w:eastAsia="fr-FR"/>
        </w:rPr>
      </w:pPr>
    </w:p>
    <w:p w:rsidR="00BC74A4" w:rsidRDefault="00FC499C" w:rsidP="00861072">
      <w:pPr>
        <w:tabs>
          <w:tab w:val="center" w:pos="4536"/>
          <w:tab w:val="right" w:pos="9072"/>
        </w:tabs>
        <w:spacing w:line="240" w:lineRule="auto"/>
        <w:jc w:val="both"/>
        <w:rPr>
          <w:rFonts w:cs="Arial"/>
          <w:sz w:val="22"/>
          <w:lang w:eastAsia="fr-FR"/>
        </w:rPr>
      </w:pPr>
      <w:r>
        <w:rPr>
          <w:rFonts w:cs="Arial"/>
          <w:sz w:val="22"/>
          <w:lang w:eastAsia="fr-FR"/>
        </w:rPr>
        <w:t>Attendu que le fonds de dotation conteste son absence d’autonomie par rapport à l’administration dans la mesure où sa création n’est pas le fait d’une personne publique, que son organisation et son fonctionnement ne seraient pas sous le contrôle de l’administration et que l’essentiel de ses ressources ne proviendraient pas de l’administration ; que le fonds s’attache à illustrer ces dires</w:t>
      </w:r>
      <w:r w:rsidR="00C361E0">
        <w:rPr>
          <w:rFonts w:cs="Arial"/>
          <w:sz w:val="22"/>
          <w:lang w:eastAsia="fr-FR"/>
        </w:rPr>
        <w:t xml:space="preserve"> et avance notamment qu’il ne perçoit aucun subside des écoles</w:t>
      </w:r>
      <w:r>
        <w:rPr>
          <w:rFonts w:cs="Arial"/>
          <w:sz w:val="22"/>
          <w:lang w:eastAsia="fr-FR"/>
        </w:rPr>
        <w:t> ;</w:t>
      </w:r>
      <w:r w:rsidR="00C361E0">
        <w:rPr>
          <w:rFonts w:cs="Arial"/>
          <w:sz w:val="22"/>
          <w:lang w:eastAsia="fr-FR"/>
        </w:rPr>
        <w:t xml:space="preserve"> qu’ainsi le fonds de dotation n’est pas un organisme transparent et les recettes perçues ne pouvaient l’être que pour son compte ;</w:t>
      </w:r>
    </w:p>
    <w:p w:rsidR="00C361E0" w:rsidRDefault="00C361E0" w:rsidP="00861072">
      <w:pPr>
        <w:tabs>
          <w:tab w:val="center" w:pos="4536"/>
          <w:tab w:val="right" w:pos="9072"/>
        </w:tabs>
        <w:spacing w:line="240" w:lineRule="auto"/>
        <w:jc w:val="both"/>
        <w:rPr>
          <w:rFonts w:cs="Arial"/>
          <w:sz w:val="22"/>
          <w:lang w:eastAsia="fr-FR"/>
        </w:rPr>
      </w:pPr>
    </w:p>
    <w:p w:rsidR="0098678F" w:rsidRDefault="0098678F" w:rsidP="00861072">
      <w:pPr>
        <w:tabs>
          <w:tab w:val="center" w:pos="4536"/>
          <w:tab w:val="right" w:pos="9072"/>
        </w:tabs>
        <w:spacing w:line="240" w:lineRule="auto"/>
        <w:jc w:val="both"/>
        <w:rPr>
          <w:rFonts w:cs="Arial"/>
          <w:sz w:val="22"/>
          <w:lang w:eastAsia="fr-FR"/>
        </w:rPr>
      </w:pPr>
    </w:p>
    <w:p w:rsidR="0098678F" w:rsidRDefault="0098678F" w:rsidP="00861072">
      <w:pPr>
        <w:tabs>
          <w:tab w:val="center" w:pos="4536"/>
          <w:tab w:val="right" w:pos="9072"/>
        </w:tabs>
        <w:spacing w:line="240" w:lineRule="auto"/>
        <w:jc w:val="both"/>
        <w:rPr>
          <w:rFonts w:cs="Arial"/>
          <w:sz w:val="22"/>
          <w:lang w:eastAsia="fr-FR"/>
        </w:rPr>
      </w:pPr>
    </w:p>
    <w:p w:rsidR="0098678F" w:rsidRDefault="0098678F" w:rsidP="00861072">
      <w:pPr>
        <w:tabs>
          <w:tab w:val="center" w:pos="4536"/>
          <w:tab w:val="right" w:pos="9072"/>
        </w:tabs>
        <w:spacing w:line="240" w:lineRule="auto"/>
        <w:jc w:val="both"/>
        <w:rPr>
          <w:rFonts w:cs="Arial"/>
          <w:sz w:val="22"/>
          <w:lang w:eastAsia="fr-FR"/>
        </w:rPr>
      </w:pPr>
    </w:p>
    <w:p w:rsidR="00FC499C" w:rsidRDefault="00C361E0" w:rsidP="00861072">
      <w:pPr>
        <w:tabs>
          <w:tab w:val="center" w:pos="4536"/>
          <w:tab w:val="right" w:pos="9072"/>
        </w:tabs>
        <w:spacing w:line="240" w:lineRule="auto"/>
        <w:jc w:val="both"/>
        <w:rPr>
          <w:rFonts w:cs="Arial"/>
          <w:sz w:val="22"/>
          <w:lang w:eastAsia="fr-FR"/>
        </w:rPr>
      </w:pPr>
      <w:r>
        <w:rPr>
          <w:rFonts w:cs="Arial"/>
          <w:sz w:val="22"/>
          <w:lang w:eastAsia="fr-FR"/>
        </w:rPr>
        <w:t>Attendu que le fonds fait valoir qu’il a désormais signé deux conventions en dates des 23 janvier 2013 et 10 mars 2014 avec le ministère de la défense fixant les conditions d’utilisation des matériels, personnels et locaux ; que pour la période antérieure il a remboursé, sur cette base, 11</w:t>
      </w:r>
      <w:r w:rsidR="00FC3327">
        <w:rPr>
          <w:rFonts w:cs="Arial"/>
          <w:sz w:val="22"/>
          <w:lang w:eastAsia="fr-FR"/>
        </w:rPr>
        <w:t xml:space="preserve"> </w:t>
      </w:r>
      <w:r w:rsidR="009E34B7">
        <w:rPr>
          <w:rFonts w:cs="Arial"/>
          <w:sz w:val="22"/>
          <w:lang w:eastAsia="fr-FR"/>
        </w:rPr>
        <w:t>419,26 € en 2011 et 16</w:t>
      </w:r>
      <w:r w:rsidR="00FC3327">
        <w:rPr>
          <w:rFonts w:cs="Arial"/>
          <w:sz w:val="22"/>
          <w:lang w:eastAsia="fr-FR"/>
        </w:rPr>
        <w:t xml:space="preserve"> </w:t>
      </w:r>
      <w:r w:rsidR="009E34B7">
        <w:rPr>
          <w:rFonts w:cs="Arial"/>
          <w:sz w:val="22"/>
          <w:lang w:eastAsia="fr-FR"/>
        </w:rPr>
        <w:t>472,97 €</w:t>
      </w:r>
      <w:r>
        <w:rPr>
          <w:rFonts w:cs="Arial"/>
          <w:sz w:val="22"/>
          <w:lang w:eastAsia="fr-FR"/>
        </w:rPr>
        <w:t xml:space="preserve"> en 2012 ; qu’il a également remboursé l’Association sportive et artistique des écoles ; </w:t>
      </w:r>
      <w:r w:rsidR="00F15F9F">
        <w:rPr>
          <w:rFonts w:cs="Arial"/>
          <w:sz w:val="22"/>
          <w:lang w:eastAsia="fr-FR"/>
        </w:rPr>
        <w:t>que</w:t>
      </w:r>
      <w:r>
        <w:rPr>
          <w:rFonts w:cs="Arial"/>
          <w:sz w:val="22"/>
          <w:lang w:eastAsia="fr-FR"/>
        </w:rPr>
        <w:t xml:space="preserve">, pour le surplus, il a sollicité l’émission d’un titre de recettes par le ministère de la défense dont le fonds de dotation reste en attente ; qu’en conséquence il n’y aurait pas lieu à déclaration de gestion de fait dès lors où la totalité des sommes extraites irrégulièrement </w:t>
      </w:r>
      <w:r w:rsidR="00F15F9F">
        <w:rPr>
          <w:rFonts w:cs="Arial"/>
          <w:sz w:val="22"/>
          <w:lang w:eastAsia="fr-FR"/>
        </w:rPr>
        <w:t>ont été reversées dans la caisse publique ; que tel devrait également être le cas quand l’absence de reversement résulterait d’une négligence de l’administration insuffisamment diligente à liquider et réclamer son dû ;</w:t>
      </w:r>
    </w:p>
    <w:p w:rsidR="00F15F9F" w:rsidRDefault="00F15F9F" w:rsidP="00861072">
      <w:pPr>
        <w:tabs>
          <w:tab w:val="center" w:pos="4536"/>
          <w:tab w:val="right" w:pos="9072"/>
        </w:tabs>
        <w:spacing w:line="240" w:lineRule="auto"/>
        <w:jc w:val="both"/>
        <w:rPr>
          <w:rFonts w:cs="Arial"/>
          <w:sz w:val="22"/>
          <w:lang w:eastAsia="fr-FR"/>
        </w:rPr>
      </w:pPr>
    </w:p>
    <w:p w:rsidR="00F15F9F" w:rsidRDefault="00F15F9F" w:rsidP="00861072">
      <w:pPr>
        <w:tabs>
          <w:tab w:val="center" w:pos="4536"/>
          <w:tab w:val="right" w:pos="9072"/>
        </w:tabs>
        <w:spacing w:line="240" w:lineRule="auto"/>
        <w:jc w:val="both"/>
        <w:rPr>
          <w:rFonts w:cs="Arial"/>
          <w:sz w:val="22"/>
          <w:lang w:eastAsia="fr-FR"/>
        </w:rPr>
      </w:pPr>
      <w:r>
        <w:rPr>
          <w:rFonts w:cs="Arial"/>
          <w:sz w:val="22"/>
          <w:lang w:eastAsia="fr-FR"/>
        </w:rPr>
        <w:t>Attendu que le fonds de dotation ne conteste pas avoir encaissé des subventions auxquelles il ne pouvait prétendr</w:t>
      </w:r>
      <w:r w:rsidR="009E34B7">
        <w:rPr>
          <w:rFonts w:cs="Arial"/>
          <w:sz w:val="22"/>
          <w:lang w:eastAsia="fr-FR"/>
        </w:rPr>
        <w:t>e ; qu’il excipe cependant que ces subventions o</w:t>
      </w:r>
      <w:r>
        <w:rPr>
          <w:rFonts w:cs="Arial"/>
          <w:sz w:val="22"/>
          <w:lang w:eastAsia="fr-FR"/>
        </w:rPr>
        <w:t>nt été utilisées dans l’intérêt des écoles et du ministère ; que la Cour pourrait donc juger que la déclaration de gestion de fait sur ce motif ne présenterait pas d’intérêt pratique ;</w:t>
      </w:r>
    </w:p>
    <w:p w:rsidR="00FC499C" w:rsidRDefault="00FC499C" w:rsidP="00861072">
      <w:pPr>
        <w:tabs>
          <w:tab w:val="center" w:pos="4536"/>
          <w:tab w:val="right" w:pos="9072"/>
        </w:tabs>
        <w:spacing w:line="240" w:lineRule="auto"/>
        <w:jc w:val="both"/>
        <w:rPr>
          <w:rFonts w:cs="Arial"/>
          <w:sz w:val="22"/>
          <w:lang w:eastAsia="fr-FR"/>
        </w:rPr>
      </w:pPr>
    </w:p>
    <w:p w:rsidR="00F15F9F" w:rsidRDefault="00F15F9F" w:rsidP="00861072">
      <w:pPr>
        <w:tabs>
          <w:tab w:val="center" w:pos="4536"/>
          <w:tab w:val="right" w:pos="9072"/>
        </w:tabs>
        <w:spacing w:line="240" w:lineRule="auto"/>
        <w:jc w:val="both"/>
        <w:rPr>
          <w:rFonts w:cs="Arial"/>
          <w:sz w:val="22"/>
          <w:lang w:eastAsia="fr-FR"/>
        </w:rPr>
      </w:pPr>
      <w:r>
        <w:rPr>
          <w:rFonts w:cs="Arial"/>
          <w:sz w:val="22"/>
          <w:lang w:eastAsia="fr-FR"/>
        </w:rPr>
        <w:t>Attendu enfin que le fonds conteste avoir pris en charge des dépenses incombant au ministère de la défense ;</w:t>
      </w:r>
    </w:p>
    <w:p w:rsidR="00F15F9F" w:rsidRDefault="00F15F9F" w:rsidP="00861072">
      <w:pPr>
        <w:tabs>
          <w:tab w:val="center" w:pos="4536"/>
          <w:tab w:val="right" w:pos="9072"/>
        </w:tabs>
        <w:spacing w:line="240" w:lineRule="auto"/>
        <w:jc w:val="both"/>
        <w:rPr>
          <w:rFonts w:cs="Arial"/>
          <w:sz w:val="22"/>
          <w:lang w:eastAsia="fr-FR"/>
        </w:rPr>
      </w:pPr>
    </w:p>
    <w:p w:rsidR="00F15F9F" w:rsidRDefault="00F15F9F" w:rsidP="00861072">
      <w:pPr>
        <w:tabs>
          <w:tab w:val="center" w:pos="4536"/>
          <w:tab w:val="right" w:pos="9072"/>
        </w:tabs>
        <w:spacing w:line="240" w:lineRule="auto"/>
        <w:jc w:val="both"/>
        <w:rPr>
          <w:rFonts w:cs="Arial"/>
          <w:sz w:val="22"/>
          <w:lang w:eastAsia="fr-FR"/>
        </w:rPr>
      </w:pPr>
      <w:r>
        <w:rPr>
          <w:rFonts w:cs="Arial"/>
          <w:sz w:val="22"/>
          <w:lang w:eastAsia="fr-FR"/>
        </w:rPr>
        <w:t>Attendu que les autres parties s’en sont remises aux écritures du fonds de dotation ;</w:t>
      </w:r>
    </w:p>
    <w:p w:rsidR="002A210B" w:rsidRDefault="002A210B" w:rsidP="00861072">
      <w:pPr>
        <w:tabs>
          <w:tab w:val="center" w:pos="4536"/>
          <w:tab w:val="right" w:pos="9072"/>
        </w:tabs>
        <w:spacing w:line="240" w:lineRule="auto"/>
        <w:jc w:val="both"/>
        <w:rPr>
          <w:rFonts w:cs="Arial"/>
          <w:sz w:val="22"/>
          <w:lang w:eastAsia="fr-FR"/>
        </w:rPr>
      </w:pPr>
    </w:p>
    <w:p w:rsidR="00A7170A" w:rsidRPr="00E570A1" w:rsidRDefault="00A7170A" w:rsidP="00A7170A">
      <w:pPr>
        <w:tabs>
          <w:tab w:val="center" w:pos="4536"/>
          <w:tab w:val="right" w:pos="9072"/>
        </w:tabs>
        <w:spacing w:line="240" w:lineRule="auto"/>
        <w:jc w:val="both"/>
        <w:rPr>
          <w:rFonts w:cs="Arial"/>
          <w:b/>
          <w:i/>
          <w:sz w:val="22"/>
          <w:lang w:eastAsia="fr-FR"/>
        </w:rPr>
      </w:pPr>
      <w:r w:rsidRPr="00E570A1">
        <w:rPr>
          <w:rFonts w:cs="Arial"/>
          <w:b/>
          <w:i/>
          <w:sz w:val="22"/>
          <w:lang w:eastAsia="fr-FR"/>
        </w:rPr>
        <w:t xml:space="preserve">Sur </w:t>
      </w:r>
      <w:r>
        <w:rPr>
          <w:rFonts w:cs="Arial"/>
          <w:b/>
          <w:i/>
          <w:sz w:val="22"/>
          <w:lang w:eastAsia="fr-FR"/>
        </w:rPr>
        <w:t>la compétence de la Cour des comptes</w:t>
      </w:r>
    </w:p>
    <w:p w:rsidR="00A7170A" w:rsidRDefault="00A7170A" w:rsidP="00861072">
      <w:pPr>
        <w:tabs>
          <w:tab w:val="center" w:pos="4536"/>
          <w:tab w:val="right" w:pos="9072"/>
        </w:tabs>
        <w:spacing w:line="240" w:lineRule="auto"/>
        <w:jc w:val="both"/>
        <w:rPr>
          <w:rFonts w:cs="Arial"/>
          <w:sz w:val="22"/>
          <w:lang w:eastAsia="fr-FR"/>
        </w:rPr>
      </w:pPr>
    </w:p>
    <w:p w:rsidR="00456DE0" w:rsidRPr="00456DE0" w:rsidRDefault="00456DE0" w:rsidP="00456DE0">
      <w:pPr>
        <w:tabs>
          <w:tab w:val="center" w:pos="4536"/>
          <w:tab w:val="right" w:pos="9072"/>
        </w:tabs>
        <w:spacing w:line="240" w:lineRule="auto"/>
        <w:jc w:val="both"/>
        <w:rPr>
          <w:rFonts w:cs="Arial"/>
          <w:sz w:val="22"/>
          <w:lang w:eastAsia="fr-FR"/>
        </w:rPr>
      </w:pPr>
      <w:r w:rsidRPr="00456DE0">
        <w:rPr>
          <w:rFonts w:cs="Arial"/>
          <w:sz w:val="22"/>
          <w:lang w:eastAsia="fr-FR"/>
        </w:rPr>
        <w:t>Attendu qu’en application de l’article 11 du décret du 29 décembre 1962 portant règlement génér</w:t>
      </w:r>
      <w:r w:rsidR="008B5B10">
        <w:rPr>
          <w:rFonts w:cs="Arial"/>
          <w:sz w:val="22"/>
          <w:lang w:eastAsia="fr-FR"/>
        </w:rPr>
        <w:t>al sur la comptabilité publique</w:t>
      </w:r>
      <w:r w:rsidRPr="00456DE0">
        <w:rPr>
          <w:rFonts w:cs="Arial"/>
          <w:sz w:val="22"/>
          <w:lang w:eastAsia="fr-FR"/>
        </w:rPr>
        <w:t xml:space="preserve"> les comptables publics sont seuls chargés de l’encaissement des recettes, du paiement des dépenses et de la conservation des fonds et valeurs appartenant ou confiés aux organismes publics ainsi que du maniement des fonds et des mouvements de comptes de disponibilités</w:t>
      </w:r>
      <w:r w:rsidR="0098678F">
        <w:rPr>
          <w:rFonts w:cs="Arial"/>
          <w:sz w:val="22"/>
          <w:lang w:eastAsia="fr-FR"/>
        </w:rPr>
        <w:t> ;</w:t>
      </w:r>
    </w:p>
    <w:p w:rsidR="00456DE0" w:rsidRPr="00456DE0" w:rsidRDefault="00456DE0" w:rsidP="00456DE0">
      <w:pPr>
        <w:tabs>
          <w:tab w:val="center" w:pos="4536"/>
          <w:tab w:val="right" w:pos="9072"/>
        </w:tabs>
        <w:spacing w:line="240" w:lineRule="auto"/>
        <w:jc w:val="both"/>
        <w:rPr>
          <w:rFonts w:cs="Arial"/>
          <w:sz w:val="22"/>
          <w:lang w:eastAsia="fr-FR"/>
        </w:rPr>
      </w:pPr>
    </w:p>
    <w:p w:rsidR="00456DE0" w:rsidRPr="00456DE0" w:rsidRDefault="00456DE0" w:rsidP="00456DE0">
      <w:pPr>
        <w:tabs>
          <w:tab w:val="center" w:pos="4536"/>
          <w:tab w:val="right" w:pos="9072"/>
        </w:tabs>
        <w:spacing w:line="240" w:lineRule="auto"/>
        <w:jc w:val="both"/>
        <w:rPr>
          <w:rFonts w:cs="Arial"/>
          <w:sz w:val="22"/>
          <w:lang w:eastAsia="fr-FR"/>
        </w:rPr>
      </w:pPr>
      <w:r w:rsidRPr="00456DE0">
        <w:rPr>
          <w:rFonts w:cs="Arial"/>
          <w:sz w:val="22"/>
          <w:lang w:eastAsia="fr-FR"/>
        </w:rPr>
        <w:t>Attendu que l’article 60-XI de la loi de finances du 23 février 1963 dispose que «</w:t>
      </w:r>
      <w:r w:rsidR="0098678F">
        <w:rPr>
          <w:rFonts w:cs="Arial"/>
          <w:sz w:val="22"/>
          <w:lang w:eastAsia="fr-FR"/>
        </w:rPr>
        <w:t> </w:t>
      </w:r>
      <w:r w:rsidRPr="00456DE0">
        <w:rPr>
          <w:rFonts w:cs="Arial"/>
          <w:sz w:val="22"/>
          <w:lang w:eastAsia="fr-FR"/>
        </w:rPr>
        <w:t xml:space="preserve">Toute personne qui, sans avoir la qualité de comptable public ou sans agir sous contrôle et pour le compte d’un comptable public, s’ingère dans le recouvrement de recettes affectées ou destinées à un organisme public doté d’un poste comptable ou dépendant d’un tel poste doit, nonobstant les poursuites qui pourraient être engagées devant les juridictions répressives, rendre compte au juge financier de l’emploi des fonds ou valeurs qu’elle a irrégulièrement détenus ou maniés. Il en est de même pour toute personne qui reçoit ou manie directement ou indirectement des fonds ou valeurs extraits irrégulièrement de la caisse d’un organisme public et pour toute personne qui, sans avoir la qualité de comptable public, procède à des opérations portant sur des fonds ou valeurs n’appartenant pas aux organismes publics, mais que les comptables publics sont exclusivement chargés d’exécuter en vertu de la réglementation en vigueur. Les gestions de fait sont soumises aux mêmes juridictions et entraînent les mêmes obligations et responsabilités que les gestions régulières. Néanmoins, le juge des comptes peut, hors le cas de mauvaise foi ou d’infidélité du comptable de fait, </w:t>
      </w:r>
      <w:proofErr w:type="gramStart"/>
      <w:r w:rsidRPr="00456DE0">
        <w:rPr>
          <w:rFonts w:cs="Arial"/>
          <w:sz w:val="22"/>
          <w:lang w:eastAsia="fr-FR"/>
        </w:rPr>
        <w:t>suppléer</w:t>
      </w:r>
      <w:proofErr w:type="gramEnd"/>
      <w:r w:rsidRPr="00456DE0">
        <w:rPr>
          <w:rFonts w:cs="Arial"/>
          <w:sz w:val="22"/>
          <w:lang w:eastAsia="fr-FR"/>
        </w:rPr>
        <w:t xml:space="preserve"> par des considérations d’équité à l’insuffisance des justifications produites. Les comptables de fait pourront, dans le cas où ils n’ont pas fait l’objet pour les mêmes opérations des poursuites au titre du délit prévu et réprimé par l’article 433-12 du Code pénal, être condamnés aux amendes prévues par la loi</w:t>
      </w:r>
      <w:r w:rsidR="0098678F">
        <w:rPr>
          <w:rFonts w:cs="Arial"/>
          <w:sz w:val="22"/>
          <w:lang w:eastAsia="fr-FR"/>
        </w:rPr>
        <w:t> » ;</w:t>
      </w:r>
    </w:p>
    <w:p w:rsidR="00456DE0" w:rsidRPr="00456DE0" w:rsidRDefault="00456DE0" w:rsidP="00456DE0">
      <w:pPr>
        <w:tabs>
          <w:tab w:val="center" w:pos="4536"/>
          <w:tab w:val="right" w:pos="9072"/>
        </w:tabs>
        <w:spacing w:line="240" w:lineRule="auto"/>
        <w:jc w:val="both"/>
        <w:rPr>
          <w:rFonts w:cs="Arial"/>
          <w:sz w:val="22"/>
          <w:lang w:eastAsia="fr-FR"/>
        </w:rPr>
      </w:pPr>
    </w:p>
    <w:p w:rsidR="00456DE0" w:rsidRPr="00456DE0" w:rsidRDefault="00456DE0" w:rsidP="00456DE0">
      <w:pPr>
        <w:tabs>
          <w:tab w:val="center" w:pos="4536"/>
          <w:tab w:val="right" w:pos="9072"/>
        </w:tabs>
        <w:spacing w:line="240" w:lineRule="auto"/>
        <w:jc w:val="both"/>
        <w:rPr>
          <w:rFonts w:cs="Arial"/>
          <w:sz w:val="22"/>
          <w:lang w:eastAsia="fr-FR"/>
        </w:rPr>
      </w:pPr>
      <w:r w:rsidRPr="00456DE0">
        <w:rPr>
          <w:rFonts w:cs="Arial"/>
          <w:sz w:val="22"/>
          <w:lang w:eastAsia="fr-FR"/>
        </w:rPr>
        <w:t xml:space="preserve">Attendu </w:t>
      </w:r>
      <w:r>
        <w:rPr>
          <w:rFonts w:cs="Arial"/>
          <w:sz w:val="22"/>
          <w:lang w:eastAsia="fr-FR"/>
        </w:rPr>
        <w:t>qu’</w:t>
      </w:r>
      <w:r w:rsidR="00FC168B">
        <w:rPr>
          <w:rFonts w:cs="Arial"/>
          <w:sz w:val="22"/>
          <w:lang w:eastAsia="fr-FR"/>
        </w:rPr>
        <w:t>il est constant qu’ont la qualité de deniers publics</w:t>
      </w:r>
      <w:r>
        <w:rPr>
          <w:rFonts w:cs="Arial"/>
          <w:sz w:val="22"/>
          <w:lang w:eastAsia="fr-FR"/>
        </w:rPr>
        <w:t xml:space="preserve"> tant les subventions destinées à une personne publique que les recettes</w:t>
      </w:r>
      <w:r w:rsidR="00FC168B">
        <w:rPr>
          <w:rFonts w:cs="Arial"/>
          <w:sz w:val="22"/>
          <w:lang w:eastAsia="fr-FR"/>
        </w:rPr>
        <w:t xml:space="preserve"> </w:t>
      </w:r>
      <w:r w:rsidR="000863DF">
        <w:rPr>
          <w:rFonts w:cs="Arial"/>
          <w:sz w:val="22"/>
          <w:lang w:eastAsia="fr-FR"/>
        </w:rPr>
        <w:t>à l’origine desquelles se trouvent des</w:t>
      </w:r>
      <w:r>
        <w:rPr>
          <w:rFonts w:cs="Arial"/>
          <w:sz w:val="22"/>
          <w:lang w:eastAsia="fr-FR"/>
        </w:rPr>
        <w:t xml:space="preserve"> moyens publics</w:t>
      </w:r>
      <w:r w:rsidR="000863DF">
        <w:rPr>
          <w:rFonts w:cs="Arial"/>
          <w:sz w:val="22"/>
          <w:lang w:eastAsia="fr-FR"/>
        </w:rPr>
        <w:t>, lesquels en l’espèce ont été</w:t>
      </w:r>
      <w:r w:rsidR="00734270">
        <w:rPr>
          <w:rFonts w:cs="Arial"/>
          <w:sz w:val="22"/>
          <w:lang w:eastAsia="fr-FR"/>
        </w:rPr>
        <w:t xml:space="preserve"> mis </w:t>
      </w:r>
      <w:r w:rsidR="00FC168B">
        <w:rPr>
          <w:rFonts w:cs="Arial"/>
          <w:sz w:val="22"/>
          <w:lang w:eastAsia="fr-FR"/>
        </w:rPr>
        <w:t>à disposition d’une personne privée hors de tout cadre</w:t>
      </w:r>
      <w:r w:rsidRPr="00456DE0">
        <w:rPr>
          <w:rFonts w:cs="Arial"/>
          <w:sz w:val="22"/>
          <w:lang w:eastAsia="fr-FR"/>
        </w:rPr>
        <w:t xml:space="preserve"> </w:t>
      </w:r>
      <w:r w:rsidR="00FC168B">
        <w:rPr>
          <w:rFonts w:cs="Arial"/>
          <w:sz w:val="22"/>
          <w:lang w:eastAsia="fr-FR"/>
        </w:rPr>
        <w:t>légal</w:t>
      </w:r>
      <w:r w:rsidR="000863DF">
        <w:rPr>
          <w:rFonts w:cs="Arial"/>
          <w:sz w:val="22"/>
          <w:lang w:eastAsia="fr-FR"/>
        </w:rPr>
        <w:t xml:space="preserve"> et ont </w:t>
      </w:r>
      <w:r w:rsidR="009E34B7">
        <w:rPr>
          <w:rFonts w:cs="Arial"/>
          <w:sz w:val="22"/>
          <w:lang w:eastAsia="fr-FR"/>
        </w:rPr>
        <w:t xml:space="preserve">substantiellement </w:t>
      </w:r>
      <w:r w:rsidR="000863DF">
        <w:rPr>
          <w:rFonts w:cs="Arial"/>
          <w:sz w:val="22"/>
          <w:lang w:eastAsia="fr-FR"/>
        </w:rPr>
        <w:t>constitué les moyens mis en œuvre pour générer les recettes de formation perçues par le fonds de dotation</w:t>
      </w:r>
      <w:r w:rsidR="0098678F">
        <w:rPr>
          <w:rFonts w:cs="Arial"/>
          <w:sz w:val="22"/>
          <w:lang w:eastAsia="fr-FR"/>
        </w:rPr>
        <w:t> ;</w:t>
      </w:r>
    </w:p>
    <w:p w:rsidR="00456DE0" w:rsidRPr="00456DE0" w:rsidRDefault="00456DE0" w:rsidP="00456DE0">
      <w:pPr>
        <w:tabs>
          <w:tab w:val="center" w:pos="4536"/>
          <w:tab w:val="right" w:pos="9072"/>
        </w:tabs>
        <w:spacing w:line="240" w:lineRule="auto"/>
        <w:jc w:val="both"/>
        <w:rPr>
          <w:rFonts w:cs="Arial"/>
          <w:sz w:val="22"/>
          <w:lang w:eastAsia="fr-FR"/>
        </w:rPr>
      </w:pPr>
    </w:p>
    <w:p w:rsidR="0098678F" w:rsidRDefault="0098678F" w:rsidP="00456DE0">
      <w:pPr>
        <w:tabs>
          <w:tab w:val="center" w:pos="4536"/>
          <w:tab w:val="right" w:pos="9072"/>
        </w:tabs>
        <w:spacing w:line="240" w:lineRule="auto"/>
        <w:jc w:val="both"/>
        <w:rPr>
          <w:rFonts w:cs="Arial"/>
          <w:sz w:val="22"/>
          <w:lang w:eastAsia="fr-FR"/>
        </w:rPr>
      </w:pPr>
    </w:p>
    <w:p w:rsidR="0098678F" w:rsidRDefault="0098678F" w:rsidP="00456DE0">
      <w:pPr>
        <w:tabs>
          <w:tab w:val="center" w:pos="4536"/>
          <w:tab w:val="right" w:pos="9072"/>
        </w:tabs>
        <w:spacing w:line="240" w:lineRule="auto"/>
        <w:jc w:val="both"/>
        <w:rPr>
          <w:rFonts w:cs="Arial"/>
          <w:sz w:val="22"/>
          <w:lang w:eastAsia="fr-FR"/>
        </w:rPr>
      </w:pPr>
    </w:p>
    <w:p w:rsidR="0098678F" w:rsidRDefault="0098678F" w:rsidP="00456DE0">
      <w:pPr>
        <w:tabs>
          <w:tab w:val="center" w:pos="4536"/>
          <w:tab w:val="right" w:pos="9072"/>
        </w:tabs>
        <w:spacing w:line="240" w:lineRule="auto"/>
        <w:jc w:val="both"/>
        <w:rPr>
          <w:rFonts w:cs="Arial"/>
          <w:sz w:val="22"/>
          <w:lang w:eastAsia="fr-FR"/>
        </w:rPr>
      </w:pPr>
    </w:p>
    <w:p w:rsidR="00456DE0" w:rsidRPr="00456DE0" w:rsidRDefault="00456DE0" w:rsidP="00456DE0">
      <w:pPr>
        <w:tabs>
          <w:tab w:val="center" w:pos="4536"/>
          <w:tab w:val="right" w:pos="9072"/>
        </w:tabs>
        <w:spacing w:line="240" w:lineRule="auto"/>
        <w:jc w:val="both"/>
        <w:rPr>
          <w:rFonts w:cs="Arial"/>
          <w:sz w:val="22"/>
          <w:lang w:eastAsia="fr-FR"/>
        </w:rPr>
      </w:pPr>
      <w:r w:rsidRPr="00456DE0">
        <w:rPr>
          <w:rFonts w:cs="Arial"/>
          <w:sz w:val="22"/>
          <w:lang w:eastAsia="fr-FR"/>
        </w:rPr>
        <w:t>Attendu qu’aux termes de</w:t>
      </w:r>
      <w:r w:rsidR="00FC052F">
        <w:rPr>
          <w:rFonts w:cs="Arial"/>
          <w:sz w:val="22"/>
          <w:lang w:eastAsia="fr-FR"/>
        </w:rPr>
        <w:t>s dispositions de l’article L. 131-2</w:t>
      </w:r>
      <w:r w:rsidRPr="00456DE0">
        <w:rPr>
          <w:rFonts w:cs="Arial"/>
          <w:sz w:val="22"/>
          <w:lang w:eastAsia="fr-FR"/>
        </w:rPr>
        <w:t xml:space="preserve"> du code des juridictions financières : «</w:t>
      </w:r>
      <w:r w:rsidR="0098678F">
        <w:rPr>
          <w:rFonts w:cs="Arial"/>
          <w:sz w:val="22"/>
          <w:lang w:eastAsia="fr-FR"/>
        </w:rPr>
        <w:t> </w:t>
      </w:r>
      <w:r w:rsidR="00FC052F">
        <w:rPr>
          <w:rFonts w:cs="Arial"/>
          <w:sz w:val="22"/>
          <w:lang w:eastAsia="fr-FR"/>
        </w:rPr>
        <w:t>La Cour</w:t>
      </w:r>
      <w:r w:rsidRPr="00456DE0">
        <w:rPr>
          <w:rFonts w:cs="Arial"/>
          <w:sz w:val="22"/>
          <w:lang w:eastAsia="fr-FR"/>
        </w:rPr>
        <w:t xml:space="preserve"> des comptes juge les comptes que lui rendent les personnes qu’elle a déclarées comptables de fait. Elle n’a pas juridiction sur les ordonnateurs, sauf ceux qu’elle a déclarés comptables de fait. ( ...) L’action en déclaration de gestion de fait est prescrite pour les actes constitutifs de gestion de fait commis plus de dix ans avant la date à laquelle la </w:t>
      </w:r>
      <w:r w:rsidR="00FC052F">
        <w:rPr>
          <w:rFonts w:cs="Arial"/>
          <w:sz w:val="22"/>
          <w:lang w:eastAsia="fr-FR"/>
        </w:rPr>
        <w:t>Cour</w:t>
      </w:r>
      <w:r w:rsidRPr="00456DE0">
        <w:rPr>
          <w:rFonts w:cs="Arial"/>
          <w:sz w:val="22"/>
          <w:lang w:eastAsia="fr-FR"/>
        </w:rPr>
        <w:t xml:space="preserve"> des comptes en est saisie» ; que l’article R. </w:t>
      </w:r>
      <w:r w:rsidR="00FC052F">
        <w:rPr>
          <w:rFonts w:cs="Arial"/>
          <w:sz w:val="22"/>
          <w:lang w:eastAsia="fr-FR"/>
        </w:rPr>
        <w:t>1</w:t>
      </w:r>
      <w:r w:rsidRPr="00456DE0">
        <w:rPr>
          <w:rFonts w:cs="Arial"/>
          <w:sz w:val="22"/>
          <w:lang w:eastAsia="fr-FR"/>
        </w:rPr>
        <w:t xml:space="preserve">31-1 du même code précise </w:t>
      </w:r>
      <w:r w:rsidR="00FC052F">
        <w:rPr>
          <w:rFonts w:cs="Arial"/>
          <w:sz w:val="22"/>
          <w:lang w:eastAsia="fr-FR"/>
        </w:rPr>
        <w:t xml:space="preserve">que </w:t>
      </w:r>
      <w:r w:rsidRPr="00456DE0">
        <w:rPr>
          <w:rFonts w:cs="Arial"/>
          <w:sz w:val="22"/>
          <w:lang w:eastAsia="fr-FR"/>
        </w:rPr>
        <w:t xml:space="preserve">« </w:t>
      </w:r>
      <w:r w:rsidR="00FC052F">
        <w:rPr>
          <w:rFonts w:cs="Arial"/>
          <w:sz w:val="22"/>
          <w:lang w:eastAsia="fr-FR"/>
        </w:rPr>
        <w:t>la Cour des comptes, sous réserve de la compétence attribuée aux chambres régionales et territoriales des comptes, juge les comptes des comptables publics,</w:t>
      </w:r>
      <w:r w:rsidRPr="00456DE0">
        <w:rPr>
          <w:rFonts w:cs="Arial"/>
          <w:sz w:val="22"/>
          <w:lang w:eastAsia="fr-FR"/>
        </w:rPr>
        <w:t xml:space="preserve"> déclar</w:t>
      </w:r>
      <w:r w:rsidR="00FC052F">
        <w:rPr>
          <w:rFonts w:cs="Arial"/>
          <w:sz w:val="22"/>
          <w:lang w:eastAsia="fr-FR"/>
        </w:rPr>
        <w:t>e et apure les gestions de fait, prononce d</w:t>
      </w:r>
      <w:r w:rsidRPr="00456DE0">
        <w:rPr>
          <w:rFonts w:cs="Arial"/>
          <w:sz w:val="22"/>
          <w:lang w:eastAsia="fr-FR"/>
        </w:rPr>
        <w:t xml:space="preserve">es condamnations à l’amende </w:t>
      </w:r>
      <w:r w:rsidR="00FC052F">
        <w:rPr>
          <w:rFonts w:cs="Arial"/>
          <w:sz w:val="22"/>
          <w:lang w:eastAsia="fr-FR"/>
        </w:rPr>
        <w:t>dans les conditions fixées par le présent code</w:t>
      </w:r>
      <w:r w:rsidR="0098678F">
        <w:rPr>
          <w:rFonts w:cs="Arial"/>
          <w:sz w:val="22"/>
          <w:lang w:eastAsia="fr-FR"/>
        </w:rPr>
        <w:t xml:space="preserve"> (…) </w:t>
      </w:r>
      <w:r w:rsidRPr="00456DE0">
        <w:rPr>
          <w:rFonts w:cs="Arial"/>
          <w:sz w:val="22"/>
          <w:lang w:eastAsia="fr-FR"/>
        </w:rPr>
        <w:t>»</w:t>
      </w:r>
      <w:r w:rsidR="0098678F">
        <w:rPr>
          <w:rFonts w:cs="Arial"/>
          <w:sz w:val="22"/>
          <w:lang w:eastAsia="fr-FR"/>
        </w:rPr>
        <w:t> ;</w:t>
      </w:r>
    </w:p>
    <w:p w:rsidR="00456DE0" w:rsidRDefault="00456DE0" w:rsidP="00456DE0">
      <w:pPr>
        <w:tabs>
          <w:tab w:val="center" w:pos="4536"/>
          <w:tab w:val="right" w:pos="9072"/>
        </w:tabs>
        <w:spacing w:line="240" w:lineRule="auto"/>
        <w:jc w:val="both"/>
        <w:rPr>
          <w:rFonts w:cs="Arial"/>
          <w:sz w:val="22"/>
          <w:lang w:eastAsia="fr-FR"/>
        </w:rPr>
      </w:pPr>
    </w:p>
    <w:p w:rsidR="00FC052F" w:rsidRDefault="006A3815" w:rsidP="00456DE0">
      <w:pPr>
        <w:tabs>
          <w:tab w:val="center" w:pos="4536"/>
          <w:tab w:val="right" w:pos="9072"/>
        </w:tabs>
        <w:spacing w:line="240" w:lineRule="auto"/>
        <w:jc w:val="both"/>
        <w:rPr>
          <w:rFonts w:cs="Arial"/>
          <w:sz w:val="22"/>
          <w:lang w:eastAsia="fr-FR"/>
        </w:rPr>
      </w:pPr>
      <w:r>
        <w:rPr>
          <w:rFonts w:cs="Arial"/>
          <w:sz w:val="22"/>
          <w:lang w:eastAsia="fr-FR"/>
        </w:rPr>
        <w:t xml:space="preserve">Attendu que les faits présumés constitutifs d’une gestion de fait tels que visés par le réquisitoire introductif d’instance se sont déroulés en 2011 et 2012 et qu’ils n’étaient donc pas </w:t>
      </w:r>
      <w:r w:rsidRPr="00301F44">
        <w:rPr>
          <w:rFonts w:cs="Arial"/>
          <w:sz w:val="22"/>
          <w:lang w:eastAsia="fr-FR"/>
        </w:rPr>
        <w:t>prescrits en 2014 lors de</w:t>
      </w:r>
      <w:r>
        <w:rPr>
          <w:rFonts w:cs="Arial"/>
          <w:sz w:val="22"/>
          <w:lang w:eastAsia="fr-FR"/>
        </w:rPr>
        <w:t xml:space="preserve"> la notification dudit réquisitoire ;</w:t>
      </w:r>
    </w:p>
    <w:p w:rsidR="00FC052F" w:rsidRPr="00456DE0" w:rsidRDefault="00FC052F" w:rsidP="00456DE0">
      <w:pPr>
        <w:tabs>
          <w:tab w:val="center" w:pos="4536"/>
          <w:tab w:val="right" w:pos="9072"/>
        </w:tabs>
        <w:spacing w:line="240" w:lineRule="auto"/>
        <w:jc w:val="both"/>
        <w:rPr>
          <w:rFonts w:cs="Arial"/>
          <w:sz w:val="22"/>
          <w:lang w:eastAsia="fr-FR"/>
        </w:rPr>
      </w:pPr>
    </w:p>
    <w:p w:rsidR="00A7170A" w:rsidRDefault="00456DE0" w:rsidP="00456DE0">
      <w:pPr>
        <w:tabs>
          <w:tab w:val="center" w:pos="4536"/>
          <w:tab w:val="right" w:pos="9072"/>
        </w:tabs>
        <w:spacing w:line="240" w:lineRule="auto"/>
        <w:jc w:val="both"/>
        <w:rPr>
          <w:rFonts w:cs="Arial"/>
          <w:sz w:val="22"/>
          <w:lang w:eastAsia="fr-FR"/>
        </w:rPr>
      </w:pPr>
      <w:r w:rsidRPr="00456DE0">
        <w:rPr>
          <w:rFonts w:cs="Arial"/>
          <w:sz w:val="22"/>
          <w:lang w:eastAsia="fr-FR"/>
        </w:rPr>
        <w:t xml:space="preserve">Attendu qu’il appartient en conséquence à la </w:t>
      </w:r>
      <w:r w:rsidR="00FC052F">
        <w:rPr>
          <w:rFonts w:cs="Arial"/>
          <w:sz w:val="22"/>
          <w:lang w:eastAsia="fr-FR"/>
        </w:rPr>
        <w:t>Cour</w:t>
      </w:r>
      <w:r w:rsidR="00301F44">
        <w:rPr>
          <w:rFonts w:cs="Arial"/>
          <w:sz w:val="22"/>
          <w:lang w:eastAsia="fr-FR"/>
        </w:rPr>
        <w:t xml:space="preserve"> de se prononcer, d’une part,</w:t>
      </w:r>
      <w:r w:rsidRPr="00456DE0">
        <w:rPr>
          <w:rFonts w:cs="Arial"/>
          <w:sz w:val="22"/>
          <w:lang w:eastAsia="fr-FR"/>
        </w:rPr>
        <w:t xml:space="preserve"> sur </w:t>
      </w:r>
      <w:r w:rsidR="009E34B7">
        <w:rPr>
          <w:rFonts w:cs="Arial"/>
          <w:sz w:val="22"/>
          <w:lang w:eastAsia="fr-FR"/>
        </w:rPr>
        <w:t>les modalités de la gestion de fait, sur la nature</w:t>
      </w:r>
      <w:r w:rsidR="007C1589">
        <w:rPr>
          <w:rFonts w:cs="Arial"/>
          <w:sz w:val="22"/>
          <w:lang w:eastAsia="fr-FR"/>
        </w:rPr>
        <w:t>, la durée et les auteurs</w:t>
      </w:r>
      <w:r w:rsidR="009E34B7">
        <w:rPr>
          <w:rFonts w:cs="Arial"/>
          <w:sz w:val="22"/>
          <w:lang w:eastAsia="fr-FR"/>
        </w:rPr>
        <w:t xml:space="preserve"> des </w:t>
      </w:r>
      <w:r w:rsidRPr="00456DE0">
        <w:rPr>
          <w:rFonts w:cs="Arial"/>
          <w:sz w:val="22"/>
          <w:lang w:eastAsia="fr-FR"/>
        </w:rPr>
        <w:t>irrégularités</w:t>
      </w:r>
      <w:r w:rsidR="007C1589">
        <w:rPr>
          <w:rFonts w:cs="Arial"/>
          <w:sz w:val="22"/>
          <w:lang w:eastAsia="fr-FR"/>
        </w:rPr>
        <w:t xml:space="preserve"> commises ;</w:t>
      </w:r>
    </w:p>
    <w:p w:rsidR="00A7170A" w:rsidRDefault="00A7170A" w:rsidP="00861072">
      <w:pPr>
        <w:tabs>
          <w:tab w:val="center" w:pos="4536"/>
          <w:tab w:val="right" w:pos="9072"/>
        </w:tabs>
        <w:spacing w:line="240" w:lineRule="auto"/>
        <w:jc w:val="both"/>
        <w:rPr>
          <w:rFonts w:cs="Arial"/>
          <w:sz w:val="22"/>
          <w:lang w:eastAsia="fr-FR"/>
        </w:rPr>
      </w:pPr>
    </w:p>
    <w:p w:rsidR="00C9612D" w:rsidRDefault="00C9612D" w:rsidP="00C9612D">
      <w:pPr>
        <w:tabs>
          <w:tab w:val="center" w:pos="4536"/>
          <w:tab w:val="right" w:pos="9072"/>
        </w:tabs>
        <w:spacing w:line="240" w:lineRule="auto"/>
        <w:jc w:val="both"/>
        <w:rPr>
          <w:rFonts w:cs="Arial"/>
          <w:b/>
          <w:i/>
          <w:sz w:val="22"/>
          <w:lang w:eastAsia="fr-FR"/>
        </w:rPr>
      </w:pPr>
      <w:r w:rsidRPr="002478DF">
        <w:rPr>
          <w:rFonts w:cs="Arial"/>
          <w:b/>
          <w:i/>
          <w:sz w:val="22"/>
          <w:lang w:eastAsia="fr-FR"/>
        </w:rPr>
        <w:t xml:space="preserve">Sur </w:t>
      </w:r>
      <w:r w:rsidR="007C1589">
        <w:rPr>
          <w:rFonts w:cs="Arial"/>
          <w:b/>
          <w:i/>
          <w:sz w:val="22"/>
          <w:lang w:eastAsia="fr-FR"/>
        </w:rPr>
        <w:t>l’absence d’autonomie du fonds de dotation</w:t>
      </w:r>
    </w:p>
    <w:p w:rsidR="00A7170A" w:rsidRDefault="00A7170A" w:rsidP="00861072">
      <w:pPr>
        <w:tabs>
          <w:tab w:val="center" w:pos="4536"/>
          <w:tab w:val="right" w:pos="9072"/>
        </w:tabs>
        <w:spacing w:line="240" w:lineRule="auto"/>
        <w:jc w:val="both"/>
        <w:rPr>
          <w:rFonts w:cs="Arial"/>
          <w:sz w:val="22"/>
          <w:lang w:eastAsia="fr-FR"/>
        </w:rPr>
      </w:pPr>
    </w:p>
    <w:p w:rsidR="009C6E76" w:rsidRPr="00861072" w:rsidRDefault="00CE1723" w:rsidP="00861072">
      <w:pPr>
        <w:tabs>
          <w:tab w:val="center" w:pos="4536"/>
          <w:tab w:val="right" w:pos="9072"/>
        </w:tabs>
        <w:spacing w:line="240" w:lineRule="auto"/>
        <w:jc w:val="both"/>
        <w:rPr>
          <w:rFonts w:cs="Arial"/>
          <w:bCs/>
          <w:sz w:val="22"/>
          <w:lang w:eastAsia="fr-FR"/>
        </w:rPr>
      </w:pPr>
      <w:r>
        <w:rPr>
          <w:rFonts w:cs="Arial"/>
          <w:sz w:val="22"/>
          <w:lang w:eastAsia="fr-FR"/>
        </w:rPr>
        <w:t>Attendu qu’en date du 17 décembre 2010 a été créé un fonds de dotation dénommé</w:t>
      </w:r>
      <w:r w:rsidR="0076395C">
        <w:rPr>
          <w:rFonts w:cs="Arial"/>
          <w:sz w:val="22"/>
          <w:lang w:eastAsia="fr-FR"/>
        </w:rPr>
        <w:br/>
      </w:r>
      <w:r>
        <w:rPr>
          <w:rFonts w:cs="Arial"/>
          <w:sz w:val="22"/>
          <w:lang w:eastAsia="fr-FR"/>
        </w:rPr>
        <w:t xml:space="preserve">« Saint-Cyr Grande </w:t>
      </w:r>
      <w:proofErr w:type="spellStart"/>
      <w:r>
        <w:rPr>
          <w:rFonts w:cs="Arial"/>
          <w:sz w:val="22"/>
          <w:lang w:eastAsia="fr-FR"/>
        </w:rPr>
        <w:t>Ecole</w:t>
      </w:r>
      <w:proofErr w:type="spellEnd"/>
      <w:r>
        <w:rPr>
          <w:rFonts w:cs="Arial"/>
          <w:sz w:val="22"/>
          <w:lang w:eastAsia="fr-FR"/>
        </w:rPr>
        <w:t> » avec pour objectif, aux termes de</w:t>
      </w:r>
      <w:r w:rsidR="009C6E76">
        <w:rPr>
          <w:rFonts w:cs="Arial"/>
          <w:sz w:val="22"/>
          <w:lang w:eastAsia="fr-FR"/>
        </w:rPr>
        <w:t xml:space="preserve"> l’article 1</w:t>
      </w:r>
      <w:r w:rsidR="009C6E76" w:rsidRPr="00861072">
        <w:rPr>
          <w:rFonts w:cs="Arial"/>
          <w:sz w:val="22"/>
          <w:vertAlign w:val="superscript"/>
          <w:lang w:eastAsia="fr-FR"/>
        </w:rPr>
        <w:t>er</w:t>
      </w:r>
      <w:r w:rsidR="009C6E76">
        <w:rPr>
          <w:rFonts w:cs="Arial"/>
          <w:sz w:val="22"/>
          <w:lang w:eastAsia="fr-FR"/>
        </w:rPr>
        <w:t xml:space="preserve"> de ses statuts, </w:t>
      </w:r>
      <w:r>
        <w:rPr>
          <w:rFonts w:cs="Arial"/>
          <w:sz w:val="22"/>
          <w:lang w:eastAsia="fr-FR"/>
        </w:rPr>
        <w:t xml:space="preserve">de </w:t>
      </w:r>
      <w:r w:rsidR="009C6E76">
        <w:rPr>
          <w:rFonts w:cs="Arial"/>
          <w:sz w:val="22"/>
          <w:lang w:eastAsia="fr-FR"/>
        </w:rPr>
        <w:t>contribue</w:t>
      </w:r>
      <w:r>
        <w:rPr>
          <w:rFonts w:cs="Arial"/>
          <w:sz w:val="22"/>
          <w:lang w:eastAsia="fr-FR"/>
        </w:rPr>
        <w:t>r</w:t>
      </w:r>
      <w:r w:rsidR="009C6E76">
        <w:rPr>
          <w:rFonts w:cs="Arial"/>
          <w:sz w:val="22"/>
          <w:lang w:eastAsia="fr-FR"/>
        </w:rPr>
        <w:t xml:space="preserve"> </w:t>
      </w:r>
      <w:r w:rsidR="009C6E76" w:rsidRPr="00861072">
        <w:rPr>
          <w:rFonts w:cs="Arial"/>
          <w:bCs/>
          <w:sz w:val="22"/>
          <w:lang w:eastAsia="fr-FR"/>
        </w:rPr>
        <w:t>à l’excellence de la formation dispensée par les écoles de Saint-Cyr-</w:t>
      </w:r>
      <w:proofErr w:type="spellStart"/>
      <w:r w:rsidR="009C6E76" w:rsidRPr="00861072">
        <w:rPr>
          <w:rFonts w:cs="Arial"/>
          <w:bCs/>
          <w:sz w:val="22"/>
          <w:lang w:eastAsia="fr-FR"/>
        </w:rPr>
        <w:t>Coëtquidan</w:t>
      </w:r>
      <w:proofErr w:type="spellEnd"/>
      <w:r w:rsidR="009C6E76" w:rsidRPr="00861072">
        <w:rPr>
          <w:rFonts w:cs="Arial"/>
          <w:bCs/>
          <w:sz w:val="22"/>
          <w:lang w:eastAsia="fr-FR"/>
        </w:rPr>
        <w:t xml:space="preserve"> au travers d’échanges avec les acteurs de la vie civile, les grandes entreprises, les universités et grandes écoles, </w:t>
      </w:r>
      <w:r w:rsidR="009C6E76">
        <w:rPr>
          <w:rFonts w:cs="Arial"/>
          <w:bCs/>
          <w:sz w:val="22"/>
          <w:lang w:eastAsia="fr-FR"/>
        </w:rPr>
        <w:t>favorise</w:t>
      </w:r>
      <w:r w:rsidR="00B01650">
        <w:rPr>
          <w:rFonts w:cs="Arial"/>
          <w:bCs/>
          <w:sz w:val="22"/>
          <w:lang w:eastAsia="fr-FR"/>
        </w:rPr>
        <w:t>r</w:t>
      </w:r>
      <w:r w:rsidR="009C6E76" w:rsidRPr="00861072">
        <w:rPr>
          <w:rFonts w:cs="Arial"/>
          <w:bCs/>
          <w:sz w:val="22"/>
          <w:lang w:eastAsia="fr-FR"/>
        </w:rPr>
        <w:t xml:space="preserve"> le rayonnement de l’esprit de défense, de la culture et du savoir-faire militaire de l’armée de terre et de ses officiers dans la société française par des actions de communication, de formation des décideurs français, publics et privés, ainsi que par d’au</w:t>
      </w:r>
      <w:r w:rsidR="009C6E76">
        <w:rPr>
          <w:rFonts w:cs="Arial"/>
          <w:bCs/>
          <w:sz w:val="22"/>
          <w:lang w:eastAsia="fr-FR"/>
        </w:rPr>
        <w:t xml:space="preserve">tres activités de toute nature et </w:t>
      </w:r>
      <w:r w:rsidR="00B01650">
        <w:rPr>
          <w:rFonts w:cs="Arial"/>
          <w:bCs/>
          <w:sz w:val="22"/>
          <w:lang w:eastAsia="fr-FR"/>
        </w:rPr>
        <w:t>soutenir</w:t>
      </w:r>
      <w:r w:rsidR="009C6E76" w:rsidRPr="00861072">
        <w:rPr>
          <w:rFonts w:cs="Arial"/>
          <w:bCs/>
          <w:sz w:val="22"/>
          <w:lang w:eastAsia="fr-FR"/>
        </w:rPr>
        <w:t xml:space="preserve"> la recherche de défense et de sécurité e</w:t>
      </w:r>
      <w:r w:rsidR="00B01650">
        <w:rPr>
          <w:rFonts w:cs="Arial"/>
          <w:bCs/>
          <w:sz w:val="22"/>
          <w:lang w:eastAsia="fr-FR"/>
        </w:rPr>
        <w:t>n France ;</w:t>
      </w:r>
    </w:p>
    <w:p w:rsidR="009C6E76" w:rsidRDefault="009C6E76" w:rsidP="000D3C39">
      <w:pPr>
        <w:tabs>
          <w:tab w:val="center" w:pos="4536"/>
          <w:tab w:val="right" w:pos="9072"/>
        </w:tabs>
        <w:spacing w:line="240" w:lineRule="auto"/>
        <w:jc w:val="both"/>
        <w:rPr>
          <w:rFonts w:cs="Arial"/>
          <w:sz w:val="22"/>
          <w:lang w:eastAsia="fr-FR"/>
        </w:rPr>
      </w:pPr>
    </w:p>
    <w:p w:rsidR="00B01650" w:rsidRDefault="00B01650" w:rsidP="000D3C39">
      <w:pPr>
        <w:tabs>
          <w:tab w:val="center" w:pos="4536"/>
          <w:tab w:val="right" w:pos="9072"/>
        </w:tabs>
        <w:spacing w:line="240" w:lineRule="auto"/>
        <w:jc w:val="both"/>
        <w:rPr>
          <w:rFonts w:cs="Arial"/>
          <w:sz w:val="22"/>
          <w:lang w:eastAsia="fr-FR"/>
        </w:rPr>
      </w:pPr>
      <w:r>
        <w:rPr>
          <w:rFonts w:cs="Arial"/>
          <w:sz w:val="22"/>
          <w:lang w:eastAsia="fr-FR"/>
        </w:rPr>
        <w:t xml:space="preserve">Attendu que ce fonds de dotation a été créé à l’initiative exclusive de ses trois fondateurs statutaires : le général </w:t>
      </w:r>
      <w:r w:rsidR="004E7804">
        <w:rPr>
          <w:rFonts w:cs="Arial"/>
          <w:sz w:val="22"/>
          <w:lang w:eastAsia="fr-FR"/>
        </w:rPr>
        <w:t>Z</w:t>
      </w:r>
      <w:r>
        <w:rPr>
          <w:rFonts w:cs="Arial"/>
          <w:sz w:val="22"/>
          <w:lang w:eastAsia="fr-FR"/>
        </w:rPr>
        <w:t>, commandant les écoles de Saint-Cyr-</w:t>
      </w:r>
      <w:proofErr w:type="spellStart"/>
      <w:r>
        <w:rPr>
          <w:rFonts w:cs="Arial"/>
          <w:sz w:val="22"/>
          <w:lang w:eastAsia="fr-FR"/>
        </w:rPr>
        <w:t>Coëtquidan</w:t>
      </w:r>
      <w:proofErr w:type="spellEnd"/>
      <w:r>
        <w:rPr>
          <w:rFonts w:cs="Arial"/>
          <w:sz w:val="22"/>
          <w:lang w:eastAsia="fr-FR"/>
        </w:rPr>
        <w:t xml:space="preserve">, le général </w:t>
      </w:r>
      <w:r w:rsidR="004E7804">
        <w:rPr>
          <w:rFonts w:cs="Arial"/>
          <w:sz w:val="22"/>
          <w:lang w:eastAsia="fr-FR"/>
        </w:rPr>
        <w:t>A</w:t>
      </w:r>
      <w:r>
        <w:rPr>
          <w:rFonts w:cs="Arial"/>
          <w:sz w:val="22"/>
          <w:lang w:eastAsia="fr-FR"/>
        </w:rPr>
        <w:t xml:space="preserve">, commandant en second desdites écoles, et </w:t>
      </w:r>
      <w:r w:rsidR="004E7804">
        <w:rPr>
          <w:rFonts w:cs="Arial"/>
          <w:sz w:val="22"/>
          <w:lang w:eastAsia="fr-FR"/>
        </w:rPr>
        <w:t>M. B</w:t>
      </w:r>
      <w:r>
        <w:rPr>
          <w:rFonts w:cs="Arial"/>
          <w:sz w:val="22"/>
          <w:lang w:eastAsia="fr-FR"/>
        </w:rPr>
        <w:t>, directeur général de l’enseignement et de la recherche desdites écoles ; que les intéressés ont respectivement occupé dans le premier conseil d’administration du fonds de dotation, constitué d</w:t>
      </w:r>
      <w:r w:rsidR="000863DF">
        <w:rPr>
          <w:rFonts w:cs="Arial"/>
          <w:sz w:val="22"/>
          <w:lang w:eastAsia="fr-FR"/>
        </w:rPr>
        <w:t xml:space="preserve">e </w:t>
      </w:r>
      <w:r w:rsidR="007C6876">
        <w:rPr>
          <w:rFonts w:cs="Arial"/>
          <w:sz w:val="22"/>
          <w:lang w:eastAsia="fr-FR"/>
        </w:rPr>
        <w:t>huit</w:t>
      </w:r>
      <w:r w:rsidR="000863DF">
        <w:rPr>
          <w:rFonts w:cs="Arial"/>
          <w:sz w:val="22"/>
          <w:lang w:eastAsia="fr-FR"/>
        </w:rPr>
        <w:t xml:space="preserve"> mem</w:t>
      </w:r>
      <w:r>
        <w:rPr>
          <w:rFonts w:cs="Arial"/>
          <w:sz w:val="22"/>
          <w:lang w:eastAsia="fr-FR"/>
        </w:rPr>
        <w:t>bres, les fonctions de président, vice-président et administrateur</w:t>
      </w:r>
      <w:r w:rsidR="009742E6">
        <w:rPr>
          <w:rFonts w:cs="Arial"/>
          <w:sz w:val="22"/>
          <w:lang w:eastAsia="fr-FR"/>
        </w:rPr>
        <w:t xml:space="preserve"> ; </w:t>
      </w:r>
      <w:r w:rsidR="009742E6" w:rsidRPr="007C6876">
        <w:rPr>
          <w:rFonts w:cs="Arial"/>
          <w:sz w:val="22"/>
          <w:lang w:eastAsia="fr-FR"/>
        </w:rPr>
        <w:t xml:space="preserve">les </w:t>
      </w:r>
      <w:r w:rsidR="007C6876" w:rsidRPr="007C6876">
        <w:rPr>
          <w:rFonts w:cs="Arial"/>
          <w:sz w:val="22"/>
          <w:lang w:eastAsia="fr-FR"/>
        </w:rPr>
        <w:t>cinq</w:t>
      </w:r>
      <w:r w:rsidR="009742E6" w:rsidRPr="007C6876">
        <w:rPr>
          <w:rFonts w:cs="Arial"/>
          <w:sz w:val="22"/>
          <w:lang w:eastAsia="fr-FR"/>
        </w:rPr>
        <w:t xml:space="preserve"> derniers </w:t>
      </w:r>
      <w:r w:rsidR="009742E6" w:rsidRPr="007C1589">
        <w:rPr>
          <w:rFonts w:cs="Arial"/>
          <w:sz w:val="22"/>
          <w:lang w:eastAsia="fr-FR"/>
        </w:rPr>
        <w:t>administrateurs</w:t>
      </w:r>
      <w:r w:rsidR="009742E6" w:rsidRPr="007C6876">
        <w:rPr>
          <w:rFonts w:cs="Arial"/>
          <w:sz w:val="22"/>
          <w:lang w:eastAsia="fr-FR"/>
        </w:rPr>
        <w:t xml:space="preserve"> étant</w:t>
      </w:r>
      <w:r w:rsidR="00A64609">
        <w:rPr>
          <w:rFonts w:cs="Arial"/>
          <w:sz w:val="22"/>
          <w:lang w:eastAsia="fr-FR"/>
        </w:rPr>
        <w:t xml:space="preserve"> militaires pour quatre d’entre eux, le dernier étant</w:t>
      </w:r>
      <w:r w:rsidR="007C6876" w:rsidRPr="007C6876">
        <w:rPr>
          <w:rFonts w:cs="Arial"/>
          <w:sz w:val="22"/>
          <w:lang w:eastAsia="fr-FR"/>
        </w:rPr>
        <w:t xml:space="preserve"> civil mais directeur du centre de recherche des écoles</w:t>
      </w:r>
      <w:r w:rsidR="009742E6">
        <w:rPr>
          <w:rFonts w:cs="Arial"/>
          <w:sz w:val="22"/>
          <w:lang w:eastAsia="fr-FR"/>
        </w:rPr>
        <w:t> ;</w:t>
      </w:r>
      <w:r w:rsidR="00F24985">
        <w:rPr>
          <w:rFonts w:cs="Arial"/>
          <w:sz w:val="22"/>
          <w:lang w:eastAsia="fr-FR"/>
        </w:rPr>
        <w:t xml:space="preserve"> que</w:t>
      </w:r>
      <w:r w:rsidR="00301F44">
        <w:rPr>
          <w:rFonts w:cs="Arial"/>
          <w:sz w:val="22"/>
          <w:lang w:eastAsia="fr-FR"/>
        </w:rPr>
        <w:t>,</w:t>
      </w:r>
      <w:r w:rsidR="00F24985">
        <w:rPr>
          <w:rFonts w:cs="Arial"/>
          <w:sz w:val="22"/>
          <w:lang w:eastAsia="fr-FR"/>
        </w:rPr>
        <w:t xml:space="preserve"> si le conseil d’administration a ensuite été élargi à dix membres, l’institution militaire y était toutefois majoritairement représentée avec sept administrateurs exerçant des fonctions milita</w:t>
      </w:r>
      <w:r w:rsidR="007C1589">
        <w:rPr>
          <w:rFonts w:cs="Arial"/>
          <w:sz w:val="22"/>
          <w:lang w:eastAsia="fr-FR"/>
        </w:rPr>
        <w:t>ires</w:t>
      </w:r>
      <w:r w:rsidR="007C6876">
        <w:rPr>
          <w:rFonts w:cs="Arial"/>
          <w:sz w:val="22"/>
          <w:lang w:eastAsia="fr-FR"/>
        </w:rPr>
        <w:t xml:space="preserve">, par ailleurs deux civils </w:t>
      </w:r>
      <w:r w:rsidR="00267CB7">
        <w:rPr>
          <w:rFonts w:cs="Arial"/>
          <w:sz w:val="22"/>
          <w:lang w:eastAsia="fr-FR"/>
        </w:rPr>
        <w:t xml:space="preserve">sur trois </w:t>
      </w:r>
      <w:r w:rsidR="007C6876">
        <w:rPr>
          <w:rFonts w:cs="Arial"/>
          <w:sz w:val="22"/>
          <w:lang w:eastAsia="fr-FR"/>
        </w:rPr>
        <w:t>occupaient des pos</w:t>
      </w:r>
      <w:r w:rsidR="00267CB7">
        <w:rPr>
          <w:rFonts w:cs="Arial"/>
          <w:sz w:val="22"/>
          <w:lang w:eastAsia="fr-FR"/>
        </w:rPr>
        <w:t>tes au sein des écoles</w:t>
      </w:r>
      <w:r w:rsidR="00F24985">
        <w:rPr>
          <w:rFonts w:cs="Arial"/>
          <w:sz w:val="22"/>
          <w:lang w:eastAsia="fr-FR"/>
        </w:rPr>
        <w:t xml:space="preserve"> ; </w:t>
      </w:r>
    </w:p>
    <w:p w:rsidR="00B01650" w:rsidRDefault="00B01650" w:rsidP="000D3C39">
      <w:pPr>
        <w:tabs>
          <w:tab w:val="center" w:pos="4536"/>
          <w:tab w:val="right" w:pos="9072"/>
        </w:tabs>
        <w:spacing w:line="240" w:lineRule="auto"/>
        <w:jc w:val="both"/>
        <w:rPr>
          <w:rFonts w:cs="Arial"/>
          <w:sz w:val="22"/>
          <w:lang w:eastAsia="fr-FR"/>
        </w:rPr>
      </w:pPr>
    </w:p>
    <w:p w:rsidR="009742E6" w:rsidRDefault="009742E6" w:rsidP="000D3C39">
      <w:pPr>
        <w:tabs>
          <w:tab w:val="center" w:pos="4536"/>
          <w:tab w:val="right" w:pos="9072"/>
        </w:tabs>
        <w:spacing w:line="240" w:lineRule="auto"/>
        <w:jc w:val="both"/>
        <w:rPr>
          <w:rFonts w:cs="Arial"/>
          <w:sz w:val="22"/>
          <w:lang w:eastAsia="fr-FR"/>
        </w:rPr>
      </w:pPr>
      <w:r>
        <w:rPr>
          <w:rFonts w:cs="Arial"/>
          <w:sz w:val="22"/>
          <w:lang w:eastAsia="fr-FR"/>
        </w:rPr>
        <w:t xml:space="preserve">Attendu que le fonds de dotation </w:t>
      </w:r>
      <w:r w:rsidR="00992918">
        <w:rPr>
          <w:rFonts w:cs="Arial"/>
          <w:sz w:val="22"/>
          <w:lang w:eastAsia="fr-FR"/>
        </w:rPr>
        <w:t>a</w:t>
      </w:r>
      <w:r>
        <w:rPr>
          <w:rFonts w:cs="Arial"/>
          <w:sz w:val="22"/>
          <w:lang w:eastAsia="fr-FR"/>
        </w:rPr>
        <w:t xml:space="preserve"> été constitué sans dotation initiale</w:t>
      </w:r>
      <w:r w:rsidR="00992918">
        <w:rPr>
          <w:rFonts w:cs="Arial"/>
          <w:sz w:val="22"/>
          <w:lang w:eastAsia="fr-FR"/>
        </w:rPr>
        <w:t xml:space="preserve"> mais avec l’ambition de réaliser son objet statutaire à partir de ses seules ressources accessoires dont il a été originellement conçu qu’elles proviendraient de la commercialisation de formation, de </w:t>
      </w:r>
      <w:r w:rsidR="00992918" w:rsidRPr="00861072">
        <w:rPr>
          <w:rFonts w:cs="Arial"/>
          <w:sz w:val="22"/>
          <w:lang w:eastAsia="fr-FR"/>
        </w:rPr>
        <w:t>colloques ou de publications destinées aux grandes entreprises, aux écoles civile</w:t>
      </w:r>
      <w:r w:rsidR="00992918">
        <w:rPr>
          <w:rFonts w:cs="Arial"/>
          <w:sz w:val="22"/>
          <w:lang w:eastAsia="fr-FR"/>
        </w:rPr>
        <w:t>s et aux institutions publiques ; que ces ressources « accessoires » ont</w:t>
      </w:r>
      <w:r w:rsidR="00F24985">
        <w:rPr>
          <w:rFonts w:cs="Arial"/>
          <w:sz w:val="22"/>
          <w:lang w:eastAsia="fr-FR"/>
        </w:rPr>
        <w:t>,</w:t>
      </w:r>
      <w:r w:rsidR="00992918">
        <w:rPr>
          <w:rFonts w:cs="Arial"/>
          <w:sz w:val="22"/>
          <w:lang w:eastAsia="fr-FR"/>
        </w:rPr>
        <w:t xml:space="preserve"> en réalité</w:t>
      </w:r>
      <w:r w:rsidR="00F24985">
        <w:rPr>
          <w:rFonts w:cs="Arial"/>
          <w:sz w:val="22"/>
          <w:lang w:eastAsia="fr-FR"/>
        </w:rPr>
        <w:t>,</w:t>
      </w:r>
      <w:r w:rsidR="00992918">
        <w:rPr>
          <w:rFonts w:cs="Arial"/>
          <w:sz w:val="22"/>
          <w:lang w:eastAsia="fr-FR"/>
        </w:rPr>
        <w:t xml:space="preserve"> constitué la quasi intégralité des ressources du fonds de dotation ;</w:t>
      </w:r>
    </w:p>
    <w:p w:rsidR="00992918" w:rsidRDefault="00992918" w:rsidP="000D3C39">
      <w:pPr>
        <w:tabs>
          <w:tab w:val="center" w:pos="4536"/>
          <w:tab w:val="right" w:pos="9072"/>
        </w:tabs>
        <w:spacing w:line="240" w:lineRule="auto"/>
        <w:jc w:val="both"/>
        <w:rPr>
          <w:rFonts w:cs="Arial"/>
          <w:sz w:val="22"/>
          <w:lang w:eastAsia="fr-FR"/>
        </w:rPr>
      </w:pPr>
    </w:p>
    <w:p w:rsidR="00992918" w:rsidRDefault="00992918" w:rsidP="000D3C39">
      <w:pPr>
        <w:tabs>
          <w:tab w:val="center" w:pos="4536"/>
          <w:tab w:val="right" w:pos="9072"/>
        </w:tabs>
        <w:spacing w:line="240" w:lineRule="auto"/>
        <w:jc w:val="both"/>
        <w:rPr>
          <w:rFonts w:cs="Arial"/>
          <w:sz w:val="22"/>
          <w:lang w:eastAsia="fr-FR"/>
        </w:rPr>
      </w:pPr>
      <w:r>
        <w:rPr>
          <w:rFonts w:cs="Arial"/>
          <w:sz w:val="22"/>
          <w:lang w:eastAsia="fr-FR"/>
        </w:rPr>
        <w:t xml:space="preserve">Attendu que le fonds de dotation Saint-Cyr Grande </w:t>
      </w:r>
      <w:proofErr w:type="spellStart"/>
      <w:r>
        <w:rPr>
          <w:rFonts w:cs="Arial"/>
          <w:sz w:val="22"/>
          <w:lang w:eastAsia="fr-FR"/>
        </w:rPr>
        <w:t>Ecole</w:t>
      </w:r>
      <w:proofErr w:type="spellEnd"/>
      <w:r>
        <w:rPr>
          <w:rFonts w:cs="Arial"/>
          <w:sz w:val="22"/>
          <w:lang w:eastAsia="fr-FR"/>
        </w:rPr>
        <w:t xml:space="preserve">, dont le siège social </w:t>
      </w:r>
      <w:r w:rsidR="008F6DE3">
        <w:rPr>
          <w:rFonts w:cs="Arial"/>
          <w:sz w:val="22"/>
          <w:lang w:eastAsia="fr-FR"/>
        </w:rPr>
        <w:t xml:space="preserve">est situé dans le périmètre militaire du camp de </w:t>
      </w:r>
      <w:proofErr w:type="spellStart"/>
      <w:r w:rsidR="004F38ED">
        <w:rPr>
          <w:rFonts w:cs="Arial"/>
          <w:sz w:val="22"/>
          <w:lang w:eastAsia="fr-FR"/>
        </w:rPr>
        <w:t>C</w:t>
      </w:r>
      <w:r w:rsidR="008F6DE3">
        <w:rPr>
          <w:rFonts w:cs="Arial"/>
          <w:sz w:val="22"/>
          <w:lang w:eastAsia="fr-FR"/>
        </w:rPr>
        <w:t>oëtquidan</w:t>
      </w:r>
      <w:proofErr w:type="spellEnd"/>
      <w:r w:rsidR="004F38ED">
        <w:rPr>
          <w:rFonts w:cs="Arial"/>
          <w:sz w:val="22"/>
          <w:lang w:eastAsia="fr-FR"/>
        </w:rPr>
        <w:t>,</w:t>
      </w:r>
      <w:r w:rsidR="00F24B54">
        <w:rPr>
          <w:rFonts w:cs="Arial"/>
          <w:sz w:val="22"/>
          <w:lang w:eastAsia="fr-FR"/>
        </w:rPr>
        <w:t xml:space="preserve"> a bénéficié de diverses manière</w:t>
      </w:r>
      <w:r w:rsidR="001A1443">
        <w:rPr>
          <w:rFonts w:cs="Arial"/>
          <w:sz w:val="22"/>
          <w:lang w:eastAsia="fr-FR"/>
        </w:rPr>
        <w:t>s</w:t>
      </w:r>
      <w:r w:rsidR="00F24B54">
        <w:rPr>
          <w:rFonts w:cs="Arial"/>
          <w:sz w:val="22"/>
          <w:lang w:eastAsia="fr-FR"/>
        </w:rPr>
        <w:t xml:space="preserve"> du parrainage et du prestige des écoles y compris dans la rédaction même des contrats de prestation de formation par la mise en exergue du lien avec les écoles ; que le fonds de dotation</w:t>
      </w:r>
      <w:r w:rsidR="008F6DE3">
        <w:rPr>
          <w:rFonts w:cs="Arial"/>
          <w:sz w:val="22"/>
          <w:lang w:eastAsia="fr-FR"/>
        </w:rPr>
        <w:t xml:space="preserve"> </w:t>
      </w:r>
      <w:r w:rsidR="004F38ED">
        <w:rPr>
          <w:rFonts w:cs="Arial"/>
          <w:sz w:val="22"/>
          <w:lang w:eastAsia="fr-FR"/>
        </w:rPr>
        <w:t xml:space="preserve">n’aurait </w:t>
      </w:r>
      <w:r w:rsidR="00F24B54">
        <w:rPr>
          <w:rFonts w:cs="Arial"/>
          <w:sz w:val="22"/>
          <w:lang w:eastAsia="fr-FR"/>
        </w:rPr>
        <w:t>de surcroît</w:t>
      </w:r>
      <w:r w:rsidR="004F38ED">
        <w:rPr>
          <w:rFonts w:cs="Arial"/>
          <w:sz w:val="22"/>
          <w:lang w:eastAsia="fr-FR"/>
        </w:rPr>
        <w:t xml:space="preserve"> pas pu prospérer sans la mise à disposition gratuite des moyens </w:t>
      </w:r>
      <w:r w:rsidR="004F38ED">
        <w:rPr>
          <w:rFonts w:cs="Arial"/>
          <w:sz w:val="22"/>
          <w:lang w:eastAsia="fr-FR"/>
        </w:rPr>
        <w:lastRenderedPageBreak/>
        <w:t xml:space="preserve">des écoles sous le contrôle des généraux </w:t>
      </w:r>
      <w:r w:rsidR="004E7804">
        <w:rPr>
          <w:rFonts w:cs="Arial"/>
          <w:sz w:val="22"/>
          <w:lang w:eastAsia="fr-FR"/>
        </w:rPr>
        <w:t>Z</w:t>
      </w:r>
      <w:r w:rsidR="004F38ED">
        <w:rPr>
          <w:rFonts w:cs="Arial"/>
          <w:sz w:val="22"/>
          <w:lang w:eastAsia="fr-FR"/>
        </w:rPr>
        <w:t xml:space="preserve"> et </w:t>
      </w:r>
      <w:r w:rsidR="004E7804">
        <w:rPr>
          <w:rFonts w:cs="Arial"/>
          <w:sz w:val="22"/>
          <w:lang w:eastAsia="fr-FR"/>
        </w:rPr>
        <w:t>A</w:t>
      </w:r>
      <w:r w:rsidR="004F38ED">
        <w:rPr>
          <w:rFonts w:cs="Arial"/>
          <w:sz w:val="22"/>
          <w:lang w:eastAsia="fr-FR"/>
        </w:rPr>
        <w:t xml:space="preserve"> en leurs qualités de commandant et commandant en second des écoles ; que faute d’avoir eu compétence pour signer une convention officielle avec le fonds de dotation et ainsi lui donner un titre légal pour bénéficier de moyens publics, les deux officiers généraux susnommés ont signé entre eux </w:t>
      </w:r>
      <w:r w:rsidR="00A322A7">
        <w:rPr>
          <w:rFonts w:cs="Arial"/>
          <w:sz w:val="22"/>
          <w:lang w:eastAsia="fr-FR"/>
        </w:rPr>
        <w:t xml:space="preserve">le 21 juillet 2011 </w:t>
      </w:r>
      <w:r w:rsidR="004F38ED">
        <w:rPr>
          <w:rFonts w:cs="Arial"/>
          <w:sz w:val="22"/>
          <w:lang w:eastAsia="fr-FR"/>
        </w:rPr>
        <w:t xml:space="preserve">une convention, le premier en qualité de président du fonds de dotation Saint-Cyr Grande </w:t>
      </w:r>
      <w:proofErr w:type="spellStart"/>
      <w:r w:rsidR="004F38ED">
        <w:rPr>
          <w:rFonts w:cs="Arial"/>
          <w:sz w:val="22"/>
          <w:lang w:eastAsia="fr-FR"/>
        </w:rPr>
        <w:t>Ecole</w:t>
      </w:r>
      <w:proofErr w:type="spellEnd"/>
      <w:r w:rsidR="004F38ED">
        <w:rPr>
          <w:rFonts w:cs="Arial"/>
          <w:sz w:val="22"/>
          <w:lang w:eastAsia="fr-FR"/>
        </w:rPr>
        <w:t xml:space="preserve"> et le second en qualité de président de l’association sportive et artistique des écoles de </w:t>
      </w:r>
      <w:proofErr w:type="spellStart"/>
      <w:r w:rsidR="004F38ED">
        <w:rPr>
          <w:rFonts w:cs="Arial"/>
          <w:sz w:val="22"/>
          <w:lang w:eastAsia="fr-FR"/>
        </w:rPr>
        <w:t>Coëtquidan</w:t>
      </w:r>
      <w:proofErr w:type="spellEnd"/>
      <w:r w:rsidR="004F38ED">
        <w:rPr>
          <w:rFonts w:cs="Arial"/>
          <w:sz w:val="22"/>
          <w:lang w:eastAsia="fr-FR"/>
        </w:rPr>
        <w:t xml:space="preserve"> (ASAEC), permettant </w:t>
      </w:r>
      <w:r w:rsidR="0098678F">
        <w:rPr>
          <w:rFonts w:cs="Arial"/>
          <w:sz w:val="22"/>
          <w:lang w:eastAsia="fr-FR"/>
        </w:rPr>
        <w:t>– </w:t>
      </w:r>
      <w:r w:rsidR="004C1FD9">
        <w:rPr>
          <w:rFonts w:cs="Arial"/>
          <w:sz w:val="22"/>
          <w:lang w:eastAsia="fr-FR"/>
        </w:rPr>
        <w:t>au profit du fonds de dotation</w:t>
      </w:r>
      <w:r w:rsidR="0098678F">
        <w:rPr>
          <w:rFonts w:cs="Arial"/>
          <w:sz w:val="22"/>
          <w:lang w:eastAsia="fr-FR"/>
        </w:rPr>
        <w:t> –</w:t>
      </w:r>
      <w:r w:rsidR="004C1FD9">
        <w:rPr>
          <w:rFonts w:cs="Arial"/>
          <w:sz w:val="22"/>
          <w:lang w:eastAsia="fr-FR"/>
        </w:rPr>
        <w:t xml:space="preserve"> </w:t>
      </w:r>
      <w:r w:rsidR="004F38ED">
        <w:rPr>
          <w:rFonts w:cs="Arial"/>
          <w:sz w:val="22"/>
          <w:lang w:eastAsia="fr-FR"/>
        </w:rPr>
        <w:t>la mise à disposition par l’</w:t>
      </w:r>
      <w:r w:rsidR="004C1FD9">
        <w:rPr>
          <w:rFonts w:cs="Arial"/>
          <w:sz w:val="22"/>
          <w:lang w:eastAsia="fr-FR"/>
        </w:rPr>
        <w:t>association de personnels militaires dont elle-même bénéficiait ; que pour le surplus les moyens matériels et les infrastructures ont été directement mis à disposition sous la responsabilité du commandant des écoles et de son second ;</w:t>
      </w:r>
      <w:r w:rsidR="007615B4">
        <w:rPr>
          <w:rFonts w:cs="Arial"/>
          <w:sz w:val="22"/>
          <w:lang w:eastAsia="fr-FR"/>
        </w:rPr>
        <w:t xml:space="preserve"> que, de ce simple fait, eu égard à la personnalité et aux multiples fonctions des signataires et sans préjuger du respect des règles statutaires par l’ASAEC, le fonds ne saurait utilement soutenir ne pas avoir </w:t>
      </w:r>
      <w:r w:rsidR="007C1589">
        <w:rPr>
          <w:rFonts w:cs="Arial"/>
          <w:sz w:val="22"/>
          <w:lang w:eastAsia="fr-FR"/>
        </w:rPr>
        <w:t xml:space="preserve">eu </w:t>
      </w:r>
      <w:r w:rsidR="007615B4">
        <w:rPr>
          <w:rFonts w:cs="Arial"/>
          <w:sz w:val="22"/>
          <w:lang w:eastAsia="fr-FR"/>
        </w:rPr>
        <w:t>connaissance des motifs et de la portée juridique de cette convention ;</w:t>
      </w:r>
    </w:p>
    <w:p w:rsidR="00B01650" w:rsidRDefault="00B01650" w:rsidP="000D3C39">
      <w:pPr>
        <w:tabs>
          <w:tab w:val="center" w:pos="4536"/>
          <w:tab w:val="right" w:pos="9072"/>
        </w:tabs>
        <w:spacing w:line="240" w:lineRule="auto"/>
        <w:jc w:val="both"/>
        <w:rPr>
          <w:rFonts w:cs="Arial"/>
          <w:sz w:val="22"/>
          <w:lang w:eastAsia="fr-FR"/>
        </w:rPr>
      </w:pPr>
    </w:p>
    <w:p w:rsidR="009C46C6" w:rsidRDefault="009C46C6" w:rsidP="000D3C39">
      <w:pPr>
        <w:tabs>
          <w:tab w:val="center" w:pos="4536"/>
          <w:tab w:val="right" w:pos="9072"/>
        </w:tabs>
        <w:spacing w:line="240" w:lineRule="auto"/>
        <w:jc w:val="both"/>
        <w:rPr>
          <w:rFonts w:cs="Arial"/>
          <w:sz w:val="22"/>
          <w:lang w:eastAsia="fr-FR"/>
        </w:rPr>
      </w:pPr>
      <w:r>
        <w:rPr>
          <w:rFonts w:cs="Arial"/>
          <w:sz w:val="22"/>
          <w:lang w:eastAsia="fr-FR"/>
        </w:rPr>
        <w:t xml:space="preserve">Attendu qu’en contrepartie les écoles ont bénéficié </w:t>
      </w:r>
      <w:r w:rsidR="002A4C21">
        <w:rPr>
          <w:rFonts w:cs="Arial"/>
          <w:sz w:val="22"/>
          <w:lang w:eastAsia="fr-FR"/>
        </w:rPr>
        <w:t>de nombreuses dépenses faites à leur profit par le fonds de dotation sans pour autant que l’ensemble de ces dépenses puisse réellement se rattacher à l’objet statutaire dudit fonds ;</w:t>
      </w:r>
    </w:p>
    <w:p w:rsidR="002A4C21" w:rsidRDefault="002A4C21" w:rsidP="000D3C39">
      <w:pPr>
        <w:tabs>
          <w:tab w:val="center" w:pos="4536"/>
          <w:tab w:val="right" w:pos="9072"/>
        </w:tabs>
        <w:spacing w:line="240" w:lineRule="auto"/>
        <w:jc w:val="both"/>
        <w:rPr>
          <w:rFonts w:cs="Arial"/>
          <w:sz w:val="22"/>
          <w:lang w:eastAsia="fr-FR"/>
        </w:rPr>
      </w:pPr>
    </w:p>
    <w:p w:rsidR="00A322A7" w:rsidRDefault="00E06D7B" w:rsidP="000D3C39">
      <w:pPr>
        <w:tabs>
          <w:tab w:val="center" w:pos="4536"/>
          <w:tab w:val="right" w:pos="9072"/>
        </w:tabs>
        <w:spacing w:line="240" w:lineRule="auto"/>
        <w:jc w:val="both"/>
        <w:rPr>
          <w:rFonts w:cs="Arial"/>
          <w:sz w:val="22"/>
          <w:lang w:eastAsia="fr-FR"/>
        </w:rPr>
      </w:pPr>
      <w:r>
        <w:rPr>
          <w:rFonts w:cs="Arial"/>
          <w:sz w:val="22"/>
          <w:lang w:eastAsia="fr-FR"/>
        </w:rPr>
        <w:t>Attendu</w:t>
      </w:r>
      <w:r w:rsidR="002A4C21">
        <w:rPr>
          <w:rFonts w:cs="Arial"/>
          <w:sz w:val="22"/>
          <w:lang w:eastAsia="fr-FR"/>
        </w:rPr>
        <w:t>,</w:t>
      </w:r>
      <w:r>
        <w:rPr>
          <w:rFonts w:cs="Arial"/>
          <w:sz w:val="22"/>
          <w:lang w:eastAsia="fr-FR"/>
        </w:rPr>
        <w:t xml:space="preserve"> dans ces conditions</w:t>
      </w:r>
      <w:r w:rsidR="002A4C21">
        <w:rPr>
          <w:rFonts w:cs="Arial"/>
          <w:sz w:val="22"/>
          <w:lang w:eastAsia="fr-FR"/>
        </w:rPr>
        <w:t>,</w:t>
      </w:r>
      <w:r>
        <w:rPr>
          <w:rFonts w:cs="Arial"/>
          <w:sz w:val="22"/>
          <w:lang w:eastAsia="fr-FR"/>
        </w:rPr>
        <w:t xml:space="preserve"> que le fonds de dotation Saint-Cyr Grande </w:t>
      </w:r>
      <w:proofErr w:type="spellStart"/>
      <w:r>
        <w:rPr>
          <w:rFonts w:cs="Arial"/>
          <w:sz w:val="22"/>
          <w:lang w:eastAsia="fr-FR"/>
        </w:rPr>
        <w:t>Ecole</w:t>
      </w:r>
      <w:proofErr w:type="spellEnd"/>
      <w:r>
        <w:rPr>
          <w:rFonts w:cs="Arial"/>
          <w:sz w:val="22"/>
          <w:lang w:eastAsia="fr-FR"/>
        </w:rPr>
        <w:t xml:space="preserve"> n’avait pas, </w:t>
      </w:r>
      <w:r w:rsidR="007615B4">
        <w:rPr>
          <w:rFonts w:cs="Arial"/>
          <w:sz w:val="22"/>
          <w:lang w:eastAsia="fr-FR"/>
        </w:rPr>
        <w:t>pour s’en tenir aux</w:t>
      </w:r>
      <w:r>
        <w:rPr>
          <w:rFonts w:cs="Arial"/>
          <w:sz w:val="22"/>
          <w:lang w:eastAsia="fr-FR"/>
        </w:rPr>
        <w:t xml:space="preserve"> années sous revue, de véritable indépendance par rapport à l’institution militaire ni en termes de gouvernance, ni aux plans matériel et financier, et que sa création aussi bien que son fonctionnement n’ont été rendus possible que par la volonté des généraux </w:t>
      </w:r>
      <w:r w:rsidR="004E7804">
        <w:rPr>
          <w:rFonts w:cs="Arial"/>
          <w:sz w:val="22"/>
          <w:lang w:eastAsia="fr-FR"/>
        </w:rPr>
        <w:t>Z</w:t>
      </w:r>
      <w:r>
        <w:rPr>
          <w:rFonts w:cs="Arial"/>
          <w:sz w:val="22"/>
          <w:lang w:eastAsia="fr-FR"/>
        </w:rPr>
        <w:t xml:space="preserve"> et </w:t>
      </w:r>
      <w:r w:rsidR="004E7804">
        <w:rPr>
          <w:rFonts w:cs="Arial"/>
          <w:sz w:val="22"/>
          <w:lang w:eastAsia="fr-FR"/>
        </w:rPr>
        <w:t>A</w:t>
      </w:r>
      <w:r>
        <w:rPr>
          <w:rFonts w:cs="Arial"/>
          <w:sz w:val="22"/>
          <w:lang w:eastAsia="fr-FR"/>
        </w:rPr>
        <w:t>, en leur qualité de commandants des écoles, quand bien même ils auraient, pour le premier le 29 mars 2012, pour le second dès le 17 octobre 2011, mis fin à leurs fonctions</w:t>
      </w:r>
      <w:r w:rsidR="002A4C21">
        <w:rPr>
          <w:rFonts w:cs="Arial"/>
          <w:sz w:val="22"/>
          <w:lang w:eastAsia="fr-FR"/>
        </w:rPr>
        <w:t xml:space="preserve"> </w:t>
      </w:r>
      <w:r w:rsidR="002A4C21" w:rsidRPr="00B30E2A">
        <w:rPr>
          <w:rFonts w:cs="Arial"/>
          <w:sz w:val="22"/>
          <w:lang w:eastAsia="fr-FR"/>
        </w:rPr>
        <w:t>exécutives</w:t>
      </w:r>
      <w:r>
        <w:rPr>
          <w:rFonts w:cs="Arial"/>
          <w:sz w:val="22"/>
          <w:lang w:eastAsia="fr-FR"/>
        </w:rPr>
        <w:t xml:space="preserve"> au sein du conseil d’administration du fonds de dotation ;</w:t>
      </w:r>
    </w:p>
    <w:p w:rsidR="00A322A7" w:rsidRDefault="00A322A7" w:rsidP="000D3C39">
      <w:pPr>
        <w:tabs>
          <w:tab w:val="center" w:pos="4536"/>
          <w:tab w:val="right" w:pos="9072"/>
        </w:tabs>
        <w:spacing w:line="240" w:lineRule="auto"/>
        <w:jc w:val="both"/>
        <w:rPr>
          <w:rFonts w:cs="Arial"/>
          <w:sz w:val="22"/>
          <w:lang w:eastAsia="fr-FR"/>
        </w:rPr>
      </w:pPr>
    </w:p>
    <w:p w:rsidR="008B5B10" w:rsidRDefault="008B5B10" w:rsidP="008B5B10">
      <w:pPr>
        <w:tabs>
          <w:tab w:val="center" w:pos="4536"/>
          <w:tab w:val="right" w:pos="9072"/>
        </w:tabs>
        <w:spacing w:line="240" w:lineRule="auto"/>
        <w:jc w:val="both"/>
        <w:rPr>
          <w:rFonts w:cs="Arial"/>
          <w:sz w:val="22"/>
          <w:lang w:eastAsia="fr-FR"/>
        </w:rPr>
      </w:pPr>
      <w:r>
        <w:rPr>
          <w:rFonts w:cs="Arial"/>
          <w:sz w:val="22"/>
          <w:lang w:eastAsia="fr-FR"/>
        </w:rPr>
        <w:t xml:space="preserve">Attendu, en conséquence, que la gestion de fait des deniers de </w:t>
      </w:r>
      <w:r w:rsidR="00B30E2A">
        <w:rPr>
          <w:rFonts w:cs="Arial"/>
          <w:sz w:val="22"/>
          <w:lang w:eastAsia="fr-FR"/>
        </w:rPr>
        <w:t>l’</w:t>
      </w:r>
      <w:proofErr w:type="spellStart"/>
      <w:r w:rsidR="00B30E2A">
        <w:rPr>
          <w:rFonts w:cs="Arial"/>
          <w:sz w:val="22"/>
          <w:lang w:eastAsia="fr-FR"/>
        </w:rPr>
        <w:t>Etat</w:t>
      </w:r>
      <w:proofErr w:type="spellEnd"/>
      <w:r>
        <w:rPr>
          <w:rFonts w:cs="Arial"/>
          <w:sz w:val="22"/>
          <w:lang w:eastAsia="fr-FR"/>
        </w:rPr>
        <w:t xml:space="preserve"> (ministère de la défense) est constituée</w:t>
      </w:r>
      <w:r w:rsidR="00B30E2A">
        <w:rPr>
          <w:rFonts w:cs="Arial"/>
          <w:sz w:val="22"/>
          <w:lang w:eastAsia="fr-FR"/>
        </w:rPr>
        <w:t> ;</w:t>
      </w:r>
    </w:p>
    <w:p w:rsidR="008B5B10" w:rsidRDefault="008B5B10" w:rsidP="000D3C39">
      <w:pPr>
        <w:tabs>
          <w:tab w:val="center" w:pos="4536"/>
          <w:tab w:val="right" w:pos="9072"/>
        </w:tabs>
        <w:spacing w:line="240" w:lineRule="auto"/>
        <w:jc w:val="both"/>
        <w:rPr>
          <w:rFonts w:cs="Arial"/>
          <w:sz w:val="22"/>
          <w:lang w:eastAsia="fr-FR"/>
        </w:rPr>
      </w:pPr>
    </w:p>
    <w:p w:rsidR="004E27AA" w:rsidRDefault="004E27AA" w:rsidP="000D3C39">
      <w:pPr>
        <w:tabs>
          <w:tab w:val="center" w:pos="4536"/>
          <w:tab w:val="right" w:pos="9072"/>
        </w:tabs>
        <w:spacing w:line="240" w:lineRule="auto"/>
        <w:jc w:val="both"/>
        <w:rPr>
          <w:rFonts w:cs="Arial"/>
          <w:sz w:val="22"/>
          <w:lang w:eastAsia="fr-FR"/>
        </w:rPr>
      </w:pPr>
    </w:p>
    <w:p w:rsidR="00A322A7" w:rsidRDefault="004E27AA" w:rsidP="000D3C39">
      <w:pPr>
        <w:tabs>
          <w:tab w:val="center" w:pos="4536"/>
          <w:tab w:val="right" w:pos="9072"/>
        </w:tabs>
        <w:spacing w:line="240" w:lineRule="auto"/>
        <w:jc w:val="both"/>
        <w:rPr>
          <w:rFonts w:cs="Arial"/>
          <w:sz w:val="22"/>
          <w:lang w:eastAsia="fr-FR"/>
        </w:rPr>
      </w:pPr>
      <w:r w:rsidRPr="002478DF">
        <w:rPr>
          <w:rFonts w:cs="Arial"/>
          <w:b/>
          <w:i/>
          <w:sz w:val="22"/>
          <w:lang w:eastAsia="fr-FR"/>
        </w:rPr>
        <w:t xml:space="preserve">Sur </w:t>
      </w:r>
      <w:r>
        <w:rPr>
          <w:rFonts w:cs="Arial"/>
          <w:b/>
          <w:i/>
          <w:sz w:val="22"/>
          <w:lang w:eastAsia="fr-FR"/>
        </w:rPr>
        <w:t xml:space="preserve">la période </w:t>
      </w:r>
      <w:r w:rsidR="007C1589">
        <w:rPr>
          <w:rFonts w:cs="Arial"/>
          <w:b/>
          <w:i/>
          <w:sz w:val="22"/>
          <w:lang w:eastAsia="fr-FR"/>
        </w:rPr>
        <w:t xml:space="preserve">de gestion de fait </w:t>
      </w:r>
      <w:r w:rsidR="00C84E5E">
        <w:rPr>
          <w:rFonts w:cs="Arial"/>
          <w:b/>
          <w:i/>
          <w:sz w:val="22"/>
          <w:lang w:eastAsia="fr-FR"/>
        </w:rPr>
        <w:t xml:space="preserve">et les </w:t>
      </w:r>
      <w:r w:rsidR="007C1589">
        <w:rPr>
          <w:rFonts w:cs="Arial"/>
          <w:b/>
          <w:i/>
          <w:sz w:val="22"/>
          <w:lang w:eastAsia="fr-FR"/>
        </w:rPr>
        <w:t>irrégularités commises</w:t>
      </w:r>
    </w:p>
    <w:p w:rsidR="00A322A7" w:rsidRDefault="00A322A7" w:rsidP="000D3C39">
      <w:pPr>
        <w:tabs>
          <w:tab w:val="center" w:pos="4536"/>
          <w:tab w:val="right" w:pos="9072"/>
        </w:tabs>
        <w:spacing w:line="240" w:lineRule="auto"/>
        <w:jc w:val="both"/>
        <w:rPr>
          <w:rFonts w:cs="Arial"/>
          <w:sz w:val="22"/>
          <w:lang w:eastAsia="fr-FR"/>
        </w:rPr>
      </w:pPr>
    </w:p>
    <w:p w:rsidR="00A322A7" w:rsidRDefault="003438B3" w:rsidP="000D3C39">
      <w:pPr>
        <w:tabs>
          <w:tab w:val="center" w:pos="4536"/>
          <w:tab w:val="right" w:pos="9072"/>
        </w:tabs>
        <w:spacing w:line="240" w:lineRule="auto"/>
        <w:jc w:val="both"/>
        <w:rPr>
          <w:rFonts w:cs="Arial"/>
          <w:sz w:val="22"/>
          <w:lang w:eastAsia="fr-FR"/>
        </w:rPr>
      </w:pPr>
      <w:r>
        <w:rPr>
          <w:rFonts w:cs="Arial"/>
          <w:sz w:val="22"/>
          <w:lang w:eastAsia="fr-FR"/>
        </w:rPr>
        <w:t>Attendu que le réquisitoire porte sur les</w:t>
      </w:r>
      <w:r w:rsidR="00542191">
        <w:rPr>
          <w:rFonts w:cs="Arial"/>
          <w:sz w:val="22"/>
          <w:lang w:eastAsia="fr-FR"/>
        </w:rPr>
        <w:t xml:space="preserve"> seules</w:t>
      </w:r>
      <w:r>
        <w:rPr>
          <w:rFonts w:cs="Arial"/>
          <w:sz w:val="22"/>
          <w:lang w:eastAsia="fr-FR"/>
        </w:rPr>
        <w:t xml:space="preserve"> années 2011 et 2012 ; que la créat</w:t>
      </w:r>
      <w:r w:rsidR="009C46C6">
        <w:rPr>
          <w:rFonts w:cs="Arial"/>
          <w:sz w:val="22"/>
          <w:lang w:eastAsia="fr-FR"/>
        </w:rPr>
        <w:t>ion du fonds de dotation Saint-C</w:t>
      </w:r>
      <w:r>
        <w:rPr>
          <w:rFonts w:cs="Arial"/>
          <w:sz w:val="22"/>
          <w:lang w:eastAsia="fr-FR"/>
        </w:rPr>
        <w:t xml:space="preserve">yr Grande </w:t>
      </w:r>
      <w:proofErr w:type="spellStart"/>
      <w:r>
        <w:rPr>
          <w:rFonts w:cs="Arial"/>
          <w:sz w:val="22"/>
          <w:lang w:eastAsia="fr-FR"/>
        </w:rPr>
        <w:t>Eco</w:t>
      </w:r>
      <w:r w:rsidR="009C46C6">
        <w:rPr>
          <w:rFonts w:cs="Arial"/>
          <w:sz w:val="22"/>
          <w:lang w:eastAsia="fr-FR"/>
        </w:rPr>
        <w:t>le</w:t>
      </w:r>
      <w:proofErr w:type="spellEnd"/>
      <w:r w:rsidR="009C46C6">
        <w:rPr>
          <w:rFonts w:cs="Arial"/>
          <w:sz w:val="22"/>
          <w:lang w:eastAsia="fr-FR"/>
        </w:rPr>
        <w:t xml:space="preserve"> est intervenu</w:t>
      </w:r>
      <w:r w:rsidR="0028024D">
        <w:rPr>
          <w:rFonts w:cs="Arial"/>
          <w:sz w:val="22"/>
          <w:lang w:eastAsia="fr-FR"/>
        </w:rPr>
        <w:t>e</w:t>
      </w:r>
      <w:r w:rsidR="009C46C6">
        <w:rPr>
          <w:rFonts w:cs="Arial"/>
          <w:sz w:val="22"/>
          <w:lang w:eastAsia="fr-FR"/>
        </w:rPr>
        <w:t xml:space="preserve"> le 17 décembre</w:t>
      </w:r>
      <w:r w:rsidR="00542191">
        <w:rPr>
          <w:rFonts w:cs="Arial"/>
          <w:sz w:val="22"/>
          <w:lang w:eastAsia="fr-FR"/>
        </w:rPr>
        <w:t xml:space="preserve"> 2010</w:t>
      </w:r>
      <w:r w:rsidR="009C46C6">
        <w:rPr>
          <w:rFonts w:cs="Arial"/>
          <w:sz w:val="22"/>
          <w:lang w:eastAsia="fr-FR"/>
        </w:rPr>
        <w:t>, qu’il n’a commencé à avoir une activité effective qu’à partir de janvier 2011 dans de</w:t>
      </w:r>
      <w:r w:rsidR="00015A5A">
        <w:rPr>
          <w:rFonts w:cs="Arial"/>
          <w:sz w:val="22"/>
          <w:lang w:eastAsia="fr-FR"/>
        </w:rPr>
        <w:t>s</w:t>
      </w:r>
      <w:r w:rsidR="009C46C6">
        <w:rPr>
          <w:rFonts w:cs="Arial"/>
          <w:sz w:val="22"/>
          <w:lang w:eastAsia="fr-FR"/>
        </w:rPr>
        <w:t xml:space="preserve"> conditions qui n’ont pas été sensiblement modifiées jusqu’au 23 janvier 2013 date de signature d’une convention de mise à disposition des moyens matériels et humains des écoles conclue entre le ministère de la défense </w:t>
      </w:r>
      <w:r w:rsidR="002A4C21">
        <w:rPr>
          <w:rFonts w:cs="Arial"/>
          <w:sz w:val="22"/>
          <w:lang w:eastAsia="fr-FR"/>
        </w:rPr>
        <w:t>et le fonds de dotation ;</w:t>
      </w:r>
      <w:r w:rsidR="00C84E5E">
        <w:rPr>
          <w:rFonts w:cs="Arial"/>
          <w:sz w:val="22"/>
          <w:lang w:eastAsia="fr-FR"/>
        </w:rPr>
        <w:t xml:space="preserve"> </w:t>
      </w:r>
    </w:p>
    <w:p w:rsidR="00A322A7" w:rsidRDefault="00A322A7" w:rsidP="000D3C39">
      <w:pPr>
        <w:tabs>
          <w:tab w:val="center" w:pos="4536"/>
          <w:tab w:val="right" w:pos="9072"/>
        </w:tabs>
        <w:spacing w:line="240" w:lineRule="auto"/>
        <w:jc w:val="both"/>
        <w:rPr>
          <w:rFonts w:cs="Arial"/>
          <w:sz w:val="22"/>
          <w:lang w:eastAsia="fr-FR"/>
        </w:rPr>
      </w:pPr>
    </w:p>
    <w:p w:rsidR="00A7671F" w:rsidRDefault="00C84E5E" w:rsidP="000D3C39">
      <w:pPr>
        <w:tabs>
          <w:tab w:val="center" w:pos="4536"/>
          <w:tab w:val="right" w:pos="9072"/>
        </w:tabs>
        <w:spacing w:line="240" w:lineRule="auto"/>
        <w:jc w:val="both"/>
        <w:rPr>
          <w:rFonts w:cs="Arial"/>
          <w:sz w:val="22"/>
          <w:lang w:eastAsia="fr-FR"/>
        </w:rPr>
      </w:pPr>
      <w:r>
        <w:rPr>
          <w:rFonts w:cs="Arial"/>
          <w:sz w:val="22"/>
          <w:lang w:eastAsia="fr-FR"/>
        </w:rPr>
        <w:t xml:space="preserve">Attendu que les gestionnaires doivent donc être appelés à compter pour l’ensemble des opérations </w:t>
      </w:r>
      <w:r w:rsidR="00A7671F">
        <w:rPr>
          <w:rFonts w:cs="Arial"/>
          <w:sz w:val="22"/>
          <w:lang w:eastAsia="fr-FR"/>
        </w:rPr>
        <w:t>effectuées par le fonds de dotation du 1er janvier</w:t>
      </w:r>
      <w:r w:rsidR="00A7671F">
        <w:rPr>
          <w:rFonts w:cs="Arial"/>
          <w:sz w:val="22"/>
          <w:vertAlign w:val="superscript"/>
          <w:lang w:eastAsia="fr-FR"/>
        </w:rPr>
        <w:t xml:space="preserve"> </w:t>
      </w:r>
      <w:r w:rsidR="00A7671F">
        <w:rPr>
          <w:rFonts w:cs="Arial"/>
          <w:sz w:val="22"/>
          <w:lang w:eastAsia="fr-FR"/>
        </w:rPr>
        <w:t>2011 au 31 décembre 2012 ; que cette obligation de compter porte tant sur les dépenses que sur les recettes ; tant sur les recettes issues de subventions européennes et régionale</w:t>
      </w:r>
      <w:r w:rsidR="00AC1CD4">
        <w:rPr>
          <w:rFonts w:cs="Arial"/>
          <w:sz w:val="22"/>
          <w:lang w:eastAsia="fr-FR"/>
        </w:rPr>
        <w:t xml:space="preserve"> qui n’ont pu être perçues qu’en raison de mentions fallacieuses notamment, à raison de coordonnées bancaires</w:t>
      </w:r>
      <w:r w:rsidR="00A7671F">
        <w:rPr>
          <w:rFonts w:cs="Arial"/>
          <w:sz w:val="22"/>
          <w:lang w:eastAsia="fr-FR"/>
        </w:rPr>
        <w:t xml:space="preserve"> </w:t>
      </w:r>
      <w:r w:rsidR="00AC1CD4">
        <w:rPr>
          <w:rFonts w:cs="Arial"/>
          <w:sz w:val="22"/>
          <w:lang w:eastAsia="fr-FR"/>
        </w:rPr>
        <w:t xml:space="preserve">autres que celles du comptable public, données aux autorités ayant attribué ces subventions, </w:t>
      </w:r>
      <w:r w:rsidR="00A7671F">
        <w:rPr>
          <w:rFonts w:cs="Arial"/>
          <w:sz w:val="22"/>
          <w:lang w:eastAsia="fr-FR"/>
        </w:rPr>
        <w:t xml:space="preserve">que sur les recettes provenant directement ou indirectement de son activité de formation qui globalement </w:t>
      </w:r>
      <w:r w:rsidR="007615B4">
        <w:rPr>
          <w:rFonts w:cs="Arial"/>
          <w:sz w:val="22"/>
          <w:lang w:eastAsia="fr-FR"/>
        </w:rPr>
        <w:t>a</w:t>
      </w:r>
      <w:r w:rsidR="00A7671F">
        <w:rPr>
          <w:rFonts w:cs="Arial"/>
          <w:sz w:val="22"/>
          <w:lang w:eastAsia="fr-FR"/>
        </w:rPr>
        <w:t xml:space="preserve"> bénéficié de manière déterminante des moyens matériels et humains du ministère de la défense</w:t>
      </w:r>
      <w:r w:rsidR="00004F53">
        <w:rPr>
          <w:rFonts w:cs="Arial"/>
          <w:sz w:val="22"/>
          <w:lang w:eastAsia="fr-FR"/>
        </w:rPr>
        <w:t xml:space="preserve"> sans que celui-ci ait été appelé à l’autoriser par une personne ayant compétence à cet effet</w:t>
      </w:r>
      <w:r w:rsidR="00A7671F">
        <w:rPr>
          <w:rFonts w:cs="Arial"/>
          <w:sz w:val="22"/>
          <w:lang w:eastAsia="fr-FR"/>
        </w:rPr>
        <w:t> ;</w:t>
      </w:r>
    </w:p>
    <w:p w:rsidR="00A7671F" w:rsidRDefault="00A7671F" w:rsidP="000D3C39">
      <w:pPr>
        <w:tabs>
          <w:tab w:val="center" w:pos="4536"/>
          <w:tab w:val="right" w:pos="9072"/>
        </w:tabs>
        <w:spacing w:line="240" w:lineRule="auto"/>
        <w:jc w:val="both"/>
        <w:rPr>
          <w:rFonts w:cs="Arial"/>
          <w:sz w:val="22"/>
          <w:lang w:eastAsia="fr-FR"/>
        </w:rPr>
      </w:pPr>
    </w:p>
    <w:p w:rsidR="00A322A7" w:rsidRDefault="00A322A7" w:rsidP="000D3C39">
      <w:pPr>
        <w:tabs>
          <w:tab w:val="center" w:pos="4536"/>
          <w:tab w:val="right" w:pos="9072"/>
        </w:tabs>
        <w:spacing w:line="240" w:lineRule="auto"/>
        <w:jc w:val="both"/>
        <w:rPr>
          <w:rFonts w:cs="Arial"/>
          <w:sz w:val="22"/>
          <w:lang w:eastAsia="fr-FR"/>
        </w:rPr>
      </w:pPr>
    </w:p>
    <w:p w:rsidR="00542191" w:rsidRDefault="00542191" w:rsidP="00542191">
      <w:pPr>
        <w:tabs>
          <w:tab w:val="center" w:pos="4536"/>
          <w:tab w:val="right" w:pos="9072"/>
        </w:tabs>
        <w:spacing w:line="240" w:lineRule="auto"/>
        <w:jc w:val="both"/>
        <w:rPr>
          <w:rFonts w:cs="Arial"/>
          <w:sz w:val="22"/>
          <w:lang w:eastAsia="fr-FR"/>
        </w:rPr>
      </w:pPr>
      <w:r w:rsidRPr="002478DF">
        <w:rPr>
          <w:rFonts w:cs="Arial"/>
          <w:b/>
          <w:i/>
          <w:sz w:val="22"/>
          <w:lang w:eastAsia="fr-FR"/>
        </w:rPr>
        <w:t xml:space="preserve">Sur </w:t>
      </w:r>
      <w:r>
        <w:rPr>
          <w:rFonts w:cs="Arial"/>
          <w:b/>
          <w:i/>
          <w:sz w:val="22"/>
          <w:lang w:eastAsia="fr-FR"/>
        </w:rPr>
        <w:t xml:space="preserve">les auteurs de la gestion de fait </w:t>
      </w:r>
    </w:p>
    <w:p w:rsidR="00A7671F" w:rsidRDefault="00A7671F" w:rsidP="000D3C39">
      <w:pPr>
        <w:tabs>
          <w:tab w:val="center" w:pos="4536"/>
          <w:tab w:val="right" w:pos="9072"/>
        </w:tabs>
        <w:spacing w:line="240" w:lineRule="auto"/>
        <w:jc w:val="both"/>
        <w:rPr>
          <w:rFonts w:cs="Arial"/>
          <w:sz w:val="22"/>
          <w:lang w:eastAsia="fr-FR"/>
        </w:rPr>
      </w:pPr>
    </w:p>
    <w:p w:rsidR="00A7671F" w:rsidRDefault="006F1533" w:rsidP="000D3C39">
      <w:pPr>
        <w:tabs>
          <w:tab w:val="center" w:pos="4536"/>
          <w:tab w:val="right" w:pos="9072"/>
        </w:tabs>
        <w:spacing w:line="240" w:lineRule="auto"/>
        <w:jc w:val="both"/>
        <w:rPr>
          <w:rFonts w:cs="Arial"/>
          <w:sz w:val="22"/>
          <w:lang w:eastAsia="fr-FR"/>
        </w:rPr>
      </w:pPr>
      <w:r>
        <w:rPr>
          <w:rFonts w:cs="Arial"/>
          <w:sz w:val="22"/>
          <w:lang w:eastAsia="fr-FR"/>
        </w:rPr>
        <w:t xml:space="preserve">Attendu que les généraux </w:t>
      </w:r>
      <w:r w:rsidR="004E7804">
        <w:rPr>
          <w:rFonts w:cs="Arial"/>
          <w:sz w:val="22"/>
          <w:lang w:eastAsia="fr-FR"/>
        </w:rPr>
        <w:t>Z</w:t>
      </w:r>
      <w:r>
        <w:rPr>
          <w:rFonts w:cs="Arial"/>
          <w:sz w:val="22"/>
          <w:lang w:eastAsia="fr-FR"/>
        </w:rPr>
        <w:t xml:space="preserve"> et </w:t>
      </w:r>
      <w:r w:rsidR="004E7804">
        <w:rPr>
          <w:rFonts w:cs="Arial"/>
          <w:sz w:val="22"/>
          <w:lang w:eastAsia="fr-FR"/>
        </w:rPr>
        <w:t>A</w:t>
      </w:r>
      <w:r>
        <w:rPr>
          <w:rFonts w:cs="Arial"/>
          <w:sz w:val="22"/>
          <w:lang w:eastAsia="fr-FR"/>
        </w:rPr>
        <w:t xml:space="preserve"> ont non seulement été principalement à l’origine de la création du fonds de dotation Saint-Cyr Grande </w:t>
      </w:r>
      <w:proofErr w:type="spellStart"/>
      <w:r>
        <w:rPr>
          <w:rFonts w:cs="Arial"/>
          <w:sz w:val="22"/>
          <w:lang w:eastAsia="fr-FR"/>
        </w:rPr>
        <w:t>Ecole</w:t>
      </w:r>
      <w:proofErr w:type="spellEnd"/>
      <w:r>
        <w:rPr>
          <w:rFonts w:cs="Arial"/>
          <w:sz w:val="22"/>
          <w:lang w:eastAsia="fr-FR"/>
        </w:rPr>
        <w:t xml:space="preserve"> en décembre 2010</w:t>
      </w:r>
      <w:r w:rsidR="00756095">
        <w:rPr>
          <w:rFonts w:cs="Arial"/>
          <w:sz w:val="22"/>
          <w:lang w:eastAsia="fr-FR"/>
        </w:rPr>
        <w:t xml:space="preserve"> et ont dirigé le conseil d’administration du fonds de dotation depuis sa création jusqu’au 28 mars 2012</w:t>
      </w:r>
      <w:r w:rsidR="0076395C">
        <w:rPr>
          <w:rFonts w:cs="Arial"/>
          <w:sz w:val="22"/>
          <w:lang w:eastAsia="fr-FR"/>
        </w:rPr>
        <w:t>,</w:t>
      </w:r>
      <w:r w:rsidR="00756095">
        <w:rPr>
          <w:rFonts w:cs="Arial"/>
          <w:sz w:val="22"/>
          <w:lang w:eastAsia="fr-FR"/>
        </w:rPr>
        <w:t xml:space="preserve"> en ce qui concerne la présidence du général </w:t>
      </w:r>
      <w:r w:rsidR="004E7804">
        <w:rPr>
          <w:rFonts w:cs="Arial"/>
          <w:sz w:val="22"/>
          <w:lang w:eastAsia="fr-FR"/>
        </w:rPr>
        <w:t>Z</w:t>
      </w:r>
      <w:r w:rsidR="00756095">
        <w:rPr>
          <w:rFonts w:cs="Arial"/>
          <w:sz w:val="22"/>
          <w:lang w:eastAsia="fr-FR"/>
        </w:rPr>
        <w:t xml:space="preserve"> et</w:t>
      </w:r>
      <w:r w:rsidR="0076395C">
        <w:rPr>
          <w:rFonts w:cs="Arial"/>
          <w:sz w:val="22"/>
          <w:lang w:eastAsia="fr-FR"/>
        </w:rPr>
        <w:t>,</w:t>
      </w:r>
      <w:r w:rsidR="00756095">
        <w:rPr>
          <w:rFonts w:cs="Arial"/>
          <w:sz w:val="22"/>
          <w:lang w:eastAsia="fr-FR"/>
        </w:rPr>
        <w:t xml:space="preserve"> jusqu’au 17 octobre 2011</w:t>
      </w:r>
      <w:r w:rsidR="0076395C">
        <w:rPr>
          <w:rFonts w:cs="Arial"/>
          <w:sz w:val="22"/>
          <w:lang w:eastAsia="fr-FR"/>
        </w:rPr>
        <w:t>,</w:t>
      </w:r>
      <w:r w:rsidR="00756095">
        <w:rPr>
          <w:rFonts w:cs="Arial"/>
          <w:sz w:val="22"/>
          <w:lang w:eastAsia="fr-FR"/>
        </w:rPr>
        <w:t xml:space="preserve"> en ce qui concerne </w:t>
      </w:r>
      <w:r w:rsidR="00756095">
        <w:rPr>
          <w:rFonts w:cs="Arial"/>
          <w:sz w:val="22"/>
          <w:lang w:eastAsia="fr-FR"/>
        </w:rPr>
        <w:lastRenderedPageBreak/>
        <w:t xml:space="preserve">la vice-présidence du général </w:t>
      </w:r>
      <w:r w:rsidR="004E7804">
        <w:rPr>
          <w:rFonts w:cs="Arial"/>
          <w:sz w:val="22"/>
          <w:lang w:eastAsia="fr-FR"/>
        </w:rPr>
        <w:t>A</w:t>
      </w:r>
      <w:r w:rsidR="0076395C">
        <w:rPr>
          <w:rFonts w:cs="Arial"/>
          <w:sz w:val="22"/>
          <w:lang w:eastAsia="fr-FR"/>
        </w:rPr>
        <w:t>,</w:t>
      </w:r>
      <w:r w:rsidR="00756095">
        <w:rPr>
          <w:rFonts w:cs="Arial"/>
          <w:sz w:val="22"/>
          <w:lang w:eastAsia="fr-FR"/>
        </w:rPr>
        <w:t xml:space="preserve"> </w:t>
      </w:r>
      <w:r>
        <w:rPr>
          <w:rFonts w:cs="Arial"/>
          <w:sz w:val="22"/>
          <w:lang w:eastAsia="fr-FR"/>
        </w:rPr>
        <w:t>mais</w:t>
      </w:r>
      <w:r w:rsidR="00B30E2A">
        <w:rPr>
          <w:rFonts w:cs="Arial"/>
          <w:sz w:val="22"/>
          <w:lang w:eastAsia="fr-FR"/>
        </w:rPr>
        <w:t xml:space="preserve"> qu’</w:t>
      </w:r>
      <w:r w:rsidR="00756095">
        <w:rPr>
          <w:rFonts w:cs="Arial"/>
          <w:sz w:val="22"/>
          <w:lang w:eastAsia="fr-FR"/>
        </w:rPr>
        <w:t xml:space="preserve">ils </w:t>
      </w:r>
      <w:r>
        <w:rPr>
          <w:rFonts w:cs="Arial"/>
          <w:sz w:val="22"/>
          <w:lang w:eastAsia="fr-FR"/>
        </w:rPr>
        <w:t xml:space="preserve">ont également </w:t>
      </w:r>
      <w:r w:rsidR="00756095">
        <w:rPr>
          <w:rFonts w:cs="Arial"/>
          <w:sz w:val="22"/>
          <w:lang w:eastAsia="fr-FR"/>
        </w:rPr>
        <w:t xml:space="preserve">permis, en qualités de responsables </w:t>
      </w:r>
      <w:r w:rsidR="002A210B">
        <w:rPr>
          <w:rFonts w:cs="Arial"/>
          <w:sz w:val="22"/>
          <w:lang w:eastAsia="fr-FR"/>
        </w:rPr>
        <w:t>de l’</w:t>
      </w:r>
      <w:proofErr w:type="spellStart"/>
      <w:r w:rsidR="002A210B">
        <w:rPr>
          <w:rFonts w:cs="Arial"/>
          <w:sz w:val="22"/>
          <w:lang w:eastAsia="fr-FR"/>
        </w:rPr>
        <w:t>Ecole</w:t>
      </w:r>
      <w:proofErr w:type="spellEnd"/>
      <w:r w:rsidR="002A210B">
        <w:rPr>
          <w:rFonts w:cs="Arial"/>
          <w:sz w:val="22"/>
          <w:lang w:eastAsia="fr-FR"/>
        </w:rPr>
        <w:t xml:space="preserve"> de Saint-Cyr-</w:t>
      </w:r>
      <w:proofErr w:type="spellStart"/>
      <w:r w:rsidR="002A210B">
        <w:rPr>
          <w:rFonts w:cs="Arial"/>
          <w:sz w:val="22"/>
          <w:lang w:eastAsia="fr-FR"/>
        </w:rPr>
        <w:t>Coëtquidan</w:t>
      </w:r>
      <w:proofErr w:type="spellEnd"/>
      <w:r w:rsidR="00756095">
        <w:rPr>
          <w:rFonts w:cs="Arial"/>
          <w:sz w:val="22"/>
          <w:lang w:eastAsia="fr-FR"/>
        </w:rPr>
        <w:t xml:space="preserve">, que la gestion de fait prospère soit directement par la mise à disposition de personnels, matériels et infrastructures placés sous leur responsabilité, soit indirectement à travers la convention du 21 juillet 2011 avec l’ASAEC ; ils apparaissent ainsi comme </w:t>
      </w:r>
      <w:r>
        <w:rPr>
          <w:rFonts w:cs="Arial"/>
          <w:sz w:val="22"/>
          <w:lang w:eastAsia="fr-FR"/>
        </w:rPr>
        <w:t xml:space="preserve">les </w:t>
      </w:r>
      <w:r w:rsidR="00D10BDA">
        <w:rPr>
          <w:rFonts w:cs="Arial"/>
          <w:sz w:val="22"/>
          <w:lang w:eastAsia="fr-FR"/>
        </w:rPr>
        <w:t>instigateurs</w:t>
      </w:r>
      <w:r>
        <w:rPr>
          <w:rFonts w:cs="Arial"/>
          <w:sz w:val="22"/>
          <w:lang w:eastAsia="fr-FR"/>
        </w:rPr>
        <w:t xml:space="preserve"> </w:t>
      </w:r>
      <w:r w:rsidR="00756095">
        <w:rPr>
          <w:rFonts w:cs="Arial"/>
          <w:sz w:val="22"/>
          <w:lang w:eastAsia="fr-FR"/>
        </w:rPr>
        <w:t>et les</w:t>
      </w:r>
      <w:r w:rsidR="0076395C">
        <w:rPr>
          <w:rFonts w:cs="Arial"/>
          <w:sz w:val="22"/>
          <w:lang w:eastAsia="fr-FR"/>
        </w:rPr>
        <w:t xml:space="preserve"> </w:t>
      </w:r>
      <w:r w:rsidR="00756095">
        <w:rPr>
          <w:rFonts w:cs="Arial"/>
          <w:sz w:val="22"/>
          <w:lang w:eastAsia="fr-FR"/>
        </w:rPr>
        <w:t>superviseurs de la gestion de fait qui sans leur action et leur soutien n’aurait pu ni s’initier ni s</w:t>
      </w:r>
      <w:r w:rsidR="00D10BDA">
        <w:rPr>
          <w:rFonts w:cs="Arial"/>
          <w:sz w:val="22"/>
          <w:lang w:eastAsia="fr-FR"/>
        </w:rPr>
        <w:t>e perpétuer ;</w:t>
      </w:r>
    </w:p>
    <w:p w:rsidR="0076395C" w:rsidRDefault="0076395C" w:rsidP="000D3C39">
      <w:pPr>
        <w:tabs>
          <w:tab w:val="center" w:pos="4536"/>
          <w:tab w:val="right" w:pos="9072"/>
        </w:tabs>
        <w:spacing w:line="240" w:lineRule="auto"/>
        <w:jc w:val="both"/>
        <w:rPr>
          <w:rFonts w:cs="Arial"/>
          <w:sz w:val="22"/>
          <w:lang w:eastAsia="fr-FR"/>
        </w:rPr>
      </w:pPr>
    </w:p>
    <w:p w:rsidR="00A7671F" w:rsidRDefault="00A7671F" w:rsidP="000D3C39">
      <w:pPr>
        <w:tabs>
          <w:tab w:val="center" w:pos="4536"/>
          <w:tab w:val="right" w:pos="9072"/>
        </w:tabs>
        <w:spacing w:line="240" w:lineRule="auto"/>
        <w:jc w:val="both"/>
        <w:rPr>
          <w:rFonts w:cs="Arial"/>
          <w:sz w:val="22"/>
          <w:lang w:eastAsia="fr-FR"/>
        </w:rPr>
      </w:pPr>
    </w:p>
    <w:p w:rsidR="00A7671F" w:rsidRDefault="00D10BDA" w:rsidP="000D3C39">
      <w:pPr>
        <w:tabs>
          <w:tab w:val="center" w:pos="4536"/>
          <w:tab w:val="right" w:pos="9072"/>
        </w:tabs>
        <w:spacing w:line="240" w:lineRule="auto"/>
        <w:jc w:val="both"/>
        <w:rPr>
          <w:rFonts w:cs="Arial"/>
          <w:sz w:val="22"/>
          <w:lang w:eastAsia="fr-FR"/>
        </w:rPr>
      </w:pPr>
      <w:r>
        <w:rPr>
          <w:rFonts w:cs="Arial"/>
          <w:sz w:val="22"/>
          <w:lang w:eastAsia="fr-FR"/>
        </w:rPr>
        <w:t xml:space="preserve">Attendu toutefois que, si le général </w:t>
      </w:r>
      <w:r w:rsidR="004E7804">
        <w:rPr>
          <w:rFonts w:cs="Arial"/>
          <w:sz w:val="22"/>
          <w:lang w:eastAsia="fr-FR"/>
        </w:rPr>
        <w:t>Z</w:t>
      </w:r>
      <w:r>
        <w:rPr>
          <w:rFonts w:cs="Arial"/>
          <w:sz w:val="22"/>
          <w:lang w:eastAsia="fr-FR"/>
        </w:rPr>
        <w:t xml:space="preserve"> a quitté ses fonctions de commandant des écoles le 31 juillet 2012, soit avant le terme de la période retenue pour la gestion de fait, et ne peut donc plus être considéré comme ayant agi de brève main, il a néanmoins conservé comme membre de droit un poste d’administrateur au sein du conseil d’administration du fonds et ainsi préservé son contrôle de longue main sur la gestion en cause ;</w:t>
      </w:r>
    </w:p>
    <w:p w:rsidR="00D10BDA" w:rsidRDefault="00D10BDA" w:rsidP="000D3C39">
      <w:pPr>
        <w:tabs>
          <w:tab w:val="center" w:pos="4536"/>
          <w:tab w:val="right" w:pos="9072"/>
        </w:tabs>
        <w:spacing w:line="240" w:lineRule="auto"/>
        <w:jc w:val="both"/>
        <w:rPr>
          <w:rFonts w:cs="Arial"/>
          <w:sz w:val="22"/>
          <w:lang w:eastAsia="fr-FR"/>
        </w:rPr>
      </w:pPr>
    </w:p>
    <w:p w:rsidR="00D10BDA" w:rsidRDefault="00D10BDA" w:rsidP="000D3C39">
      <w:pPr>
        <w:tabs>
          <w:tab w:val="center" w:pos="4536"/>
          <w:tab w:val="right" w:pos="9072"/>
        </w:tabs>
        <w:spacing w:line="240" w:lineRule="auto"/>
        <w:jc w:val="both"/>
        <w:rPr>
          <w:rFonts w:cs="Arial"/>
          <w:sz w:val="22"/>
          <w:lang w:eastAsia="fr-FR"/>
        </w:rPr>
      </w:pPr>
      <w:r>
        <w:rPr>
          <w:rFonts w:cs="Arial"/>
          <w:sz w:val="22"/>
          <w:lang w:eastAsia="fr-FR"/>
        </w:rPr>
        <w:t xml:space="preserve">Attendu que </w:t>
      </w:r>
      <w:r w:rsidR="004E7804">
        <w:rPr>
          <w:rFonts w:cs="Arial"/>
          <w:sz w:val="22"/>
          <w:lang w:eastAsia="fr-FR"/>
        </w:rPr>
        <w:t>M. B</w:t>
      </w:r>
      <w:r w:rsidR="00E94B56">
        <w:rPr>
          <w:rFonts w:cs="Arial"/>
          <w:sz w:val="22"/>
          <w:lang w:eastAsia="fr-FR"/>
        </w:rPr>
        <w:t>, directeur général de l’enseignement et de la recherche des écoles de Saint-Cyr-</w:t>
      </w:r>
      <w:proofErr w:type="spellStart"/>
      <w:r w:rsidR="00E94B56">
        <w:rPr>
          <w:rFonts w:cs="Arial"/>
          <w:sz w:val="22"/>
          <w:lang w:eastAsia="fr-FR"/>
        </w:rPr>
        <w:t>Coëtquidan</w:t>
      </w:r>
      <w:proofErr w:type="spellEnd"/>
      <w:r w:rsidR="00E94B56">
        <w:rPr>
          <w:rFonts w:cs="Arial"/>
          <w:sz w:val="22"/>
          <w:lang w:eastAsia="fr-FR"/>
        </w:rPr>
        <w:t>, a été un des</w:t>
      </w:r>
      <w:r w:rsidR="00B30E2A">
        <w:rPr>
          <w:rFonts w:cs="Arial"/>
          <w:sz w:val="22"/>
          <w:lang w:eastAsia="fr-FR"/>
        </w:rPr>
        <w:t xml:space="preserve"> créateurs du fonds de dotation ;</w:t>
      </w:r>
      <w:r w:rsidR="00E94B56">
        <w:rPr>
          <w:rFonts w:cs="Arial"/>
          <w:sz w:val="22"/>
          <w:lang w:eastAsia="fr-FR"/>
        </w:rPr>
        <w:t xml:space="preserve"> que toutefois il apparaît d’une part comme ayant agi sur instruction des commandants de </w:t>
      </w:r>
      <w:r w:rsidR="002A210B">
        <w:rPr>
          <w:rFonts w:cs="Arial"/>
          <w:sz w:val="22"/>
          <w:lang w:eastAsia="fr-FR"/>
        </w:rPr>
        <w:t>l’é</w:t>
      </w:r>
      <w:r w:rsidR="00E94B56">
        <w:rPr>
          <w:rFonts w:cs="Arial"/>
          <w:sz w:val="22"/>
          <w:lang w:eastAsia="fr-FR"/>
        </w:rPr>
        <w:t>cole, d’autre part qu’il n’avait pas de fonction exécutive au sein du conseil d’administration du fonds de dotation, qu’enfin il n’avait, en tant que civil, aucune autorité pour permettre la gestion de fait par la mise à disposition du fonds de dotation de personnels, matériels et infrastructures ; qu’il n’y a donc pas lieu de l’attraire à la gestion de fait ;</w:t>
      </w:r>
    </w:p>
    <w:p w:rsidR="00E94B56" w:rsidRDefault="00E94B56" w:rsidP="000D3C39">
      <w:pPr>
        <w:tabs>
          <w:tab w:val="center" w:pos="4536"/>
          <w:tab w:val="right" w:pos="9072"/>
        </w:tabs>
        <w:spacing w:line="240" w:lineRule="auto"/>
        <w:jc w:val="both"/>
        <w:rPr>
          <w:rFonts w:cs="Arial"/>
          <w:sz w:val="22"/>
          <w:lang w:eastAsia="fr-FR"/>
        </w:rPr>
      </w:pPr>
    </w:p>
    <w:p w:rsidR="00C25C73" w:rsidRDefault="00E94B56" w:rsidP="000D3C39">
      <w:pPr>
        <w:tabs>
          <w:tab w:val="center" w:pos="4536"/>
          <w:tab w:val="right" w:pos="9072"/>
        </w:tabs>
        <w:spacing w:line="240" w:lineRule="auto"/>
        <w:jc w:val="both"/>
        <w:rPr>
          <w:rFonts w:cs="Arial"/>
          <w:sz w:val="22"/>
          <w:lang w:eastAsia="fr-FR"/>
        </w:rPr>
      </w:pPr>
      <w:r>
        <w:rPr>
          <w:rFonts w:cs="Arial"/>
          <w:sz w:val="22"/>
          <w:lang w:eastAsia="fr-FR"/>
        </w:rPr>
        <w:t xml:space="preserve">Attendu que </w:t>
      </w:r>
      <w:r w:rsidR="004E7804">
        <w:rPr>
          <w:rFonts w:cs="Arial"/>
          <w:sz w:val="22"/>
          <w:lang w:eastAsia="fr-FR"/>
        </w:rPr>
        <w:t>M. X</w:t>
      </w:r>
      <w:r>
        <w:rPr>
          <w:rFonts w:cs="Arial"/>
          <w:sz w:val="22"/>
          <w:lang w:eastAsia="fr-FR"/>
        </w:rPr>
        <w:t xml:space="preserve"> a succédé au général </w:t>
      </w:r>
      <w:r w:rsidR="004E7804">
        <w:rPr>
          <w:rFonts w:cs="Arial"/>
          <w:sz w:val="22"/>
          <w:lang w:eastAsia="fr-FR"/>
        </w:rPr>
        <w:t>Z</w:t>
      </w:r>
      <w:r>
        <w:rPr>
          <w:rFonts w:cs="Arial"/>
          <w:sz w:val="22"/>
          <w:lang w:eastAsia="fr-FR"/>
        </w:rPr>
        <w:t xml:space="preserve"> dans ses fonctions de président du conseil d’administration du fonds de dotation ; qu’il a exercé cette présidence du 29 mars 2012 jusqu’en</w:t>
      </w:r>
      <w:r w:rsidR="00FC3327">
        <w:rPr>
          <w:rFonts w:cs="Arial"/>
          <w:sz w:val="22"/>
          <w:lang w:eastAsia="fr-FR"/>
        </w:rPr>
        <w:t xml:space="preserve"> mars</w:t>
      </w:r>
      <w:r>
        <w:rPr>
          <w:rFonts w:cs="Arial"/>
          <w:sz w:val="22"/>
          <w:lang w:eastAsia="fr-FR"/>
        </w:rPr>
        <w:t xml:space="preserve"> 2015</w:t>
      </w:r>
      <w:r w:rsidR="00C25C73">
        <w:rPr>
          <w:rFonts w:cs="Arial"/>
          <w:sz w:val="22"/>
          <w:lang w:eastAsia="fr-FR"/>
        </w:rPr>
        <w:t>,</w:t>
      </w:r>
      <w:r>
        <w:rPr>
          <w:rFonts w:cs="Arial"/>
          <w:sz w:val="22"/>
          <w:lang w:eastAsia="fr-FR"/>
        </w:rPr>
        <w:t xml:space="preserve"> et en tout cas jusqu’au terme de la période retenue pour la gestion de fait ; </w:t>
      </w:r>
      <w:r w:rsidR="00C25C73">
        <w:rPr>
          <w:rFonts w:cs="Arial"/>
          <w:sz w:val="22"/>
          <w:lang w:eastAsia="fr-FR"/>
        </w:rPr>
        <w:t>qu’il a donc connu et toléré la gestion de fait</w:t>
      </w:r>
      <w:r w:rsidR="005A4097">
        <w:rPr>
          <w:rFonts w:cs="Arial"/>
          <w:sz w:val="22"/>
          <w:lang w:eastAsia="fr-FR"/>
        </w:rPr>
        <w:t xml:space="preserve"> dont il ne pouvait ignorer la portée</w:t>
      </w:r>
      <w:r w:rsidR="00C25C73">
        <w:rPr>
          <w:rFonts w:cs="Arial"/>
          <w:sz w:val="22"/>
          <w:lang w:eastAsia="fr-FR"/>
        </w:rPr>
        <w:t xml:space="preserve"> ; qu’il a en particulier facilité cette gestion et manié de brève main lors de l’encaissement irrégulier par le fonds de dotation d’une subvention européenne dont celui-ci n’était pas attributaire ; que, s’il a par ailleurs pris des initiatives pour régulariser la gestion par l’obtention d’un titre légal, cette </w:t>
      </w:r>
      <w:r w:rsidR="005A4097">
        <w:rPr>
          <w:rFonts w:cs="Arial"/>
          <w:sz w:val="22"/>
          <w:lang w:eastAsia="fr-FR"/>
        </w:rPr>
        <w:t>circonstance</w:t>
      </w:r>
      <w:r w:rsidR="00C25C73">
        <w:rPr>
          <w:rFonts w:cs="Arial"/>
          <w:sz w:val="22"/>
          <w:lang w:eastAsia="fr-FR"/>
        </w:rPr>
        <w:t xml:space="preserve"> ne </w:t>
      </w:r>
      <w:r w:rsidR="005A4097">
        <w:rPr>
          <w:rFonts w:cs="Arial"/>
          <w:sz w:val="22"/>
          <w:lang w:eastAsia="fr-FR"/>
        </w:rPr>
        <w:t>trouvera à</w:t>
      </w:r>
      <w:r w:rsidR="00C25C73">
        <w:rPr>
          <w:rFonts w:cs="Arial"/>
          <w:sz w:val="22"/>
          <w:lang w:eastAsia="fr-FR"/>
        </w:rPr>
        <w:t xml:space="preserve"> s’apprécier que dans le cadre d’une éventuelle condamnation à l’amende pour immixtion dans les fonctions de comptable public ;</w:t>
      </w:r>
    </w:p>
    <w:p w:rsidR="00C25C73" w:rsidRDefault="00C25C73" w:rsidP="000D3C39">
      <w:pPr>
        <w:tabs>
          <w:tab w:val="center" w:pos="4536"/>
          <w:tab w:val="right" w:pos="9072"/>
        </w:tabs>
        <w:spacing w:line="240" w:lineRule="auto"/>
        <w:jc w:val="both"/>
        <w:rPr>
          <w:rFonts w:cs="Arial"/>
          <w:sz w:val="22"/>
          <w:lang w:eastAsia="fr-FR"/>
        </w:rPr>
      </w:pPr>
    </w:p>
    <w:p w:rsidR="00C25C73" w:rsidRDefault="00C25C73" w:rsidP="00C25C73">
      <w:pPr>
        <w:tabs>
          <w:tab w:val="center" w:pos="4536"/>
          <w:tab w:val="right" w:pos="9072"/>
        </w:tabs>
        <w:spacing w:line="240" w:lineRule="auto"/>
        <w:jc w:val="both"/>
        <w:rPr>
          <w:rFonts w:cs="Arial"/>
          <w:sz w:val="22"/>
          <w:lang w:eastAsia="fr-FR"/>
        </w:rPr>
      </w:pPr>
      <w:r>
        <w:rPr>
          <w:rFonts w:cs="Arial"/>
          <w:sz w:val="22"/>
          <w:lang w:eastAsia="fr-FR"/>
        </w:rPr>
        <w:t xml:space="preserve">Attendu que le commandant </w:t>
      </w:r>
      <w:r w:rsidR="004E7804">
        <w:rPr>
          <w:rFonts w:cs="Arial"/>
          <w:sz w:val="22"/>
          <w:lang w:eastAsia="fr-FR"/>
        </w:rPr>
        <w:t>Y</w:t>
      </w:r>
      <w:r>
        <w:rPr>
          <w:rFonts w:cs="Arial"/>
          <w:sz w:val="22"/>
          <w:lang w:eastAsia="fr-FR"/>
        </w:rPr>
        <w:t xml:space="preserve"> a supervisé l’organisation de formations avec le concours de moyens militaires ; que toutefois, alors qu’il avait régulièrement été détaché auprès du fonds de dotation, il n’a fait qu’agir dans le cadre hiérarchique du fonds de dotation et dans la limite des délégations qu’il avait reçues qu’il</w:t>
      </w:r>
      <w:r w:rsidRPr="00C25C73">
        <w:rPr>
          <w:rFonts w:cs="Arial"/>
          <w:sz w:val="22"/>
          <w:lang w:eastAsia="fr-FR"/>
        </w:rPr>
        <w:t xml:space="preserve"> </w:t>
      </w:r>
      <w:r>
        <w:rPr>
          <w:rFonts w:cs="Arial"/>
          <w:sz w:val="22"/>
          <w:lang w:eastAsia="fr-FR"/>
        </w:rPr>
        <w:t>n’y a donc pas lieu de l’attraire à la gestion de fait ;</w:t>
      </w:r>
    </w:p>
    <w:p w:rsidR="00556AB6" w:rsidRDefault="00556AB6" w:rsidP="00C25C73">
      <w:pPr>
        <w:tabs>
          <w:tab w:val="center" w:pos="4536"/>
          <w:tab w:val="right" w:pos="9072"/>
        </w:tabs>
        <w:spacing w:line="240" w:lineRule="auto"/>
        <w:jc w:val="both"/>
        <w:rPr>
          <w:rFonts w:cs="Arial"/>
          <w:sz w:val="22"/>
          <w:lang w:eastAsia="fr-FR"/>
        </w:rPr>
      </w:pPr>
    </w:p>
    <w:p w:rsidR="00556AB6" w:rsidRDefault="00556AB6" w:rsidP="00C25C73">
      <w:pPr>
        <w:tabs>
          <w:tab w:val="center" w:pos="4536"/>
          <w:tab w:val="right" w:pos="9072"/>
        </w:tabs>
        <w:spacing w:line="240" w:lineRule="auto"/>
        <w:jc w:val="both"/>
        <w:rPr>
          <w:rFonts w:cs="Arial"/>
          <w:sz w:val="22"/>
          <w:lang w:eastAsia="fr-FR"/>
        </w:rPr>
      </w:pPr>
      <w:r>
        <w:rPr>
          <w:rFonts w:cs="Arial"/>
          <w:sz w:val="22"/>
          <w:lang w:eastAsia="fr-FR"/>
        </w:rPr>
        <w:t xml:space="preserve">Attendu, qu’en l’espèce, le fonds de dotation Saint-Cyr Grande </w:t>
      </w:r>
      <w:proofErr w:type="spellStart"/>
      <w:r>
        <w:rPr>
          <w:rFonts w:cs="Arial"/>
          <w:sz w:val="22"/>
          <w:lang w:eastAsia="fr-FR"/>
        </w:rPr>
        <w:t>Ecole</w:t>
      </w:r>
      <w:proofErr w:type="spellEnd"/>
      <w:r>
        <w:rPr>
          <w:rFonts w:cs="Arial"/>
          <w:sz w:val="22"/>
          <w:lang w:eastAsia="fr-FR"/>
        </w:rPr>
        <w:t xml:space="preserve"> </w:t>
      </w:r>
      <w:r w:rsidR="00863D02">
        <w:rPr>
          <w:rFonts w:cs="Arial"/>
          <w:sz w:val="22"/>
          <w:lang w:eastAsia="fr-FR"/>
        </w:rPr>
        <w:t>– </w:t>
      </w:r>
      <w:r>
        <w:rPr>
          <w:rFonts w:cs="Arial"/>
          <w:sz w:val="22"/>
          <w:lang w:eastAsia="fr-FR"/>
        </w:rPr>
        <w:t>bien que disposant de la personnalité morale</w:t>
      </w:r>
      <w:r w:rsidR="00863D02">
        <w:rPr>
          <w:rFonts w:cs="Arial"/>
          <w:sz w:val="22"/>
          <w:lang w:eastAsia="fr-FR"/>
        </w:rPr>
        <w:t> –</w:t>
      </w:r>
      <w:r>
        <w:rPr>
          <w:rFonts w:cs="Arial"/>
          <w:sz w:val="22"/>
          <w:lang w:eastAsia="fr-FR"/>
        </w:rPr>
        <w:t xml:space="preserve"> n’a, pendant la période incriminée, disposé d’aucune indépendance réelle ni humaine, ni financière, ni matérielle par rapport aux instances en charge des écoles de Saint-Cyr-</w:t>
      </w:r>
      <w:proofErr w:type="spellStart"/>
      <w:r>
        <w:rPr>
          <w:rFonts w:cs="Arial"/>
          <w:sz w:val="22"/>
          <w:lang w:eastAsia="fr-FR"/>
        </w:rPr>
        <w:t>Coëtquidan</w:t>
      </w:r>
      <w:proofErr w:type="spellEnd"/>
      <w:r>
        <w:rPr>
          <w:rFonts w:cs="Arial"/>
          <w:sz w:val="22"/>
          <w:lang w:eastAsia="fr-FR"/>
        </w:rPr>
        <w:t> ; qu’il</w:t>
      </w:r>
      <w:r w:rsidRPr="00C25C73">
        <w:rPr>
          <w:rFonts w:cs="Arial"/>
          <w:sz w:val="22"/>
          <w:lang w:eastAsia="fr-FR"/>
        </w:rPr>
        <w:t xml:space="preserve"> </w:t>
      </w:r>
      <w:r>
        <w:rPr>
          <w:rFonts w:cs="Arial"/>
          <w:sz w:val="22"/>
          <w:lang w:eastAsia="fr-FR"/>
        </w:rPr>
        <w:t>n’y a donc pas lieu de l’attraire à la gestion de fait ;</w:t>
      </w:r>
    </w:p>
    <w:p w:rsidR="00E94B56" w:rsidRDefault="00E94B56" w:rsidP="000D3C39">
      <w:pPr>
        <w:tabs>
          <w:tab w:val="center" w:pos="4536"/>
          <w:tab w:val="right" w:pos="9072"/>
        </w:tabs>
        <w:spacing w:line="240" w:lineRule="auto"/>
        <w:jc w:val="both"/>
        <w:rPr>
          <w:rFonts w:cs="Arial"/>
          <w:sz w:val="22"/>
          <w:lang w:eastAsia="fr-FR"/>
        </w:rPr>
      </w:pPr>
    </w:p>
    <w:p w:rsidR="00A7671F" w:rsidRDefault="00DD4B00" w:rsidP="000D3C39">
      <w:pPr>
        <w:tabs>
          <w:tab w:val="center" w:pos="4536"/>
          <w:tab w:val="right" w:pos="9072"/>
        </w:tabs>
        <w:spacing w:line="240" w:lineRule="auto"/>
        <w:jc w:val="both"/>
        <w:rPr>
          <w:rFonts w:cs="Arial"/>
          <w:sz w:val="22"/>
          <w:lang w:eastAsia="fr-FR"/>
        </w:rPr>
      </w:pPr>
      <w:r>
        <w:rPr>
          <w:rFonts w:cs="Arial"/>
          <w:sz w:val="22"/>
          <w:lang w:eastAsia="fr-FR"/>
        </w:rPr>
        <w:t xml:space="preserve">Attendu qu’il y a donc lieu d’appeler à compter devant la Cour, solidairement entre eux, les généraux </w:t>
      </w:r>
      <w:r w:rsidR="004E7804">
        <w:rPr>
          <w:rFonts w:cs="Arial"/>
          <w:sz w:val="22"/>
          <w:lang w:eastAsia="fr-FR"/>
        </w:rPr>
        <w:t>Z</w:t>
      </w:r>
      <w:r>
        <w:rPr>
          <w:rFonts w:cs="Arial"/>
          <w:sz w:val="22"/>
          <w:lang w:eastAsia="fr-FR"/>
        </w:rPr>
        <w:t xml:space="preserve"> et </w:t>
      </w:r>
      <w:r w:rsidR="004E7804">
        <w:rPr>
          <w:rFonts w:cs="Arial"/>
          <w:sz w:val="22"/>
          <w:lang w:eastAsia="fr-FR"/>
        </w:rPr>
        <w:t>A</w:t>
      </w:r>
      <w:r>
        <w:rPr>
          <w:rFonts w:cs="Arial"/>
          <w:sz w:val="22"/>
          <w:lang w:eastAsia="fr-FR"/>
        </w:rPr>
        <w:t xml:space="preserve"> sur l’ensemble de la période courant du</w:t>
      </w:r>
      <w:r w:rsidR="00863D02">
        <w:rPr>
          <w:rFonts w:cs="Arial"/>
          <w:sz w:val="22"/>
          <w:lang w:eastAsia="fr-FR"/>
        </w:rPr>
        <w:t xml:space="preserve"> </w:t>
      </w:r>
      <w:r>
        <w:rPr>
          <w:rFonts w:cs="Arial"/>
          <w:sz w:val="22"/>
          <w:lang w:eastAsia="fr-FR"/>
        </w:rPr>
        <w:t>1</w:t>
      </w:r>
      <w:r w:rsidRPr="00DD4B00">
        <w:rPr>
          <w:rFonts w:cs="Arial"/>
          <w:sz w:val="22"/>
          <w:vertAlign w:val="superscript"/>
          <w:lang w:eastAsia="fr-FR"/>
        </w:rPr>
        <w:t>er</w:t>
      </w:r>
      <w:r>
        <w:rPr>
          <w:rFonts w:cs="Arial"/>
          <w:sz w:val="22"/>
          <w:lang w:eastAsia="fr-FR"/>
        </w:rPr>
        <w:t xml:space="preserve"> janvier 2011 au 31 décembre 2012 ;</w:t>
      </w:r>
    </w:p>
    <w:p w:rsidR="00DD4B00" w:rsidRDefault="00DD4B00" w:rsidP="000D3C39">
      <w:pPr>
        <w:tabs>
          <w:tab w:val="center" w:pos="4536"/>
          <w:tab w:val="right" w:pos="9072"/>
        </w:tabs>
        <w:spacing w:line="240" w:lineRule="auto"/>
        <w:jc w:val="both"/>
        <w:rPr>
          <w:rFonts w:cs="Arial"/>
          <w:sz w:val="22"/>
          <w:lang w:eastAsia="fr-FR"/>
        </w:rPr>
      </w:pPr>
    </w:p>
    <w:p w:rsidR="00DD4B00" w:rsidRDefault="00DD4B00" w:rsidP="000D3C39">
      <w:pPr>
        <w:tabs>
          <w:tab w:val="center" w:pos="4536"/>
          <w:tab w:val="right" w:pos="9072"/>
        </w:tabs>
        <w:spacing w:line="240" w:lineRule="auto"/>
        <w:jc w:val="both"/>
        <w:rPr>
          <w:rFonts w:cs="Arial"/>
          <w:sz w:val="22"/>
          <w:lang w:eastAsia="fr-FR"/>
        </w:rPr>
      </w:pPr>
      <w:r>
        <w:rPr>
          <w:rFonts w:cs="Arial"/>
          <w:sz w:val="22"/>
          <w:lang w:eastAsia="fr-FR"/>
        </w:rPr>
        <w:t>Attendu qu’il y a également lieu d’appeler à compter devant la Cour M</w:t>
      </w:r>
      <w:r w:rsidR="00082213">
        <w:rPr>
          <w:rFonts w:cs="Arial"/>
          <w:sz w:val="22"/>
          <w:lang w:eastAsia="fr-FR"/>
        </w:rPr>
        <w:t>.</w:t>
      </w:r>
      <w:r w:rsidR="00863D02">
        <w:rPr>
          <w:rFonts w:cs="Arial"/>
          <w:sz w:val="22"/>
          <w:lang w:eastAsia="fr-FR"/>
        </w:rPr>
        <w:t> </w:t>
      </w:r>
      <w:r w:rsidR="004E7804">
        <w:rPr>
          <w:rFonts w:cs="Arial"/>
          <w:sz w:val="22"/>
          <w:lang w:eastAsia="fr-FR"/>
        </w:rPr>
        <w:t>X</w:t>
      </w:r>
      <w:r>
        <w:rPr>
          <w:rFonts w:cs="Arial"/>
          <w:sz w:val="22"/>
          <w:lang w:eastAsia="fr-FR"/>
        </w:rPr>
        <w:t xml:space="preserve">, pour la seule période courant du 29 mars au 31 décembre 2012, conjointement et solidairement avec les généraux </w:t>
      </w:r>
      <w:r w:rsidR="004E7804">
        <w:rPr>
          <w:rFonts w:cs="Arial"/>
          <w:sz w:val="22"/>
          <w:lang w:eastAsia="fr-FR"/>
        </w:rPr>
        <w:t>Z</w:t>
      </w:r>
      <w:r>
        <w:rPr>
          <w:rFonts w:cs="Arial"/>
          <w:sz w:val="22"/>
          <w:lang w:eastAsia="fr-FR"/>
        </w:rPr>
        <w:t xml:space="preserve"> et </w:t>
      </w:r>
      <w:r w:rsidR="004E7804">
        <w:rPr>
          <w:rFonts w:cs="Arial"/>
          <w:sz w:val="22"/>
          <w:lang w:eastAsia="fr-FR"/>
        </w:rPr>
        <w:t>A</w:t>
      </w:r>
      <w:r>
        <w:rPr>
          <w:rFonts w:cs="Arial"/>
          <w:sz w:val="22"/>
          <w:lang w:eastAsia="fr-FR"/>
        </w:rPr>
        <w:t>;</w:t>
      </w:r>
    </w:p>
    <w:p w:rsidR="00DD4B00" w:rsidRDefault="00DD4B00" w:rsidP="000D3C39">
      <w:pPr>
        <w:tabs>
          <w:tab w:val="center" w:pos="4536"/>
          <w:tab w:val="right" w:pos="9072"/>
        </w:tabs>
        <w:spacing w:line="240" w:lineRule="auto"/>
        <w:jc w:val="both"/>
        <w:rPr>
          <w:rFonts w:cs="Arial"/>
          <w:sz w:val="22"/>
          <w:lang w:eastAsia="fr-FR"/>
        </w:rPr>
      </w:pPr>
    </w:p>
    <w:p w:rsidR="00DD4B00" w:rsidRDefault="00DD4B00" w:rsidP="000D3C39">
      <w:pPr>
        <w:tabs>
          <w:tab w:val="center" w:pos="4536"/>
          <w:tab w:val="right" w:pos="9072"/>
        </w:tabs>
        <w:spacing w:line="240" w:lineRule="auto"/>
        <w:jc w:val="both"/>
        <w:rPr>
          <w:rFonts w:cs="Arial"/>
          <w:sz w:val="22"/>
          <w:lang w:eastAsia="fr-FR"/>
        </w:rPr>
      </w:pPr>
    </w:p>
    <w:p w:rsidR="00DD4B00" w:rsidRDefault="00DD4B00" w:rsidP="00DD4B00">
      <w:pPr>
        <w:tabs>
          <w:tab w:val="center" w:pos="4536"/>
          <w:tab w:val="right" w:pos="9072"/>
        </w:tabs>
        <w:spacing w:line="240" w:lineRule="auto"/>
        <w:jc w:val="both"/>
        <w:rPr>
          <w:rFonts w:cs="Arial"/>
          <w:sz w:val="22"/>
          <w:lang w:eastAsia="fr-FR"/>
        </w:rPr>
      </w:pPr>
      <w:r w:rsidRPr="002478DF">
        <w:rPr>
          <w:rFonts w:cs="Arial"/>
          <w:b/>
          <w:i/>
          <w:sz w:val="22"/>
          <w:lang w:eastAsia="fr-FR"/>
        </w:rPr>
        <w:t xml:space="preserve">Sur </w:t>
      </w:r>
      <w:r>
        <w:rPr>
          <w:rFonts w:cs="Arial"/>
          <w:b/>
          <w:i/>
          <w:sz w:val="22"/>
          <w:lang w:eastAsia="fr-FR"/>
        </w:rPr>
        <w:t>le prononcé d’une amende</w:t>
      </w:r>
    </w:p>
    <w:p w:rsidR="00A7671F" w:rsidRDefault="00A7671F" w:rsidP="000D3C39">
      <w:pPr>
        <w:tabs>
          <w:tab w:val="center" w:pos="4536"/>
          <w:tab w:val="right" w:pos="9072"/>
        </w:tabs>
        <w:spacing w:line="240" w:lineRule="auto"/>
        <w:jc w:val="both"/>
        <w:rPr>
          <w:rFonts w:cs="Arial"/>
          <w:sz w:val="22"/>
          <w:lang w:eastAsia="fr-FR"/>
        </w:rPr>
      </w:pPr>
    </w:p>
    <w:p w:rsidR="005A4097" w:rsidRPr="005A4097" w:rsidRDefault="005A4097" w:rsidP="005A4097">
      <w:pPr>
        <w:jc w:val="both"/>
        <w:rPr>
          <w:sz w:val="22"/>
        </w:rPr>
      </w:pPr>
      <w:r w:rsidRPr="005A4097">
        <w:rPr>
          <w:sz w:val="22"/>
        </w:rPr>
        <w:t xml:space="preserve">Attendu qu’aux termes de l’article 60-XI de la loi précitée du 23 février 1963, « les comptables de fait pourront, dans les cas où ils n’ont pas fait l’objet pour les mêmes </w:t>
      </w:r>
      <w:r w:rsidRPr="005A4097">
        <w:rPr>
          <w:sz w:val="22"/>
        </w:rPr>
        <w:lastRenderedPageBreak/>
        <w:t>opérations des poursuites au titre du délit prévu et réprimé par l’article 433-12 du Code pénal, être condamnés aux amendes prévues par la loi » ;</w:t>
      </w:r>
    </w:p>
    <w:p w:rsidR="005A4097" w:rsidRPr="005A4097" w:rsidRDefault="005A4097" w:rsidP="005A4097">
      <w:pPr>
        <w:jc w:val="both"/>
        <w:rPr>
          <w:sz w:val="22"/>
        </w:rPr>
      </w:pPr>
    </w:p>
    <w:p w:rsidR="005A4097" w:rsidRPr="005A4097" w:rsidRDefault="005A4097" w:rsidP="005A4097">
      <w:pPr>
        <w:jc w:val="both"/>
        <w:rPr>
          <w:sz w:val="22"/>
        </w:rPr>
      </w:pPr>
      <w:r w:rsidRPr="005A4097">
        <w:rPr>
          <w:sz w:val="22"/>
        </w:rPr>
        <w:t>Attendu que l’article L. </w:t>
      </w:r>
      <w:r>
        <w:rPr>
          <w:sz w:val="22"/>
        </w:rPr>
        <w:t>1</w:t>
      </w:r>
      <w:r w:rsidRPr="005A4097">
        <w:rPr>
          <w:sz w:val="22"/>
        </w:rPr>
        <w:t>31-11 du code des juridictions financières prévoit que « les comptables de fait peuvent, dans le cas où ils n’ont pas fait l’objet pour les mêmes opérations des poursuites prévues à l’article 433-12 du code pénal, être condamnés à l’amende (…) en raison de leur immixtion dans les fonctions de comptable public. Le montant de l’amende tient compte de l’importance et de la durée de la détention ou du maniement des deniers, des circonstances dans lesquelles l’immixtion dans les fonctions de comptable public s’est produite, ainsi que du comportement et de la situation matérielle du comptable de fait. Son montant ne pourra dépasser le total des sommes indûment détenues ou maniées » ;</w:t>
      </w:r>
    </w:p>
    <w:p w:rsidR="005A4097" w:rsidRPr="005A4097" w:rsidRDefault="005A4097" w:rsidP="005A4097">
      <w:pPr>
        <w:jc w:val="both"/>
        <w:rPr>
          <w:sz w:val="22"/>
        </w:rPr>
      </w:pPr>
    </w:p>
    <w:p w:rsidR="005A4097" w:rsidRPr="005A4097" w:rsidRDefault="005A4097" w:rsidP="004837E8">
      <w:pPr>
        <w:jc w:val="both"/>
        <w:rPr>
          <w:sz w:val="22"/>
        </w:rPr>
      </w:pPr>
      <w:r w:rsidRPr="005A4097">
        <w:rPr>
          <w:sz w:val="22"/>
        </w:rPr>
        <w:t>Attendu qu’en l’état de la procédure, il convient de surseoir à statuer sur l’</w:t>
      </w:r>
      <w:r w:rsidR="00BE490B">
        <w:rPr>
          <w:sz w:val="22"/>
        </w:rPr>
        <w:t>amende prévue par l’article L. 1</w:t>
      </w:r>
      <w:r w:rsidRPr="005A4097">
        <w:rPr>
          <w:sz w:val="22"/>
        </w:rPr>
        <w:t xml:space="preserve">31-11 du code des juridictions financières et l’article 60-XI de la loi n°63-156 du 23 février 1963 de finances pour 1963 ; </w:t>
      </w:r>
    </w:p>
    <w:p w:rsidR="005A4097" w:rsidRDefault="005A4097" w:rsidP="004837E8">
      <w:pPr>
        <w:jc w:val="both"/>
        <w:rPr>
          <w:sz w:val="22"/>
        </w:rPr>
      </w:pPr>
    </w:p>
    <w:p w:rsidR="00861FB6" w:rsidRPr="005A4097" w:rsidRDefault="00861FB6" w:rsidP="004837E8">
      <w:pPr>
        <w:jc w:val="both"/>
        <w:rPr>
          <w:sz w:val="22"/>
        </w:rPr>
      </w:pPr>
    </w:p>
    <w:p w:rsidR="005A4097" w:rsidRPr="00C13095" w:rsidRDefault="005A4097" w:rsidP="004837E8">
      <w:pPr>
        <w:tabs>
          <w:tab w:val="center" w:pos="4536"/>
          <w:tab w:val="right" w:pos="9072"/>
        </w:tabs>
        <w:spacing w:line="240" w:lineRule="auto"/>
        <w:jc w:val="both"/>
        <w:rPr>
          <w:rFonts w:cs="Arial"/>
          <w:sz w:val="22"/>
          <w:lang w:eastAsia="fr-FR"/>
        </w:rPr>
      </w:pPr>
      <w:r w:rsidRPr="00C13095">
        <w:rPr>
          <w:rFonts w:cs="Arial"/>
          <w:sz w:val="22"/>
          <w:lang w:eastAsia="fr-FR"/>
        </w:rPr>
        <w:t>Par ces motifs,</w:t>
      </w:r>
    </w:p>
    <w:p w:rsidR="005A4097" w:rsidRPr="00C13095" w:rsidRDefault="005A4097" w:rsidP="004837E8">
      <w:pPr>
        <w:tabs>
          <w:tab w:val="center" w:pos="4536"/>
          <w:tab w:val="right" w:pos="9072"/>
        </w:tabs>
        <w:spacing w:line="240" w:lineRule="auto"/>
        <w:jc w:val="both"/>
        <w:rPr>
          <w:rFonts w:cs="Arial"/>
          <w:sz w:val="22"/>
          <w:lang w:eastAsia="fr-FR"/>
        </w:rPr>
      </w:pPr>
    </w:p>
    <w:p w:rsidR="005A4097" w:rsidRPr="00C13095" w:rsidRDefault="005A4097" w:rsidP="0076395C">
      <w:pPr>
        <w:tabs>
          <w:tab w:val="center" w:pos="4536"/>
          <w:tab w:val="right" w:pos="9072"/>
        </w:tabs>
        <w:spacing w:line="240" w:lineRule="auto"/>
        <w:jc w:val="center"/>
        <w:rPr>
          <w:rFonts w:cs="Arial"/>
          <w:sz w:val="22"/>
          <w:lang w:eastAsia="fr-FR"/>
        </w:rPr>
      </w:pPr>
      <w:r w:rsidRPr="00C13095">
        <w:rPr>
          <w:rFonts w:cs="Arial"/>
          <w:sz w:val="22"/>
          <w:lang w:eastAsia="fr-FR"/>
        </w:rPr>
        <w:t>DÉCIDE :</w:t>
      </w:r>
    </w:p>
    <w:p w:rsidR="005A4097" w:rsidRPr="005A4097" w:rsidRDefault="005A4097" w:rsidP="004837E8">
      <w:pPr>
        <w:jc w:val="both"/>
        <w:rPr>
          <w:sz w:val="22"/>
        </w:rPr>
      </w:pPr>
    </w:p>
    <w:p w:rsidR="005A4097" w:rsidRPr="005A4097" w:rsidRDefault="005A4097" w:rsidP="004837E8">
      <w:pPr>
        <w:jc w:val="both"/>
        <w:rPr>
          <w:sz w:val="22"/>
        </w:rPr>
      </w:pPr>
      <w:r w:rsidRPr="00863D02">
        <w:rPr>
          <w:b/>
          <w:sz w:val="22"/>
        </w:rPr>
        <w:t>Article 1</w:t>
      </w:r>
      <w:r w:rsidR="0076395C" w:rsidRPr="0076395C">
        <w:rPr>
          <w:sz w:val="22"/>
          <w:vertAlign w:val="superscript"/>
        </w:rPr>
        <w:t>er</w:t>
      </w:r>
      <w:r w:rsidRPr="005A4097">
        <w:rPr>
          <w:sz w:val="22"/>
        </w:rPr>
        <w:t> : </w:t>
      </w:r>
      <w:r>
        <w:rPr>
          <w:sz w:val="22"/>
        </w:rPr>
        <w:t xml:space="preserve">Le général </w:t>
      </w:r>
      <w:r w:rsidR="004E7804">
        <w:rPr>
          <w:sz w:val="22"/>
        </w:rPr>
        <w:t>Z</w:t>
      </w:r>
      <w:r>
        <w:rPr>
          <w:sz w:val="22"/>
        </w:rPr>
        <w:t xml:space="preserve"> et le général </w:t>
      </w:r>
      <w:r w:rsidR="004E7804">
        <w:rPr>
          <w:sz w:val="22"/>
        </w:rPr>
        <w:t>A</w:t>
      </w:r>
      <w:r w:rsidRPr="005A4097">
        <w:rPr>
          <w:sz w:val="22"/>
        </w:rPr>
        <w:t xml:space="preserve"> sont déclarés conjointement et solidairement comptables de fait des deniers </w:t>
      </w:r>
      <w:r>
        <w:rPr>
          <w:sz w:val="22"/>
        </w:rPr>
        <w:t>publics du ministère de la défense</w:t>
      </w:r>
      <w:r w:rsidRPr="005A4097">
        <w:rPr>
          <w:sz w:val="22"/>
        </w:rPr>
        <w:t>, à raison des sommes indument détenues ou maniées durant la période du</w:t>
      </w:r>
      <w:r w:rsidR="00863D02">
        <w:rPr>
          <w:sz w:val="22"/>
        </w:rPr>
        <w:t xml:space="preserve"> </w:t>
      </w:r>
      <w:r>
        <w:rPr>
          <w:sz w:val="22"/>
        </w:rPr>
        <w:t>1</w:t>
      </w:r>
      <w:r w:rsidRPr="0076395C">
        <w:rPr>
          <w:sz w:val="22"/>
          <w:vertAlign w:val="superscript"/>
        </w:rPr>
        <w:t>er</w:t>
      </w:r>
      <w:r>
        <w:rPr>
          <w:sz w:val="22"/>
        </w:rPr>
        <w:t xml:space="preserve"> janvier 2011 au 31 décembre 2012</w:t>
      </w:r>
      <w:r w:rsidRPr="005A4097">
        <w:rPr>
          <w:sz w:val="22"/>
        </w:rPr>
        <w:t xml:space="preserve"> au titre des opérations décrites dans le présent </w:t>
      </w:r>
      <w:r>
        <w:rPr>
          <w:sz w:val="22"/>
        </w:rPr>
        <w:t>arrêt</w:t>
      </w:r>
      <w:r w:rsidR="00863D02">
        <w:rPr>
          <w:sz w:val="22"/>
        </w:rPr>
        <w:t>.</w:t>
      </w:r>
    </w:p>
    <w:p w:rsidR="005A4097" w:rsidRPr="005A4097" w:rsidRDefault="005A4097" w:rsidP="004837E8">
      <w:pPr>
        <w:jc w:val="both"/>
        <w:rPr>
          <w:sz w:val="22"/>
        </w:rPr>
      </w:pPr>
    </w:p>
    <w:p w:rsidR="005A4097" w:rsidRPr="005A4097" w:rsidRDefault="005A4097" w:rsidP="004837E8">
      <w:pPr>
        <w:jc w:val="both"/>
        <w:rPr>
          <w:sz w:val="22"/>
        </w:rPr>
      </w:pPr>
      <w:r w:rsidRPr="00863D02">
        <w:rPr>
          <w:b/>
          <w:sz w:val="22"/>
        </w:rPr>
        <w:t>Article 2</w:t>
      </w:r>
      <w:r w:rsidRPr="005A4097">
        <w:rPr>
          <w:sz w:val="22"/>
        </w:rPr>
        <w:t> : </w:t>
      </w:r>
      <w:r w:rsidR="004E7804">
        <w:rPr>
          <w:sz w:val="22"/>
        </w:rPr>
        <w:t>M. X</w:t>
      </w:r>
      <w:r>
        <w:rPr>
          <w:sz w:val="22"/>
        </w:rPr>
        <w:t xml:space="preserve"> est déclaré comptable de fait, conjointement et solidairement avec les généraux </w:t>
      </w:r>
      <w:r w:rsidR="004E7804">
        <w:rPr>
          <w:sz w:val="22"/>
        </w:rPr>
        <w:t>Z</w:t>
      </w:r>
      <w:r>
        <w:rPr>
          <w:sz w:val="22"/>
        </w:rPr>
        <w:t xml:space="preserve"> et </w:t>
      </w:r>
      <w:r w:rsidR="004E7804">
        <w:rPr>
          <w:sz w:val="22"/>
        </w:rPr>
        <w:t>A</w:t>
      </w:r>
      <w:r>
        <w:rPr>
          <w:sz w:val="22"/>
        </w:rPr>
        <w:t xml:space="preserve">, </w:t>
      </w:r>
      <w:r w:rsidRPr="005A4097">
        <w:rPr>
          <w:sz w:val="22"/>
        </w:rPr>
        <w:t>à raison des sommes indument détenues ou maniées durant la</w:t>
      </w:r>
      <w:r>
        <w:rPr>
          <w:sz w:val="22"/>
        </w:rPr>
        <w:t xml:space="preserve"> seule</w:t>
      </w:r>
      <w:r w:rsidRPr="005A4097">
        <w:rPr>
          <w:sz w:val="22"/>
        </w:rPr>
        <w:t xml:space="preserve"> période du </w:t>
      </w:r>
      <w:r>
        <w:rPr>
          <w:sz w:val="22"/>
        </w:rPr>
        <w:t>29 mars 2012 au 31 décembre 2012</w:t>
      </w:r>
      <w:r w:rsidRPr="005A4097">
        <w:rPr>
          <w:sz w:val="22"/>
        </w:rPr>
        <w:t xml:space="preserve"> au titre des opérations décrites dans le présent </w:t>
      </w:r>
      <w:r>
        <w:rPr>
          <w:sz w:val="22"/>
        </w:rPr>
        <w:t>arrêt</w:t>
      </w:r>
      <w:r w:rsidR="00863D02">
        <w:rPr>
          <w:sz w:val="22"/>
        </w:rPr>
        <w:t>.</w:t>
      </w:r>
    </w:p>
    <w:p w:rsidR="005A4097" w:rsidRPr="005A4097" w:rsidRDefault="005A4097" w:rsidP="004837E8">
      <w:pPr>
        <w:jc w:val="both"/>
        <w:rPr>
          <w:sz w:val="22"/>
        </w:rPr>
      </w:pPr>
    </w:p>
    <w:p w:rsidR="004837E8" w:rsidRDefault="005A4097" w:rsidP="004837E8">
      <w:pPr>
        <w:jc w:val="both"/>
        <w:rPr>
          <w:sz w:val="22"/>
        </w:rPr>
      </w:pPr>
      <w:r w:rsidRPr="00863D02">
        <w:rPr>
          <w:b/>
          <w:sz w:val="22"/>
        </w:rPr>
        <w:t>Article 3</w:t>
      </w:r>
      <w:r w:rsidRPr="005A4097">
        <w:rPr>
          <w:sz w:val="22"/>
        </w:rPr>
        <w:t> : </w:t>
      </w:r>
      <w:r w:rsidR="00385A52">
        <w:rPr>
          <w:sz w:val="22"/>
        </w:rPr>
        <w:t>En</w:t>
      </w:r>
      <w:r w:rsidRPr="005A4097">
        <w:rPr>
          <w:sz w:val="22"/>
        </w:rPr>
        <w:t xml:space="preserve"> application de</w:t>
      </w:r>
      <w:r w:rsidR="00385A52">
        <w:rPr>
          <w:sz w:val="22"/>
        </w:rPr>
        <w:t>s dispositions de l’article L. 1</w:t>
      </w:r>
      <w:r w:rsidRPr="005A4097">
        <w:rPr>
          <w:sz w:val="22"/>
        </w:rPr>
        <w:t>31-</w:t>
      </w:r>
      <w:r w:rsidR="00385A52">
        <w:rPr>
          <w:sz w:val="22"/>
        </w:rPr>
        <w:t>2</w:t>
      </w:r>
      <w:r w:rsidRPr="005A4097">
        <w:rPr>
          <w:sz w:val="22"/>
        </w:rPr>
        <w:t xml:space="preserve"> du code des juridictions financières</w:t>
      </w:r>
      <w:r w:rsidR="00E17E63">
        <w:rPr>
          <w:sz w:val="22"/>
        </w:rPr>
        <w:t xml:space="preserve"> et des règles comptables et budgétaires de l’</w:t>
      </w:r>
      <w:proofErr w:type="spellStart"/>
      <w:r w:rsidR="00E17E63">
        <w:rPr>
          <w:sz w:val="22"/>
        </w:rPr>
        <w:t>Etat</w:t>
      </w:r>
      <w:proofErr w:type="spellEnd"/>
      <w:r w:rsidR="00E17E63">
        <w:rPr>
          <w:sz w:val="22"/>
        </w:rPr>
        <w:t xml:space="preserve"> visées au présent arrêt</w:t>
      </w:r>
      <w:r w:rsidRPr="005A4097">
        <w:rPr>
          <w:sz w:val="22"/>
        </w:rPr>
        <w:t xml:space="preserve">, </w:t>
      </w:r>
      <w:r w:rsidR="00385A52">
        <w:rPr>
          <w:sz w:val="22"/>
        </w:rPr>
        <w:t xml:space="preserve">il appartient </w:t>
      </w:r>
      <w:r w:rsidR="00556AB6">
        <w:rPr>
          <w:sz w:val="22"/>
        </w:rPr>
        <w:t xml:space="preserve">aux généraux </w:t>
      </w:r>
      <w:r w:rsidR="004E7804">
        <w:rPr>
          <w:sz w:val="22"/>
        </w:rPr>
        <w:t>Z</w:t>
      </w:r>
      <w:r w:rsidR="00385A52">
        <w:rPr>
          <w:sz w:val="22"/>
        </w:rPr>
        <w:t xml:space="preserve"> et</w:t>
      </w:r>
      <w:r>
        <w:rPr>
          <w:sz w:val="22"/>
        </w:rPr>
        <w:t xml:space="preserve"> </w:t>
      </w:r>
      <w:r w:rsidR="004E7804">
        <w:rPr>
          <w:sz w:val="22"/>
        </w:rPr>
        <w:t>A</w:t>
      </w:r>
      <w:r>
        <w:rPr>
          <w:sz w:val="22"/>
        </w:rPr>
        <w:t xml:space="preserve"> et à </w:t>
      </w:r>
      <w:r w:rsidR="004E7804">
        <w:rPr>
          <w:sz w:val="22"/>
        </w:rPr>
        <w:t>M. X</w:t>
      </w:r>
      <w:r w:rsidR="00385A52">
        <w:rPr>
          <w:sz w:val="22"/>
        </w:rPr>
        <w:t>,</w:t>
      </w:r>
      <w:r w:rsidRPr="005A4097">
        <w:rPr>
          <w:sz w:val="22"/>
        </w:rPr>
        <w:t xml:space="preserve"> dans un délai de </w:t>
      </w:r>
      <w:r w:rsidR="004837E8">
        <w:rPr>
          <w:sz w:val="22"/>
        </w:rPr>
        <w:t>trois</w:t>
      </w:r>
      <w:r w:rsidRPr="005A4097">
        <w:rPr>
          <w:sz w:val="22"/>
        </w:rPr>
        <w:t xml:space="preserve"> mois à compter de la notification du présent </w:t>
      </w:r>
      <w:r w:rsidR="004837E8">
        <w:rPr>
          <w:sz w:val="22"/>
        </w:rPr>
        <w:t>arrêt :</w:t>
      </w:r>
    </w:p>
    <w:p w:rsidR="0076395C" w:rsidRDefault="0076395C" w:rsidP="004837E8">
      <w:pPr>
        <w:jc w:val="both"/>
        <w:rPr>
          <w:sz w:val="22"/>
        </w:rPr>
      </w:pPr>
    </w:p>
    <w:p w:rsidR="004837E8" w:rsidRDefault="00863D02" w:rsidP="0076395C">
      <w:pPr>
        <w:tabs>
          <w:tab w:val="center" w:pos="4536"/>
          <w:tab w:val="right" w:pos="9072"/>
        </w:tabs>
        <w:spacing w:line="240" w:lineRule="auto"/>
        <w:ind w:left="284"/>
        <w:jc w:val="both"/>
        <w:rPr>
          <w:rFonts w:cs="Arial"/>
          <w:sz w:val="22"/>
          <w:lang w:eastAsia="fr-FR"/>
        </w:rPr>
      </w:pPr>
      <w:r>
        <w:rPr>
          <w:rFonts w:cs="Arial"/>
          <w:sz w:val="22"/>
          <w:lang w:eastAsia="fr-FR"/>
        </w:rPr>
        <w:t>– </w:t>
      </w:r>
      <w:r w:rsidR="004837E8">
        <w:rPr>
          <w:rFonts w:cs="Arial"/>
          <w:sz w:val="22"/>
          <w:lang w:eastAsia="fr-FR"/>
        </w:rPr>
        <w:t>1/</w:t>
      </w:r>
      <w:r w:rsidR="00385A52" w:rsidRPr="00385A52">
        <w:rPr>
          <w:sz w:val="22"/>
        </w:rPr>
        <w:t xml:space="preserve"> </w:t>
      </w:r>
      <w:r w:rsidR="00385A52" w:rsidRPr="005A4097">
        <w:rPr>
          <w:sz w:val="22"/>
        </w:rPr>
        <w:t xml:space="preserve">de produire </w:t>
      </w:r>
      <w:r w:rsidR="004837E8" w:rsidRPr="005A4097">
        <w:rPr>
          <w:sz w:val="22"/>
        </w:rPr>
        <w:t xml:space="preserve">un compte unique </w:t>
      </w:r>
      <w:r w:rsidR="004837E8" w:rsidRPr="003F42D2">
        <w:rPr>
          <w:rFonts w:cs="Arial"/>
          <w:sz w:val="22"/>
          <w:lang w:eastAsia="fr-FR"/>
        </w:rPr>
        <w:t>de la gestion de fait ci</w:t>
      </w:r>
      <w:r w:rsidR="004837E8">
        <w:rPr>
          <w:rFonts w:cs="Arial"/>
          <w:sz w:val="22"/>
          <w:lang w:eastAsia="fr-FR"/>
        </w:rPr>
        <w:t>-</w:t>
      </w:r>
      <w:r w:rsidR="004837E8" w:rsidRPr="003F42D2">
        <w:rPr>
          <w:rFonts w:cs="Arial"/>
          <w:sz w:val="22"/>
          <w:lang w:eastAsia="fr-FR"/>
        </w:rPr>
        <w:t>avant définie, d</w:t>
      </w:r>
      <w:r w:rsidR="00E17E63">
        <w:rPr>
          <w:rFonts w:cs="Arial"/>
          <w:sz w:val="22"/>
          <w:lang w:eastAsia="fr-FR"/>
        </w:rPr>
        <w:t>û</w:t>
      </w:r>
      <w:r w:rsidR="004837E8" w:rsidRPr="003F42D2">
        <w:rPr>
          <w:rFonts w:cs="Arial"/>
          <w:sz w:val="22"/>
          <w:lang w:eastAsia="fr-FR"/>
        </w:rPr>
        <w:t>ment certifié et signé par chacun d'eux en ce qui le concerne, retraçant, tant en recettes qu'en dépenses, la totalité des op</w:t>
      </w:r>
      <w:r w:rsidR="004837E8">
        <w:rPr>
          <w:rFonts w:cs="Arial"/>
          <w:sz w:val="22"/>
          <w:lang w:eastAsia="fr-FR"/>
        </w:rPr>
        <w:t xml:space="preserve">érations de caisse intervenues </w:t>
      </w:r>
      <w:r w:rsidR="004837E8" w:rsidRPr="003F42D2">
        <w:rPr>
          <w:rFonts w:cs="Arial"/>
          <w:sz w:val="22"/>
          <w:lang w:eastAsia="fr-FR"/>
        </w:rPr>
        <w:t xml:space="preserve">entre le </w:t>
      </w:r>
      <w:r w:rsidR="004837E8">
        <w:rPr>
          <w:rFonts w:cs="Arial"/>
          <w:sz w:val="22"/>
          <w:lang w:eastAsia="fr-FR"/>
        </w:rPr>
        <w:t>1</w:t>
      </w:r>
      <w:r w:rsidR="004837E8" w:rsidRPr="00863D02">
        <w:rPr>
          <w:rFonts w:cs="Arial"/>
          <w:sz w:val="22"/>
          <w:vertAlign w:val="superscript"/>
          <w:lang w:eastAsia="fr-FR"/>
        </w:rPr>
        <w:t>er</w:t>
      </w:r>
      <w:r>
        <w:rPr>
          <w:rFonts w:cs="Arial"/>
          <w:sz w:val="22"/>
          <w:lang w:eastAsia="fr-FR"/>
        </w:rPr>
        <w:t xml:space="preserve"> </w:t>
      </w:r>
      <w:r w:rsidR="004837E8">
        <w:rPr>
          <w:rFonts w:cs="Arial"/>
          <w:sz w:val="22"/>
          <w:lang w:eastAsia="fr-FR"/>
        </w:rPr>
        <w:t>janvier 2011 et le</w:t>
      </w:r>
      <w:r>
        <w:rPr>
          <w:rFonts w:cs="Arial"/>
          <w:sz w:val="22"/>
          <w:lang w:eastAsia="fr-FR"/>
        </w:rPr>
        <w:t xml:space="preserve"> </w:t>
      </w:r>
      <w:r w:rsidR="004837E8">
        <w:rPr>
          <w:rFonts w:cs="Arial"/>
          <w:sz w:val="22"/>
          <w:lang w:eastAsia="fr-FR"/>
        </w:rPr>
        <w:t>31 décembre 2012</w:t>
      </w:r>
      <w:r w:rsidR="004837E8" w:rsidRPr="005A4097">
        <w:rPr>
          <w:sz w:val="22"/>
        </w:rPr>
        <w:t>, y compris le cas échéant les intérêts produits par les sommes indument détenues, accompagné de toutes les pièces justificatives et précisions utiles</w:t>
      </w:r>
      <w:r>
        <w:rPr>
          <w:sz w:val="22"/>
        </w:rPr>
        <w:t> </w:t>
      </w:r>
      <w:r>
        <w:rPr>
          <w:rFonts w:cs="Arial"/>
          <w:sz w:val="22"/>
          <w:lang w:eastAsia="fr-FR"/>
        </w:rPr>
        <w:t>;</w:t>
      </w:r>
    </w:p>
    <w:p w:rsidR="0076395C" w:rsidRPr="003F42D2" w:rsidRDefault="0076395C" w:rsidP="0076395C">
      <w:pPr>
        <w:tabs>
          <w:tab w:val="center" w:pos="4536"/>
          <w:tab w:val="right" w:pos="9072"/>
        </w:tabs>
        <w:spacing w:line="240" w:lineRule="auto"/>
        <w:ind w:left="284"/>
        <w:jc w:val="both"/>
        <w:rPr>
          <w:rFonts w:cs="Arial"/>
          <w:sz w:val="22"/>
          <w:lang w:eastAsia="fr-FR"/>
        </w:rPr>
      </w:pPr>
    </w:p>
    <w:p w:rsidR="004837E8" w:rsidRDefault="00863D02" w:rsidP="0076395C">
      <w:pPr>
        <w:tabs>
          <w:tab w:val="center" w:pos="4536"/>
          <w:tab w:val="right" w:pos="9072"/>
        </w:tabs>
        <w:spacing w:line="240" w:lineRule="auto"/>
        <w:ind w:left="284"/>
        <w:jc w:val="both"/>
        <w:rPr>
          <w:rFonts w:cs="Arial"/>
          <w:sz w:val="22"/>
          <w:lang w:eastAsia="fr-FR"/>
        </w:rPr>
      </w:pPr>
      <w:r>
        <w:rPr>
          <w:rFonts w:cs="Arial"/>
          <w:sz w:val="22"/>
          <w:lang w:eastAsia="fr-FR"/>
        </w:rPr>
        <w:t>– </w:t>
      </w:r>
      <w:r w:rsidR="004837E8">
        <w:rPr>
          <w:rFonts w:cs="Arial"/>
          <w:sz w:val="22"/>
          <w:lang w:eastAsia="fr-FR"/>
        </w:rPr>
        <w:t>2</w:t>
      </w:r>
      <w:r w:rsidR="004837E8" w:rsidRPr="003F42D2">
        <w:rPr>
          <w:rFonts w:cs="Arial"/>
          <w:sz w:val="22"/>
          <w:lang w:eastAsia="fr-FR"/>
        </w:rPr>
        <w:t xml:space="preserve">/ </w:t>
      </w:r>
      <w:r w:rsidR="00385A52">
        <w:rPr>
          <w:rFonts w:cs="Arial"/>
          <w:sz w:val="22"/>
          <w:lang w:eastAsia="fr-FR"/>
        </w:rPr>
        <w:t xml:space="preserve">d’apporter </w:t>
      </w:r>
      <w:r w:rsidR="004837E8" w:rsidRPr="003F42D2">
        <w:rPr>
          <w:rFonts w:cs="Arial"/>
          <w:sz w:val="22"/>
          <w:lang w:eastAsia="fr-FR"/>
        </w:rPr>
        <w:t xml:space="preserve">la preuve du reversement dans la caisse du </w:t>
      </w:r>
      <w:r w:rsidR="004837E8">
        <w:rPr>
          <w:rFonts w:cs="Arial"/>
          <w:sz w:val="22"/>
          <w:lang w:eastAsia="fr-FR"/>
        </w:rPr>
        <w:t xml:space="preserve">directeur départemental des finances publiques du Finistère </w:t>
      </w:r>
      <w:r w:rsidR="004837E8" w:rsidRPr="005A4097">
        <w:rPr>
          <w:sz w:val="22"/>
        </w:rPr>
        <w:t xml:space="preserve">de la totalité des recettes inscrites au compte ou, le cas échéant, </w:t>
      </w:r>
      <w:r w:rsidR="00385A52">
        <w:rPr>
          <w:sz w:val="22"/>
        </w:rPr>
        <w:t xml:space="preserve">de </w:t>
      </w:r>
      <w:r w:rsidR="004837E8" w:rsidRPr="005A4097">
        <w:rPr>
          <w:sz w:val="22"/>
        </w:rPr>
        <w:t>l’excédent des recettes sur les dépenses</w:t>
      </w:r>
      <w:r w:rsidR="004837E8">
        <w:rPr>
          <w:rFonts w:cs="Arial"/>
          <w:sz w:val="22"/>
          <w:lang w:eastAsia="fr-FR"/>
        </w:rPr>
        <w:t> ;</w:t>
      </w:r>
    </w:p>
    <w:p w:rsidR="0076395C" w:rsidRPr="003F42D2" w:rsidRDefault="0076395C" w:rsidP="0076395C">
      <w:pPr>
        <w:tabs>
          <w:tab w:val="center" w:pos="4536"/>
          <w:tab w:val="right" w:pos="9072"/>
        </w:tabs>
        <w:spacing w:line="240" w:lineRule="auto"/>
        <w:ind w:left="284"/>
        <w:jc w:val="both"/>
        <w:rPr>
          <w:rFonts w:cs="Arial"/>
          <w:sz w:val="22"/>
          <w:lang w:eastAsia="fr-FR"/>
        </w:rPr>
      </w:pPr>
    </w:p>
    <w:p w:rsidR="004837E8" w:rsidRPr="003F42D2" w:rsidRDefault="00863D02" w:rsidP="0076395C">
      <w:pPr>
        <w:tabs>
          <w:tab w:val="center" w:pos="4536"/>
          <w:tab w:val="right" w:pos="9072"/>
        </w:tabs>
        <w:spacing w:line="240" w:lineRule="auto"/>
        <w:ind w:left="284"/>
        <w:jc w:val="both"/>
        <w:rPr>
          <w:rFonts w:cs="Arial"/>
          <w:sz w:val="22"/>
          <w:lang w:eastAsia="fr-FR"/>
        </w:rPr>
      </w:pPr>
      <w:r>
        <w:rPr>
          <w:rFonts w:cs="Arial"/>
          <w:sz w:val="22"/>
          <w:lang w:eastAsia="fr-FR"/>
        </w:rPr>
        <w:t>– </w:t>
      </w:r>
      <w:r w:rsidR="004837E8">
        <w:rPr>
          <w:rFonts w:cs="Arial"/>
          <w:sz w:val="22"/>
          <w:lang w:eastAsia="fr-FR"/>
        </w:rPr>
        <w:t>3</w:t>
      </w:r>
      <w:r w:rsidR="004837E8" w:rsidRPr="003F42D2">
        <w:rPr>
          <w:rFonts w:cs="Arial"/>
          <w:sz w:val="22"/>
          <w:lang w:eastAsia="fr-FR"/>
        </w:rPr>
        <w:t xml:space="preserve">/ </w:t>
      </w:r>
      <w:r w:rsidR="00385A52">
        <w:rPr>
          <w:rFonts w:cs="Arial"/>
          <w:sz w:val="22"/>
          <w:lang w:eastAsia="fr-FR"/>
        </w:rPr>
        <w:t xml:space="preserve">d’obtenir </w:t>
      </w:r>
      <w:r w:rsidR="004837E8" w:rsidRPr="003F42D2">
        <w:rPr>
          <w:rFonts w:cs="Arial"/>
          <w:sz w:val="22"/>
          <w:lang w:eastAsia="fr-FR"/>
        </w:rPr>
        <w:t>la reconnaissance, par l'autorité compétente, de l'utilité publique des dépenses de la gestion de fait, cette obligation constituant une condition nécessaire de leur allocation par la Cour au stade de la fixation de la ligne de compte</w:t>
      </w:r>
      <w:r>
        <w:rPr>
          <w:rFonts w:cs="Arial"/>
          <w:sz w:val="22"/>
          <w:lang w:eastAsia="fr-FR"/>
        </w:rPr>
        <w:t>.</w:t>
      </w:r>
    </w:p>
    <w:p w:rsidR="000F7B52" w:rsidRDefault="000F7B52" w:rsidP="004837E8">
      <w:pPr>
        <w:jc w:val="both"/>
        <w:rPr>
          <w:sz w:val="22"/>
        </w:rPr>
      </w:pPr>
    </w:p>
    <w:p w:rsidR="00861FB6" w:rsidRPr="005A4097" w:rsidRDefault="00861FB6" w:rsidP="00861FB6">
      <w:pPr>
        <w:jc w:val="both"/>
        <w:rPr>
          <w:sz w:val="22"/>
        </w:rPr>
      </w:pPr>
      <w:r w:rsidRPr="00863D02">
        <w:rPr>
          <w:b/>
          <w:sz w:val="22"/>
        </w:rPr>
        <w:t xml:space="preserve">Article </w:t>
      </w:r>
      <w:r w:rsidR="00FC3327" w:rsidRPr="00863D02">
        <w:rPr>
          <w:b/>
          <w:sz w:val="22"/>
        </w:rPr>
        <w:t>4</w:t>
      </w:r>
      <w:r w:rsidRPr="005A4097">
        <w:rPr>
          <w:sz w:val="22"/>
        </w:rPr>
        <w:t> : </w:t>
      </w:r>
      <w:r>
        <w:rPr>
          <w:sz w:val="22"/>
        </w:rPr>
        <w:t>Il</w:t>
      </w:r>
      <w:r w:rsidRPr="005A4097">
        <w:rPr>
          <w:sz w:val="22"/>
        </w:rPr>
        <w:t xml:space="preserve"> </w:t>
      </w:r>
      <w:r>
        <w:rPr>
          <w:sz w:val="22"/>
        </w:rPr>
        <w:t xml:space="preserve">n’y a pas lieu à déclaration de gestion de fait à l’encontre du fonds de dotation Saint-Cyr Grande </w:t>
      </w:r>
      <w:proofErr w:type="spellStart"/>
      <w:r>
        <w:rPr>
          <w:sz w:val="22"/>
        </w:rPr>
        <w:t>Ecole</w:t>
      </w:r>
      <w:proofErr w:type="spellEnd"/>
      <w:r>
        <w:rPr>
          <w:sz w:val="22"/>
        </w:rPr>
        <w:t xml:space="preserve"> et  de MM. </w:t>
      </w:r>
      <w:r w:rsidR="004E7804">
        <w:rPr>
          <w:sz w:val="22"/>
        </w:rPr>
        <w:t>Y</w:t>
      </w:r>
      <w:r>
        <w:rPr>
          <w:sz w:val="22"/>
        </w:rPr>
        <w:t xml:space="preserve"> et </w:t>
      </w:r>
      <w:r w:rsidR="004E7804">
        <w:rPr>
          <w:sz w:val="22"/>
        </w:rPr>
        <w:t>B</w:t>
      </w:r>
      <w:r w:rsidR="00863D02">
        <w:rPr>
          <w:sz w:val="22"/>
        </w:rPr>
        <w:t>.</w:t>
      </w:r>
    </w:p>
    <w:p w:rsidR="00861FB6" w:rsidRDefault="00861FB6" w:rsidP="004837E8">
      <w:pPr>
        <w:jc w:val="both"/>
        <w:rPr>
          <w:sz w:val="22"/>
        </w:rPr>
      </w:pPr>
    </w:p>
    <w:p w:rsidR="005A4097" w:rsidRPr="005A4097" w:rsidRDefault="005A4097" w:rsidP="004837E8">
      <w:pPr>
        <w:jc w:val="both"/>
        <w:rPr>
          <w:sz w:val="22"/>
        </w:rPr>
      </w:pPr>
      <w:r w:rsidRPr="00863D02">
        <w:rPr>
          <w:b/>
          <w:sz w:val="22"/>
        </w:rPr>
        <w:t xml:space="preserve">Article </w:t>
      </w:r>
      <w:r w:rsidR="00FC3327" w:rsidRPr="00863D02">
        <w:rPr>
          <w:b/>
          <w:sz w:val="22"/>
        </w:rPr>
        <w:t>5</w:t>
      </w:r>
      <w:r w:rsidRPr="005A4097">
        <w:rPr>
          <w:sz w:val="22"/>
        </w:rPr>
        <w:t> : </w:t>
      </w:r>
      <w:r w:rsidR="00556AB6">
        <w:rPr>
          <w:sz w:val="22"/>
        </w:rPr>
        <w:t>Il</w:t>
      </w:r>
      <w:r w:rsidRPr="005A4097">
        <w:rPr>
          <w:sz w:val="22"/>
        </w:rPr>
        <w:t xml:space="preserve"> est sursis à statuer</w:t>
      </w:r>
      <w:r w:rsidR="00556AB6">
        <w:rPr>
          <w:sz w:val="22"/>
        </w:rPr>
        <w:t>, jusqu’à la production du compte,</w:t>
      </w:r>
      <w:r w:rsidRPr="005A4097">
        <w:rPr>
          <w:sz w:val="22"/>
        </w:rPr>
        <w:t xml:space="preserve"> en ce qui concerne l’application de l’amende pour immixtion dans les fonctions de comptable public prévue à </w:t>
      </w:r>
      <w:r w:rsidRPr="005A4097">
        <w:rPr>
          <w:sz w:val="22"/>
        </w:rPr>
        <w:lastRenderedPageBreak/>
        <w:t>l’article L. </w:t>
      </w:r>
      <w:r w:rsidR="00556AB6">
        <w:rPr>
          <w:sz w:val="22"/>
        </w:rPr>
        <w:t>1</w:t>
      </w:r>
      <w:r w:rsidRPr="005A4097">
        <w:rPr>
          <w:sz w:val="22"/>
        </w:rPr>
        <w:t>31-11 du code des juridictions financières et l’article 60-XI de la loi n°63-156 du 23 février 1963</w:t>
      </w:r>
      <w:r w:rsidR="001A1443">
        <w:rPr>
          <w:sz w:val="22"/>
        </w:rPr>
        <w:t> ;</w:t>
      </w:r>
    </w:p>
    <w:p w:rsidR="005A4097" w:rsidRPr="005A4097" w:rsidRDefault="005A4097" w:rsidP="004837E8">
      <w:pPr>
        <w:jc w:val="both"/>
        <w:rPr>
          <w:sz w:val="22"/>
        </w:rPr>
      </w:pPr>
    </w:p>
    <w:p w:rsidR="005A4097" w:rsidRPr="005A4097" w:rsidRDefault="005A4097" w:rsidP="004837E8">
      <w:pPr>
        <w:jc w:val="both"/>
        <w:rPr>
          <w:sz w:val="22"/>
        </w:rPr>
      </w:pPr>
      <w:r w:rsidRPr="00863D02">
        <w:rPr>
          <w:b/>
          <w:sz w:val="22"/>
        </w:rPr>
        <w:t xml:space="preserve">Article </w:t>
      </w:r>
      <w:r w:rsidR="00FC3327" w:rsidRPr="00863D02">
        <w:rPr>
          <w:b/>
          <w:sz w:val="22"/>
        </w:rPr>
        <w:t>6</w:t>
      </w:r>
      <w:r w:rsidRPr="005A4097">
        <w:rPr>
          <w:sz w:val="22"/>
        </w:rPr>
        <w:t xml:space="preserve"> : Le présent </w:t>
      </w:r>
      <w:r w:rsidR="00556AB6">
        <w:rPr>
          <w:sz w:val="22"/>
        </w:rPr>
        <w:t>arrêt</w:t>
      </w:r>
      <w:r w:rsidRPr="005A4097">
        <w:rPr>
          <w:sz w:val="22"/>
        </w:rPr>
        <w:t xml:space="preserve"> sera notifié </w:t>
      </w:r>
      <w:r w:rsidR="00844701">
        <w:rPr>
          <w:sz w:val="22"/>
        </w:rPr>
        <w:t>aux généraux</w:t>
      </w:r>
      <w:r w:rsidR="00556AB6">
        <w:rPr>
          <w:sz w:val="22"/>
        </w:rPr>
        <w:t xml:space="preserve"> </w:t>
      </w:r>
      <w:r w:rsidR="004E7804">
        <w:rPr>
          <w:sz w:val="22"/>
        </w:rPr>
        <w:t>Z</w:t>
      </w:r>
      <w:r w:rsidR="00844701">
        <w:rPr>
          <w:sz w:val="22"/>
        </w:rPr>
        <w:t xml:space="preserve"> et</w:t>
      </w:r>
      <w:r w:rsidR="003D2DC8">
        <w:rPr>
          <w:sz w:val="22"/>
        </w:rPr>
        <w:t xml:space="preserve"> </w:t>
      </w:r>
      <w:r w:rsidR="004E7804">
        <w:rPr>
          <w:sz w:val="22"/>
        </w:rPr>
        <w:t>A</w:t>
      </w:r>
      <w:r w:rsidR="003D2DC8">
        <w:rPr>
          <w:sz w:val="22"/>
        </w:rPr>
        <w:t xml:space="preserve"> et </w:t>
      </w:r>
      <w:r w:rsidR="00844701">
        <w:rPr>
          <w:sz w:val="22"/>
        </w:rPr>
        <w:t xml:space="preserve">à </w:t>
      </w:r>
      <w:r w:rsidR="004E7804">
        <w:rPr>
          <w:sz w:val="22"/>
        </w:rPr>
        <w:t>M. X</w:t>
      </w:r>
      <w:r w:rsidR="00556AB6" w:rsidRPr="005A4097">
        <w:rPr>
          <w:sz w:val="22"/>
        </w:rPr>
        <w:t xml:space="preserve"> </w:t>
      </w:r>
      <w:r w:rsidRPr="005A4097">
        <w:rPr>
          <w:sz w:val="22"/>
        </w:rPr>
        <w:t xml:space="preserve">ainsi </w:t>
      </w:r>
      <w:r w:rsidR="004837E8">
        <w:rPr>
          <w:sz w:val="22"/>
        </w:rPr>
        <w:t xml:space="preserve">qu’au </w:t>
      </w:r>
      <w:r w:rsidR="00861FB6">
        <w:rPr>
          <w:sz w:val="22"/>
        </w:rPr>
        <w:t xml:space="preserve">fonds de dotation Saint-Cyr Grande </w:t>
      </w:r>
      <w:proofErr w:type="spellStart"/>
      <w:r w:rsidR="00861FB6">
        <w:rPr>
          <w:sz w:val="22"/>
        </w:rPr>
        <w:t>Ecole</w:t>
      </w:r>
      <w:proofErr w:type="spellEnd"/>
      <w:r w:rsidR="00861FB6">
        <w:rPr>
          <w:sz w:val="22"/>
        </w:rPr>
        <w:t xml:space="preserve"> et à</w:t>
      </w:r>
      <w:r w:rsidR="00863D02">
        <w:rPr>
          <w:sz w:val="22"/>
        </w:rPr>
        <w:t xml:space="preserve"> </w:t>
      </w:r>
      <w:r w:rsidR="00861FB6">
        <w:rPr>
          <w:sz w:val="22"/>
        </w:rPr>
        <w:t>MM</w:t>
      </w:r>
      <w:r w:rsidR="00082213">
        <w:rPr>
          <w:sz w:val="22"/>
        </w:rPr>
        <w:t>.</w:t>
      </w:r>
      <w:r w:rsidR="00861FB6">
        <w:rPr>
          <w:sz w:val="22"/>
        </w:rPr>
        <w:t xml:space="preserve"> </w:t>
      </w:r>
      <w:r w:rsidR="004E7804">
        <w:rPr>
          <w:sz w:val="22"/>
        </w:rPr>
        <w:t>Y</w:t>
      </w:r>
      <w:r w:rsidR="00861FB6">
        <w:rPr>
          <w:sz w:val="22"/>
        </w:rPr>
        <w:t xml:space="preserve"> et </w:t>
      </w:r>
      <w:r w:rsidR="004E7804">
        <w:rPr>
          <w:sz w:val="22"/>
        </w:rPr>
        <w:t>B</w:t>
      </w:r>
      <w:r w:rsidR="00863D02">
        <w:rPr>
          <w:sz w:val="22"/>
        </w:rPr>
        <w:t> ;</w:t>
      </w:r>
      <w:r w:rsidR="00861FB6">
        <w:rPr>
          <w:sz w:val="22"/>
        </w:rPr>
        <w:t xml:space="preserve"> il sera également notifié au </w:t>
      </w:r>
      <w:r w:rsidR="004837E8">
        <w:rPr>
          <w:sz w:val="22"/>
        </w:rPr>
        <w:t xml:space="preserve">ministre de la défense et au </w:t>
      </w:r>
      <w:r w:rsidR="004837E8">
        <w:rPr>
          <w:rFonts w:cs="Arial"/>
          <w:sz w:val="22"/>
          <w:lang w:eastAsia="fr-FR"/>
        </w:rPr>
        <w:t>directeur départemental des finances publiques du Finistère</w:t>
      </w:r>
      <w:r w:rsidRPr="005A4097">
        <w:rPr>
          <w:sz w:val="22"/>
        </w:rPr>
        <w:t>.</w:t>
      </w:r>
    </w:p>
    <w:p w:rsidR="00A7671F" w:rsidRDefault="00A7671F" w:rsidP="004837E8">
      <w:pPr>
        <w:tabs>
          <w:tab w:val="center" w:pos="4536"/>
          <w:tab w:val="right" w:pos="9072"/>
        </w:tabs>
        <w:spacing w:line="240" w:lineRule="auto"/>
        <w:jc w:val="both"/>
        <w:rPr>
          <w:rFonts w:cs="Arial"/>
          <w:sz w:val="22"/>
          <w:lang w:eastAsia="fr-FR"/>
        </w:rPr>
      </w:pPr>
    </w:p>
    <w:p w:rsidR="0076395C" w:rsidRDefault="003F6E4C" w:rsidP="003F6E4C">
      <w:pPr>
        <w:tabs>
          <w:tab w:val="center" w:pos="4536"/>
          <w:tab w:val="right" w:pos="9072"/>
        </w:tabs>
        <w:spacing w:line="240" w:lineRule="auto"/>
        <w:jc w:val="center"/>
        <w:rPr>
          <w:rFonts w:cs="Arial"/>
          <w:sz w:val="22"/>
          <w:lang w:eastAsia="fr-FR"/>
        </w:rPr>
      </w:pPr>
      <w:r>
        <w:rPr>
          <w:rFonts w:cs="Arial"/>
          <w:sz w:val="22"/>
          <w:lang w:eastAsia="fr-FR"/>
        </w:rPr>
        <w:t>------</w:t>
      </w:r>
    </w:p>
    <w:p w:rsidR="0076395C" w:rsidRPr="005A4097" w:rsidRDefault="0076395C" w:rsidP="004837E8">
      <w:pPr>
        <w:tabs>
          <w:tab w:val="center" w:pos="4536"/>
          <w:tab w:val="right" w:pos="9072"/>
        </w:tabs>
        <w:spacing w:line="240" w:lineRule="auto"/>
        <w:jc w:val="both"/>
        <w:rPr>
          <w:rFonts w:cs="Arial"/>
          <w:sz w:val="22"/>
          <w:lang w:eastAsia="fr-FR"/>
        </w:rPr>
      </w:pPr>
    </w:p>
    <w:p w:rsidR="009C6E76" w:rsidRPr="002478DF" w:rsidRDefault="009C6E76" w:rsidP="002478DF">
      <w:pPr>
        <w:tabs>
          <w:tab w:val="center" w:pos="4536"/>
          <w:tab w:val="right" w:pos="9072"/>
        </w:tabs>
        <w:spacing w:line="240" w:lineRule="auto"/>
        <w:jc w:val="both"/>
        <w:rPr>
          <w:rFonts w:cs="Arial"/>
          <w:sz w:val="22"/>
          <w:lang w:eastAsia="fr-FR"/>
        </w:rPr>
      </w:pPr>
      <w:r>
        <w:rPr>
          <w:rFonts w:cs="Arial"/>
          <w:sz w:val="22"/>
          <w:lang w:eastAsia="fr-FR"/>
        </w:rPr>
        <w:t>Fait et jugé en la Cour des comptes, deuxième chambre, le</w:t>
      </w:r>
      <w:r w:rsidR="000F7B52">
        <w:rPr>
          <w:rFonts w:cs="Arial"/>
          <w:sz w:val="22"/>
          <w:lang w:eastAsia="fr-FR"/>
        </w:rPr>
        <w:t xml:space="preserve"> vingt-trois juillet</w:t>
      </w:r>
      <w:r>
        <w:rPr>
          <w:rFonts w:cs="Arial"/>
          <w:sz w:val="22"/>
          <w:lang w:eastAsia="fr-FR"/>
        </w:rPr>
        <w:t xml:space="preserve"> deux mil quinze, par </w:t>
      </w:r>
      <w:r w:rsidR="000F7B52">
        <w:rPr>
          <w:rFonts w:cs="Arial"/>
          <w:sz w:val="22"/>
          <w:lang w:eastAsia="fr-FR"/>
        </w:rPr>
        <w:t xml:space="preserve">M. </w:t>
      </w:r>
      <w:r w:rsidR="00B30E2A">
        <w:rPr>
          <w:rFonts w:cs="Arial"/>
          <w:sz w:val="22"/>
          <w:lang w:eastAsia="fr-FR"/>
        </w:rPr>
        <w:t xml:space="preserve">Guy </w:t>
      </w:r>
      <w:r w:rsidR="000F7B52">
        <w:rPr>
          <w:rFonts w:cs="Arial"/>
          <w:sz w:val="22"/>
          <w:lang w:eastAsia="fr-FR"/>
        </w:rPr>
        <w:t>Piolé,</w:t>
      </w:r>
      <w:r w:rsidRPr="002478DF">
        <w:rPr>
          <w:rFonts w:cs="Arial"/>
          <w:sz w:val="22"/>
          <w:lang w:eastAsia="fr-FR"/>
        </w:rPr>
        <w:t xml:space="preserve"> </w:t>
      </w:r>
      <w:r w:rsidR="00B30E2A">
        <w:rPr>
          <w:rFonts w:cs="Arial"/>
          <w:sz w:val="22"/>
          <w:lang w:eastAsia="fr-FR"/>
        </w:rPr>
        <w:t xml:space="preserve">président de chambre, président de séance, </w:t>
      </w:r>
      <w:r w:rsidRPr="002478DF">
        <w:rPr>
          <w:rFonts w:cs="Arial"/>
          <w:sz w:val="22"/>
          <w:lang w:eastAsia="fr-FR"/>
        </w:rPr>
        <w:t>M</w:t>
      </w:r>
      <w:r w:rsidR="0076395C">
        <w:rPr>
          <w:rFonts w:cs="Arial"/>
          <w:sz w:val="22"/>
          <w:lang w:eastAsia="fr-FR"/>
        </w:rPr>
        <w:t>.</w:t>
      </w:r>
      <w:r w:rsidRPr="002478DF">
        <w:rPr>
          <w:rFonts w:cs="Arial"/>
          <w:sz w:val="22"/>
          <w:lang w:eastAsia="fr-FR"/>
        </w:rPr>
        <w:t xml:space="preserve"> </w:t>
      </w:r>
      <w:r w:rsidR="00B30E2A">
        <w:rPr>
          <w:rFonts w:cs="Arial"/>
          <w:sz w:val="22"/>
          <w:lang w:eastAsia="fr-FR"/>
        </w:rPr>
        <w:t xml:space="preserve">Michel </w:t>
      </w:r>
      <w:r w:rsidR="00BF1039">
        <w:rPr>
          <w:rFonts w:cs="Arial"/>
          <w:sz w:val="22"/>
          <w:lang w:eastAsia="fr-FR"/>
        </w:rPr>
        <w:t xml:space="preserve">Camoin, </w:t>
      </w:r>
      <w:r w:rsidR="00863D02" w:rsidRPr="00863D02">
        <w:rPr>
          <w:rFonts w:cs="Arial"/>
          <w:sz w:val="22"/>
          <w:lang w:eastAsia="fr-FR"/>
        </w:rPr>
        <w:t>M</w:t>
      </w:r>
      <w:r w:rsidR="00863D02" w:rsidRPr="00863D02">
        <w:rPr>
          <w:rFonts w:cs="Arial"/>
          <w:sz w:val="22"/>
          <w:vertAlign w:val="superscript"/>
          <w:lang w:eastAsia="fr-FR"/>
        </w:rPr>
        <w:t>me</w:t>
      </w:r>
      <w:r w:rsidR="00863D02">
        <w:rPr>
          <w:rFonts w:cs="Arial"/>
          <w:sz w:val="22"/>
          <w:lang w:eastAsia="fr-FR"/>
        </w:rPr>
        <w:t> </w:t>
      </w:r>
      <w:r w:rsidR="00B30E2A">
        <w:rPr>
          <w:rFonts w:cs="Arial"/>
          <w:sz w:val="22"/>
          <w:lang w:eastAsia="fr-FR"/>
        </w:rPr>
        <w:t xml:space="preserve">Françoise </w:t>
      </w:r>
      <w:proofErr w:type="spellStart"/>
      <w:r w:rsidR="009171A5">
        <w:rPr>
          <w:rFonts w:cs="Arial"/>
          <w:sz w:val="22"/>
          <w:lang w:eastAsia="fr-FR"/>
        </w:rPr>
        <w:t>Saliou</w:t>
      </w:r>
      <w:proofErr w:type="spellEnd"/>
      <w:r>
        <w:rPr>
          <w:rFonts w:cs="Arial"/>
          <w:sz w:val="22"/>
          <w:lang w:eastAsia="fr-FR"/>
        </w:rPr>
        <w:t>,</w:t>
      </w:r>
      <w:r w:rsidR="009171A5">
        <w:rPr>
          <w:rFonts w:cs="Arial"/>
          <w:sz w:val="22"/>
          <w:lang w:eastAsia="fr-FR"/>
        </w:rPr>
        <w:t xml:space="preserve"> M. </w:t>
      </w:r>
      <w:r w:rsidR="00385A52">
        <w:rPr>
          <w:rFonts w:cs="Arial"/>
          <w:sz w:val="22"/>
          <w:lang w:eastAsia="fr-FR"/>
        </w:rPr>
        <w:t>Olivier Mousson</w:t>
      </w:r>
      <w:r w:rsidR="009171A5">
        <w:rPr>
          <w:rFonts w:cs="Arial"/>
          <w:sz w:val="22"/>
          <w:lang w:eastAsia="fr-FR"/>
        </w:rPr>
        <w:t xml:space="preserve">, </w:t>
      </w:r>
      <w:r w:rsidR="00863D02" w:rsidRPr="00863D02">
        <w:rPr>
          <w:rFonts w:cs="Arial"/>
          <w:sz w:val="22"/>
          <w:lang w:eastAsia="fr-FR"/>
        </w:rPr>
        <w:t>M</w:t>
      </w:r>
      <w:r w:rsidR="00863D02" w:rsidRPr="00863D02">
        <w:rPr>
          <w:rFonts w:cs="Arial"/>
          <w:sz w:val="22"/>
          <w:vertAlign w:val="superscript"/>
          <w:lang w:eastAsia="fr-FR"/>
        </w:rPr>
        <w:t>me</w:t>
      </w:r>
      <w:r w:rsidR="00863D02">
        <w:rPr>
          <w:rFonts w:cs="Arial"/>
          <w:sz w:val="22"/>
          <w:lang w:eastAsia="fr-FR"/>
        </w:rPr>
        <w:t> </w:t>
      </w:r>
      <w:r w:rsidR="00B30E2A">
        <w:rPr>
          <w:rFonts w:cs="Arial"/>
          <w:sz w:val="22"/>
          <w:lang w:eastAsia="fr-FR"/>
        </w:rPr>
        <w:t xml:space="preserve">Dominique </w:t>
      </w:r>
      <w:proofErr w:type="spellStart"/>
      <w:r w:rsidR="009171A5">
        <w:rPr>
          <w:rFonts w:cs="Arial"/>
          <w:sz w:val="22"/>
          <w:lang w:eastAsia="fr-FR"/>
        </w:rPr>
        <w:t>Dujols</w:t>
      </w:r>
      <w:proofErr w:type="spellEnd"/>
      <w:r w:rsidR="009171A5">
        <w:rPr>
          <w:rFonts w:cs="Arial"/>
          <w:sz w:val="22"/>
          <w:lang w:eastAsia="fr-FR"/>
        </w:rPr>
        <w:t xml:space="preserve"> et M. </w:t>
      </w:r>
      <w:r w:rsidR="00B30E2A">
        <w:rPr>
          <w:rFonts w:cs="Arial"/>
          <w:sz w:val="22"/>
          <w:lang w:eastAsia="fr-FR"/>
        </w:rPr>
        <w:t xml:space="preserve">Pierre </w:t>
      </w:r>
      <w:r w:rsidR="009171A5">
        <w:rPr>
          <w:rFonts w:cs="Arial"/>
          <w:sz w:val="22"/>
          <w:lang w:eastAsia="fr-FR"/>
        </w:rPr>
        <w:t>Rocca,</w:t>
      </w:r>
      <w:r>
        <w:rPr>
          <w:rFonts w:cs="Arial"/>
          <w:sz w:val="22"/>
          <w:lang w:eastAsia="fr-FR"/>
        </w:rPr>
        <w:t xml:space="preserve"> conseillers maître</w:t>
      </w:r>
      <w:r w:rsidRPr="002478DF">
        <w:rPr>
          <w:rFonts w:cs="Arial"/>
          <w:sz w:val="22"/>
          <w:lang w:eastAsia="fr-FR"/>
        </w:rPr>
        <w:t>.</w:t>
      </w:r>
    </w:p>
    <w:p w:rsidR="009C6E76" w:rsidRDefault="009C6E76" w:rsidP="00C13095">
      <w:pPr>
        <w:tabs>
          <w:tab w:val="center" w:pos="4536"/>
          <w:tab w:val="right" w:pos="9072"/>
        </w:tabs>
        <w:spacing w:line="240" w:lineRule="auto"/>
        <w:jc w:val="both"/>
        <w:rPr>
          <w:rFonts w:cs="Arial"/>
          <w:sz w:val="22"/>
          <w:lang w:eastAsia="fr-FR"/>
        </w:rPr>
      </w:pPr>
    </w:p>
    <w:p w:rsidR="0076395C" w:rsidRPr="00C13095" w:rsidRDefault="0076395C" w:rsidP="00C13095">
      <w:pPr>
        <w:tabs>
          <w:tab w:val="center" w:pos="4536"/>
          <w:tab w:val="right" w:pos="9072"/>
        </w:tabs>
        <w:spacing w:line="240" w:lineRule="auto"/>
        <w:jc w:val="both"/>
        <w:rPr>
          <w:rFonts w:cs="Arial"/>
          <w:sz w:val="22"/>
          <w:lang w:eastAsia="fr-FR"/>
        </w:rPr>
      </w:pPr>
    </w:p>
    <w:p w:rsidR="009C6E76" w:rsidRPr="00C13095" w:rsidRDefault="009C6E76" w:rsidP="00C13095">
      <w:pPr>
        <w:tabs>
          <w:tab w:val="center" w:pos="4536"/>
          <w:tab w:val="right" w:pos="9072"/>
        </w:tabs>
        <w:spacing w:line="240" w:lineRule="auto"/>
        <w:jc w:val="both"/>
        <w:rPr>
          <w:rFonts w:cs="Arial"/>
          <w:sz w:val="22"/>
          <w:lang w:eastAsia="fr-FR"/>
        </w:rPr>
      </w:pPr>
      <w:r w:rsidRPr="00C13095">
        <w:rPr>
          <w:rFonts w:cs="Arial"/>
          <w:sz w:val="22"/>
          <w:lang w:eastAsia="fr-FR"/>
        </w:rPr>
        <w:t>En p</w:t>
      </w:r>
      <w:r>
        <w:rPr>
          <w:rFonts w:cs="Arial"/>
          <w:sz w:val="22"/>
          <w:lang w:eastAsia="fr-FR"/>
        </w:rPr>
        <w:t>résence de</w:t>
      </w:r>
      <w:r w:rsidR="009171A5">
        <w:rPr>
          <w:rFonts w:cs="Arial"/>
          <w:sz w:val="22"/>
          <w:lang w:eastAsia="fr-FR"/>
        </w:rPr>
        <w:t xml:space="preserve"> </w:t>
      </w:r>
      <w:r w:rsidR="00863D02" w:rsidRPr="00863D02">
        <w:rPr>
          <w:rFonts w:cs="Arial"/>
          <w:sz w:val="22"/>
          <w:lang w:eastAsia="fr-FR"/>
        </w:rPr>
        <w:t>M</w:t>
      </w:r>
      <w:r w:rsidR="00863D02" w:rsidRPr="00863D02">
        <w:rPr>
          <w:rFonts w:cs="Arial"/>
          <w:sz w:val="22"/>
          <w:vertAlign w:val="superscript"/>
          <w:lang w:eastAsia="fr-FR"/>
        </w:rPr>
        <w:t>me</w:t>
      </w:r>
      <w:r w:rsidR="00863D02">
        <w:rPr>
          <w:rFonts w:cs="Arial"/>
          <w:sz w:val="22"/>
          <w:lang w:eastAsia="fr-FR"/>
        </w:rPr>
        <w:t> </w:t>
      </w:r>
      <w:bookmarkStart w:id="0" w:name="_GoBack"/>
      <w:bookmarkEnd w:id="0"/>
      <w:r w:rsidR="008D6760">
        <w:rPr>
          <w:rFonts w:cs="Arial"/>
          <w:sz w:val="22"/>
          <w:lang w:eastAsia="fr-FR"/>
        </w:rPr>
        <w:t>Annie Le Baron</w:t>
      </w:r>
      <w:r w:rsidR="009171A5">
        <w:rPr>
          <w:rFonts w:cs="Arial"/>
          <w:sz w:val="22"/>
          <w:lang w:eastAsia="fr-FR"/>
        </w:rPr>
        <w:t>, greffi</w:t>
      </w:r>
      <w:r w:rsidRPr="00C13095">
        <w:rPr>
          <w:rFonts w:cs="Arial"/>
          <w:sz w:val="22"/>
          <w:lang w:eastAsia="fr-FR"/>
        </w:rPr>
        <w:t>ère de séance.</w:t>
      </w:r>
    </w:p>
    <w:p w:rsidR="009C6E76" w:rsidRPr="00C13095" w:rsidRDefault="009C6E76" w:rsidP="00C13095">
      <w:pPr>
        <w:tabs>
          <w:tab w:val="center" w:pos="4536"/>
          <w:tab w:val="right" w:pos="9072"/>
        </w:tabs>
        <w:spacing w:line="240" w:lineRule="auto"/>
        <w:jc w:val="both"/>
        <w:rPr>
          <w:rFonts w:cs="Arial"/>
          <w:sz w:val="22"/>
          <w:lang w:eastAsia="fr-FR"/>
        </w:rPr>
      </w:pPr>
    </w:p>
    <w:tbl>
      <w:tblPr>
        <w:tblW w:w="0" w:type="auto"/>
        <w:tblInd w:w="34" w:type="dxa"/>
        <w:tblLook w:val="00A0" w:firstRow="1" w:lastRow="0" w:firstColumn="1" w:lastColumn="0" w:noHBand="0" w:noVBand="0"/>
      </w:tblPr>
      <w:tblGrid>
        <w:gridCol w:w="4635"/>
        <w:gridCol w:w="4617"/>
      </w:tblGrid>
      <w:tr w:rsidR="009C6E76" w:rsidRPr="00C13095">
        <w:tc>
          <w:tcPr>
            <w:tcW w:w="5413" w:type="dxa"/>
          </w:tcPr>
          <w:p w:rsidR="009C6E76" w:rsidRPr="00C13095" w:rsidRDefault="009C6E76" w:rsidP="00C13095">
            <w:pPr>
              <w:tabs>
                <w:tab w:val="center" w:pos="4536"/>
                <w:tab w:val="right" w:pos="9072"/>
              </w:tabs>
              <w:spacing w:line="240" w:lineRule="auto"/>
              <w:jc w:val="center"/>
              <w:rPr>
                <w:rFonts w:cs="Arial"/>
                <w:b/>
                <w:sz w:val="22"/>
                <w:lang w:eastAsia="fr-FR"/>
              </w:rPr>
            </w:pPr>
          </w:p>
          <w:p w:rsidR="009C6E76" w:rsidRPr="00C13095" w:rsidRDefault="009C6E76" w:rsidP="00C13095">
            <w:pPr>
              <w:tabs>
                <w:tab w:val="center" w:pos="4536"/>
                <w:tab w:val="right" w:pos="9072"/>
              </w:tabs>
              <w:spacing w:line="240" w:lineRule="auto"/>
              <w:jc w:val="center"/>
              <w:rPr>
                <w:rFonts w:cs="Arial"/>
                <w:b/>
                <w:sz w:val="22"/>
                <w:lang w:eastAsia="fr-FR"/>
              </w:rPr>
            </w:pPr>
          </w:p>
          <w:p w:rsidR="009C6E76" w:rsidRDefault="009C6E76" w:rsidP="00C13095">
            <w:pPr>
              <w:tabs>
                <w:tab w:val="center" w:pos="4536"/>
                <w:tab w:val="right" w:pos="9072"/>
              </w:tabs>
              <w:spacing w:line="240" w:lineRule="auto"/>
              <w:jc w:val="center"/>
              <w:rPr>
                <w:rFonts w:cs="Arial"/>
                <w:b/>
                <w:sz w:val="22"/>
                <w:lang w:eastAsia="fr-FR"/>
              </w:rPr>
            </w:pPr>
          </w:p>
          <w:p w:rsidR="0076395C" w:rsidRPr="00C13095" w:rsidRDefault="0076395C" w:rsidP="00C13095">
            <w:pPr>
              <w:tabs>
                <w:tab w:val="center" w:pos="4536"/>
                <w:tab w:val="right" w:pos="9072"/>
              </w:tabs>
              <w:spacing w:line="240" w:lineRule="auto"/>
              <w:jc w:val="center"/>
              <w:rPr>
                <w:rFonts w:cs="Arial"/>
                <w:b/>
                <w:sz w:val="22"/>
                <w:lang w:eastAsia="fr-FR"/>
              </w:rPr>
            </w:pPr>
          </w:p>
          <w:p w:rsidR="009C6E76" w:rsidRPr="00C13095" w:rsidRDefault="009C6E76" w:rsidP="00C13095">
            <w:pPr>
              <w:tabs>
                <w:tab w:val="center" w:pos="4536"/>
                <w:tab w:val="right" w:pos="9072"/>
              </w:tabs>
              <w:spacing w:line="240" w:lineRule="auto"/>
              <w:jc w:val="center"/>
              <w:rPr>
                <w:rFonts w:cs="Arial"/>
                <w:b/>
                <w:sz w:val="22"/>
                <w:lang w:eastAsia="fr-FR"/>
              </w:rPr>
            </w:pPr>
          </w:p>
          <w:p w:rsidR="009C6E76" w:rsidRPr="00C13095" w:rsidRDefault="009C6E76" w:rsidP="00C13095">
            <w:pPr>
              <w:tabs>
                <w:tab w:val="center" w:pos="4536"/>
                <w:tab w:val="right" w:pos="9072"/>
              </w:tabs>
              <w:spacing w:line="240" w:lineRule="auto"/>
              <w:jc w:val="center"/>
              <w:rPr>
                <w:rFonts w:cs="Arial"/>
                <w:b/>
                <w:sz w:val="22"/>
                <w:lang w:eastAsia="fr-FR"/>
              </w:rPr>
            </w:pPr>
          </w:p>
          <w:p w:rsidR="009C6E76" w:rsidRPr="00C13095" w:rsidRDefault="004A7534" w:rsidP="00C13095">
            <w:pPr>
              <w:tabs>
                <w:tab w:val="center" w:pos="4536"/>
                <w:tab w:val="right" w:pos="9072"/>
              </w:tabs>
              <w:spacing w:line="240" w:lineRule="auto"/>
              <w:jc w:val="center"/>
              <w:rPr>
                <w:rFonts w:cs="Arial"/>
                <w:b/>
                <w:sz w:val="22"/>
                <w:lang w:eastAsia="fr-FR"/>
              </w:rPr>
            </w:pPr>
            <w:r>
              <w:rPr>
                <w:rFonts w:cs="Arial"/>
                <w:b/>
                <w:sz w:val="22"/>
                <w:lang w:eastAsia="fr-FR"/>
              </w:rPr>
              <w:t>Annie Le Baron</w:t>
            </w:r>
            <w:r w:rsidR="009C6E76" w:rsidRPr="00C13095">
              <w:rPr>
                <w:rFonts w:cs="Arial"/>
                <w:b/>
                <w:sz w:val="22"/>
                <w:lang w:eastAsia="fr-FR"/>
              </w:rPr>
              <w:t xml:space="preserve"> </w:t>
            </w:r>
          </w:p>
        </w:tc>
        <w:tc>
          <w:tcPr>
            <w:tcW w:w="5414" w:type="dxa"/>
          </w:tcPr>
          <w:p w:rsidR="009C6E76" w:rsidRPr="00C13095" w:rsidRDefault="009C6E76" w:rsidP="00C13095">
            <w:pPr>
              <w:tabs>
                <w:tab w:val="center" w:pos="4536"/>
                <w:tab w:val="right" w:pos="9072"/>
              </w:tabs>
              <w:spacing w:line="240" w:lineRule="auto"/>
              <w:jc w:val="center"/>
              <w:rPr>
                <w:rFonts w:cs="Arial"/>
                <w:b/>
                <w:sz w:val="22"/>
                <w:lang w:eastAsia="fr-FR"/>
              </w:rPr>
            </w:pPr>
          </w:p>
          <w:p w:rsidR="009C6E76" w:rsidRPr="00C13095" w:rsidRDefault="009C6E76" w:rsidP="00C13095">
            <w:pPr>
              <w:tabs>
                <w:tab w:val="center" w:pos="4536"/>
                <w:tab w:val="right" w:pos="9072"/>
              </w:tabs>
              <w:spacing w:line="240" w:lineRule="auto"/>
              <w:jc w:val="center"/>
              <w:rPr>
                <w:rFonts w:cs="Arial"/>
                <w:b/>
                <w:sz w:val="22"/>
                <w:lang w:eastAsia="fr-FR"/>
              </w:rPr>
            </w:pPr>
          </w:p>
          <w:p w:rsidR="009C6E76" w:rsidRDefault="009C6E76" w:rsidP="00C13095">
            <w:pPr>
              <w:tabs>
                <w:tab w:val="center" w:pos="4536"/>
                <w:tab w:val="right" w:pos="9072"/>
              </w:tabs>
              <w:spacing w:line="240" w:lineRule="auto"/>
              <w:jc w:val="center"/>
              <w:rPr>
                <w:rFonts w:cs="Arial"/>
                <w:b/>
                <w:sz w:val="22"/>
                <w:lang w:eastAsia="fr-FR"/>
              </w:rPr>
            </w:pPr>
          </w:p>
          <w:p w:rsidR="0076395C" w:rsidRDefault="0076395C" w:rsidP="00C13095">
            <w:pPr>
              <w:tabs>
                <w:tab w:val="center" w:pos="4536"/>
                <w:tab w:val="right" w:pos="9072"/>
              </w:tabs>
              <w:spacing w:line="240" w:lineRule="auto"/>
              <w:jc w:val="center"/>
              <w:rPr>
                <w:rFonts w:cs="Arial"/>
                <w:b/>
                <w:sz w:val="22"/>
                <w:lang w:eastAsia="fr-FR"/>
              </w:rPr>
            </w:pPr>
          </w:p>
          <w:p w:rsidR="009C6E76" w:rsidRPr="00C13095" w:rsidRDefault="009C6E76" w:rsidP="00C13095">
            <w:pPr>
              <w:tabs>
                <w:tab w:val="center" w:pos="4536"/>
                <w:tab w:val="right" w:pos="9072"/>
              </w:tabs>
              <w:spacing w:line="240" w:lineRule="auto"/>
              <w:jc w:val="center"/>
              <w:rPr>
                <w:rFonts w:cs="Arial"/>
                <w:b/>
                <w:sz w:val="22"/>
                <w:lang w:eastAsia="fr-FR"/>
              </w:rPr>
            </w:pPr>
          </w:p>
          <w:p w:rsidR="009C6E76" w:rsidRPr="00C13095" w:rsidRDefault="009C6E76" w:rsidP="00C13095">
            <w:pPr>
              <w:tabs>
                <w:tab w:val="center" w:pos="4536"/>
                <w:tab w:val="right" w:pos="9072"/>
              </w:tabs>
              <w:spacing w:line="240" w:lineRule="auto"/>
              <w:jc w:val="center"/>
              <w:rPr>
                <w:rFonts w:cs="Arial"/>
                <w:b/>
                <w:sz w:val="22"/>
                <w:lang w:eastAsia="fr-FR"/>
              </w:rPr>
            </w:pPr>
          </w:p>
          <w:p w:rsidR="009C6E76" w:rsidRPr="00C13095" w:rsidRDefault="004A7534" w:rsidP="009171A5">
            <w:pPr>
              <w:tabs>
                <w:tab w:val="center" w:pos="4536"/>
                <w:tab w:val="right" w:pos="9072"/>
              </w:tabs>
              <w:spacing w:line="240" w:lineRule="auto"/>
              <w:jc w:val="center"/>
              <w:rPr>
                <w:rFonts w:cs="Arial"/>
                <w:b/>
                <w:sz w:val="22"/>
                <w:lang w:eastAsia="fr-FR"/>
              </w:rPr>
            </w:pPr>
            <w:r>
              <w:rPr>
                <w:rFonts w:cs="Arial"/>
                <w:b/>
                <w:sz w:val="22"/>
                <w:lang w:eastAsia="fr-FR"/>
              </w:rPr>
              <w:t>Guy Piolé</w:t>
            </w:r>
          </w:p>
        </w:tc>
      </w:tr>
    </w:tbl>
    <w:p w:rsidR="009C6E76" w:rsidRPr="00C13095" w:rsidRDefault="009C6E76" w:rsidP="00C13095">
      <w:pPr>
        <w:tabs>
          <w:tab w:val="center" w:pos="4536"/>
          <w:tab w:val="right" w:pos="9072"/>
        </w:tabs>
        <w:spacing w:line="240" w:lineRule="auto"/>
        <w:jc w:val="both"/>
        <w:rPr>
          <w:rFonts w:cs="Arial"/>
          <w:sz w:val="22"/>
          <w:lang w:eastAsia="fr-FR"/>
        </w:rPr>
      </w:pPr>
    </w:p>
    <w:p w:rsidR="009C6E76" w:rsidRPr="00C13095" w:rsidRDefault="009C6E76" w:rsidP="00C13095">
      <w:pPr>
        <w:tabs>
          <w:tab w:val="center" w:pos="4536"/>
          <w:tab w:val="right" w:pos="9072"/>
        </w:tabs>
        <w:spacing w:line="240" w:lineRule="auto"/>
        <w:jc w:val="both"/>
        <w:rPr>
          <w:rFonts w:cs="Arial"/>
          <w:sz w:val="22"/>
          <w:lang w:eastAsia="fr-FR"/>
        </w:rPr>
      </w:pPr>
    </w:p>
    <w:p w:rsidR="009C6E76" w:rsidRDefault="009C6E76" w:rsidP="00C13095">
      <w:pPr>
        <w:tabs>
          <w:tab w:val="center" w:pos="4536"/>
          <w:tab w:val="right" w:pos="9072"/>
        </w:tabs>
        <w:spacing w:line="240" w:lineRule="auto"/>
        <w:jc w:val="both"/>
        <w:rPr>
          <w:rFonts w:cs="Arial"/>
          <w:sz w:val="22"/>
          <w:lang w:eastAsia="fr-FR"/>
        </w:rPr>
      </w:pPr>
    </w:p>
    <w:p w:rsidR="009C6E76" w:rsidRPr="00C13095" w:rsidRDefault="009C6E76" w:rsidP="00C13095">
      <w:pPr>
        <w:tabs>
          <w:tab w:val="center" w:pos="4536"/>
          <w:tab w:val="right" w:pos="9072"/>
        </w:tabs>
        <w:spacing w:line="240" w:lineRule="auto"/>
        <w:jc w:val="both"/>
        <w:rPr>
          <w:rFonts w:cs="Arial"/>
          <w:sz w:val="22"/>
          <w:lang w:eastAsia="fr-FR"/>
        </w:rPr>
      </w:pPr>
    </w:p>
    <w:p w:rsidR="009C6E76" w:rsidRPr="00C13095" w:rsidRDefault="009C6E76" w:rsidP="00C13095">
      <w:pPr>
        <w:tabs>
          <w:tab w:val="center" w:pos="4536"/>
          <w:tab w:val="right" w:pos="9072"/>
        </w:tabs>
        <w:spacing w:line="240" w:lineRule="auto"/>
        <w:jc w:val="both"/>
        <w:rPr>
          <w:rFonts w:cs="Arial"/>
          <w:sz w:val="22"/>
          <w:lang w:eastAsia="fr-FR"/>
        </w:rPr>
      </w:pPr>
      <w:r w:rsidRPr="00C13095">
        <w:rPr>
          <w:rFonts w:cs="Arial"/>
          <w:sz w:val="22"/>
          <w:lang w:eastAsia="fr-FR"/>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9C6E76" w:rsidRPr="00C13095" w:rsidRDefault="009C6E76" w:rsidP="00C13095">
      <w:pPr>
        <w:tabs>
          <w:tab w:val="center" w:pos="4536"/>
          <w:tab w:val="right" w:pos="9072"/>
        </w:tabs>
        <w:spacing w:line="240" w:lineRule="auto"/>
        <w:jc w:val="both"/>
        <w:rPr>
          <w:rFonts w:cs="Arial"/>
          <w:sz w:val="22"/>
          <w:lang w:eastAsia="fr-FR"/>
        </w:rPr>
      </w:pPr>
    </w:p>
    <w:tbl>
      <w:tblPr>
        <w:tblW w:w="0" w:type="auto"/>
        <w:tblInd w:w="4928" w:type="dxa"/>
        <w:tblLook w:val="00A0" w:firstRow="1" w:lastRow="0" w:firstColumn="1" w:lastColumn="0" w:noHBand="0" w:noVBand="0"/>
      </w:tblPr>
      <w:tblGrid>
        <w:gridCol w:w="4358"/>
      </w:tblGrid>
      <w:tr w:rsidR="009C6E76" w:rsidRPr="00C13095">
        <w:trPr>
          <w:trHeight w:val="1626"/>
        </w:trPr>
        <w:tc>
          <w:tcPr>
            <w:tcW w:w="4928" w:type="dxa"/>
          </w:tcPr>
          <w:p w:rsidR="009C6E76" w:rsidRPr="00C13095" w:rsidRDefault="009C6E76" w:rsidP="00201399">
            <w:pPr>
              <w:tabs>
                <w:tab w:val="center" w:pos="4536"/>
                <w:tab w:val="right" w:pos="9072"/>
              </w:tabs>
              <w:spacing w:line="240" w:lineRule="auto"/>
              <w:jc w:val="center"/>
              <w:rPr>
                <w:rFonts w:cs="Arial"/>
                <w:sz w:val="22"/>
                <w:lang w:eastAsia="fr-FR"/>
              </w:rPr>
            </w:pPr>
          </w:p>
        </w:tc>
      </w:tr>
    </w:tbl>
    <w:p w:rsidR="009C6E76" w:rsidRDefault="009C6E76" w:rsidP="00C13095">
      <w:pPr>
        <w:tabs>
          <w:tab w:val="center" w:pos="4536"/>
          <w:tab w:val="right" w:pos="9072"/>
        </w:tabs>
        <w:spacing w:line="240" w:lineRule="auto"/>
        <w:jc w:val="both"/>
        <w:rPr>
          <w:rFonts w:cs="Arial"/>
          <w:color w:val="000000"/>
          <w:sz w:val="22"/>
          <w:lang w:eastAsia="fr-FR"/>
        </w:rPr>
      </w:pPr>
    </w:p>
    <w:p w:rsidR="009C6E76" w:rsidRPr="00C13095" w:rsidRDefault="009C6E76" w:rsidP="00C13095"/>
    <w:sectPr w:rsidR="009C6E76" w:rsidRPr="00C13095"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5AC" w:rsidRDefault="003D55AC" w:rsidP="00B41656">
      <w:pPr>
        <w:spacing w:line="240" w:lineRule="auto"/>
      </w:pPr>
      <w:r>
        <w:separator/>
      </w:r>
    </w:p>
  </w:endnote>
  <w:endnote w:type="continuationSeparator" w:id="0">
    <w:p w:rsidR="003D55AC" w:rsidRDefault="003D55AC"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9212"/>
    </w:tblGrid>
    <w:tr w:rsidR="000776D4">
      <w:trPr>
        <w:jc w:val="center"/>
      </w:trPr>
      <w:tc>
        <w:tcPr>
          <w:tcW w:w="9212" w:type="dxa"/>
        </w:tcPr>
        <w:p w:rsidR="000776D4" w:rsidRPr="00F51BF1" w:rsidRDefault="000776D4" w:rsidP="001F0D30">
          <w:pPr>
            <w:pStyle w:val="Pieddepage"/>
            <w:jc w:val="center"/>
            <w:rPr>
              <w:rFonts w:cs="Arial"/>
              <w:sz w:val="18"/>
              <w:szCs w:val="18"/>
              <w:lang w:eastAsia="en-US"/>
            </w:rPr>
          </w:pPr>
          <w:r w:rsidRPr="00F51BF1">
            <w:rPr>
              <w:rFonts w:cs="Arial"/>
              <w:sz w:val="18"/>
              <w:szCs w:val="18"/>
              <w:lang w:eastAsia="en-US"/>
            </w:rPr>
            <w:t>13 rue Cambon - 75100 PARIS CEDEX 01 - T +33 1 42 98 95 00 - www.ccomptes.fr</w:t>
          </w:r>
        </w:p>
      </w:tc>
    </w:tr>
    <w:tr w:rsidR="000776D4">
      <w:trPr>
        <w:jc w:val="center"/>
      </w:trPr>
      <w:tc>
        <w:tcPr>
          <w:tcW w:w="9212" w:type="dxa"/>
        </w:tcPr>
        <w:p w:rsidR="000776D4" w:rsidRPr="001F0D30" w:rsidRDefault="000776D4" w:rsidP="001F0D30">
          <w:pPr>
            <w:pStyle w:val="Pieddepage"/>
            <w:jc w:val="center"/>
            <w:rPr>
              <w:rFonts w:cs="Arial"/>
              <w:szCs w:val="22"/>
              <w:lang w:eastAsia="en-US"/>
            </w:rPr>
          </w:pPr>
          <w:r w:rsidRPr="001F0D30">
            <w:rPr>
              <w:rFonts w:cs="Arial"/>
              <w:szCs w:val="22"/>
              <w:lang w:eastAsia="en-US"/>
            </w:rPr>
            <w:t>.</w:t>
          </w:r>
        </w:p>
      </w:tc>
    </w:tr>
  </w:tbl>
  <w:p w:rsidR="000776D4" w:rsidRDefault="000776D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9212"/>
    </w:tblGrid>
    <w:tr w:rsidR="000776D4">
      <w:trPr>
        <w:jc w:val="center"/>
      </w:trPr>
      <w:tc>
        <w:tcPr>
          <w:tcW w:w="9212" w:type="dxa"/>
        </w:tcPr>
        <w:p w:rsidR="000776D4" w:rsidRPr="001F0D30" w:rsidRDefault="000776D4" w:rsidP="001F0D30">
          <w:pPr>
            <w:pStyle w:val="Pieddepage"/>
            <w:jc w:val="center"/>
            <w:rPr>
              <w:rFonts w:cs="Arial"/>
              <w:szCs w:val="22"/>
              <w:lang w:eastAsia="en-US"/>
            </w:rPr>
          </w:pPr>
          <w:r w:rsidRPr="001F0D30">
            <w:rPr>
              <w:rFonts w:cs="Arial"/>
              <w:szCs w:val="22"/>
              <w:lang w:eastAsia="en-US"/>
            </w:rPr>
            <w:t>13 rue Cambon - 75100 PARIS CEDEX 01 - T +33 1 42 98 95 00 - www.ccomptes.fr</w:t>
          </w:r>
        </w:p>
      </w:tc>
    </w:tr>
    <w:tr w:rsidR="000776D4">
      <w:trPr>
        <w:jc w:val="center"/>
      </w:trPr>
      <w:tc>
        <w:tcPr>
          <w:tcW w:w="9212" w:type="dxa"/>
        </w:tcPr>
        <w:p w:rsidR="000776D4" w:rsidRPr="001F0D30" w:rsidRDefault="000776D4" w:rsidP="001F0D30">
          <w:pPr>
            <w:pStyle w:val="Pieddepage"/>
            <w:jc w:val="center"/>
            <w:rPr>
              <w:rFonts w:cs="Arial"/>
              <w:szCs w:val="22"/>
              <w:lang w:eastAsia="en-US"/>
            </w:rPr>
          </w:pPr>
          <w:r w:rsidRPr="001F0D30">
            <w:rPr>
              <w:rFonts w:cs="Arial"/>
              <w:szCs w:val="22"/>
              <w:lang w:eastAsia="en-US"/>
            </w:rPr>
            <w:t>.</w:t>
          </w:r>
        </w:p>
      </w:tc>
    </w:tr>
  </w:tbl>
  <w:p w:rsidR="000776D4" w:rsidRDefault="000776D4"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5AC" w:rsidRDefault="003D55AC" w:rsidP="00B41656">
      <w:pPr>
        <w:spacing w:line="240" w:lineRule="auto"/>
      </w:pPr>
      <w:r>
        <w:separator/>
      </w:r>
    </w:p>
  </w:footnote>
  <w:footnote w:type="continuationSeparator" w:id="0">
    <w:p w:rsidR="003D55AC" w:rsidRDefault="003D55AC"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6D4" w:rsidRDefault="000776D4">
    <w:pPr>
      <w:pStyle w:val="En-tte"/>
      <w:jc w:val="righ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8046"/>
      <w:gridCol w:w="1164"/>
    </w:tblGrid>
    <w:tr w:rsidR="000776D4">
      <w:tc>
        <w:tcPr>
          <w:tcW w:w="8046" w:type="dxa"/>
          <w:tcBorders>
            <w:top w:val="nil"/>
            <w:left w:val="nil"/>
            <w:bottom w:val="nil"/>
            <w:right w:val="nil"/>
          </w:tcBorders>
          <w:vAlign w:val="center"/>
        </w:tcPr>
        <w:p w:rsidR="000776D4" w:rsidRPr="001F0D30" w:rsidRDefault="000776D4" w:rsidP="001F0D30">
          <w:pPr>
            <w:pStyle w:val="En-tte"/>
            <w:spacing w:line="320" w:lineRule="exact"/>
            <w:rPr>
              <w:szCs w:val="22"/>
              <w:lang w:eastAsia="en-US"/>
            </w:rPr>
          </w:pPr>
        </w:p>
      </w:tc>
      <w:tc>
        <w:tcPr>
          <w:tcW w:w="1164" w:type="dxa"/>
          <w:tcBorders>
            <w:top w:val="nil"/>
            <w:left w:val="nil"/>
            <w:bottom w:val="nil"/>
            <w:right w:val="nil"/>
          </w:tcBorders>
          <w:vAlign w:val="center"/>
        </w:tcPr>
        <w:p w:rsidR="000776D4" w:rsidRPr="001F0D30" w:rsidRDefault="000776D4" w:rsidP="001F0D30">
          <w:pPr>
            <w:pStyle w:val="En-tte"/>
            <w:jc w:val="right"/>
            <w:rPr>
              <w:szCs w:val="22"/>
              <w:lang w:eastAsia="en-US"/>
            </w:rPr>
          </w:pPr>
          <w:r w:rsidRPr="001F0D30">
            <w:rPr>
              <w:szCs w:val="22"/>
              <w:lang w:eastAsia="en-US"/>
            </w:rPr>
            <w:t xml:space="preserve"> </w:t>
          </w:r>
          <w:r w:rsidRPr="001F0D30">
            <w:rPr>
              <w:b/>
              <w:szCs w:val="22"/>
              <w:lang w:eastAsia="en-US"/>
            </w:rPr>
            <w:fldChar w:fldCharType="begin"/>
          </w:r>
          <w:r w:rsidRPr="001F0D30">
            <w:rPr>
              <w:b/>
              <w:szCs w:val="22"/>
              <w:lang w:eastAsia="en-US"/>
            </w:rPr>
            <w:instrText>PAGE</w:instrText>
          </w:r>
          <w:r w:rsidRPr="001F0D30">
            <w:rPr>
              <w:b/>
              <w:szCs w:val="22"/>
              <w:lang w:eastAsia="en-US"/>
            </w:rPr>
            <w:fldChar w:fldCharType="separate"/>
          </w:r>
          <w:r w:rsidR="00863D02">
            <w:rPr>
              <w:b/>
              <w:noProof/>
              <w:szCs w:val="22"/>
              <w:lang w:eastAsia="en-US"/>
            </w:rPr>
            <w:t>10</w:t>
          </w:r>
          <w:r w:rsidRPr="001F0D30">
            <w:rPr>
              <w:b/>
              <w:szCs w:val="22"/>
              <w:lang w:eastAsia="en-US"/>
            </w:rPr>
            <w:fldChar w:fldCharType="end"/>
          </w:r>
          <w:r w:rsidRPr="001F0D30">
            <w:rPr>
              <w:szCs w:val="22"/>
              <w:lang w:eastAsia="en-US"/>
            </w:rPr>
            <w:t xml:space="preserve"> / </w:t>
          </w:r>
          <w:r w:rsidRPr="001F0D30">
            <w:rPr>
              <w:b/>
              <w:szCs w:val="22"/>
              <w:lang w:eastAsia="en-US"/>
            </w:rPr>
            <w:fldChar w:fldCharType="begin"/>
          </w:r>
          <w:r w:rsidRPr="001F0D30">
            <w:rPr>
              <w:b/>
              <w:szCs w:val="22"/>
              <w:lang w:eastAsia="en-US"/>
            </w:rPr>
            <w:instrText>NUMPAGES</w:instrText>
          </w:r>
          <w:r w:rsidRPr="001F0D30">
            <w:rPr>
              <w:b/>
              <w:szCs w:val="22"/>
              <w:lang w:eastAsia="en-US"/>
            </w:rPr>
            <w:fldChar w:fldCharType="separate"/>
          </w:r>
          <w:r w:rsidR="00863D02">
            <w:rPr>
              <w:b/>
              <w:noProof/>
              <w:szCs w:val="22"/>
              <w:lang w:eastAsia="en-US"/>
            </w:rPr>
            <w:t>10</w:t>
          </w:r>
          <w:r w:rsidRPr="001F0D30">
            <w:rPr>
              <w:b/>
              <w:szCs w:val="22"/>
              <w:lang w:eastAsia="en-US"/>
            </w:rPr>
            <w:fldChar w:fldCharType="end"/>
          </w:r>
        </w:p>
      </w:tc>
    </w:tr>
  </w:tbl>
  <w:p w:rsidR="000776D4" w:rsidRDefault="000776D4"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6D4" w:rsidRDefault="0050197A">
    <w:pPr>
      <w:pStyle w:val="En-tte"/>
    </w:pPr>
    <w:r>
      <w:rPr>
        <w:noProof/>
      </w:rPr>
      <w:drawing>
        <wp:anchor distT="0" distB="0" distL="114300" distR="114300" simplePos="0" relativeHeight="251657728" behindDoc="0" locked="0" layoutInCell="1" allowOverlap="1">
          <wp:simplePos x="0" y="0"/>
          <wp:positionH relativeFrom="column">
            <wp:posOffset>26035</wp:posOffset>
          </wp:positionH>
          <wp:positionV relativeFrom="paragraph">
            <wp:posOffset>0</wp:posOffset>
          </wp:positionV>
          <wp:extent cx="7559040" cy="1258570"/>
          <wp:effectExtent l="0" t="0" r="3810" b="0"/>
          <wp:wrapTopAndBottom/>
          <wp:docPr id="1"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C6B"/>
    <w:multiLevelType w:val="hybridMultilevel"/>
    <w:tmpl w:val="6C9C3AC8"/>
    <w:lvl w:ilvl="0" w:tplc="8584136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2A5BB1"/>
    <w:multiLevelType w:val="multilevel"/>
    <w:tmpl w:val="FBB4C078"/>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030807"/>
    <w:multiLevelType w:val="multilevel"/>
    <w:tmpl w:val="0C0A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1863838"/>
    <w:multiLevelType w:val="hybridMultilevel"/>
    <w:tmpl w:val="DFAC6870"/>
    <w:lvl w:ilvl="0" w:tplc="CC965554">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5623468F"/>
    <w:multiLevelType w:val="multilevel"/>
    <w:tmpl w:val="0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56792213"/>
    <w:multiLevelType w:val="hybridMultilevel"/>
    <w:tmpl w:val="C502613C"/>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8">
    <w:nsid w:val="6027097E"/>
    <w:multiLevelType w:val="multilevel"/>
    <w:tmpl w:val="0C0A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9">
    <w:nsid w:val="7D585B67"/>
    <w:multiLevelType w:val="hybridMultilevel"/>
    <w:tmpl w:val="C59EEA46"/>
    <w:lvl w:ilvl="0" w:tplc="7C60CC64">
      <w:start w:val="2"/>
      <w:numFmt w:val="bullet"/>
      <w:lvlText w:val="-"/>
      <w:lvlJc w:val="left"/>
      <w:pPr>
        <w:ind w:left="1224" w:hanging="360"/>
      </w:pPr>
      <w:rPr>
        <w:rFonts w:ascii="Times New Roman" w:eastAsia="Times New Roman" w:hAnsi="Times New Roman" w:hint="default"/>
      </w:rPr>
    </w:lvl>
    <w:lvl w:ilvl="1" w:tplc="040C0003" w:tentative="1">
      <w:start w:val="1"/>
      <w:numFmt w:val="bullet"/>
      <w:lvlText w:val="o"/>
      <w:lvlJc w:val="left"/>
      <w:pPr>
        <w:ind w:left="1944" w:hanging="360"/>
      </w:pPr>
      <w:rPr>
        <w:rFonts w:ascii="Courier New" w:hAnsi="Courier New" w:hint="default"/>
      </w:rPr>
    </w:lvl>
    <w:lvl w:ilvl="2" w:tplc="040C0005" w:tentative="1">
      <w:start w:val="1"/>
      <w:numFmt w:val="bullet"/>
      <w:lvlText w:val=""/>
      <w:lvlJc w:val="left"/>
      <w:pPr>
        <w:ind w:left="2664" w:hanging="360"/>
      </w:pPr>
      <w:rPr>
        <w:rFonts w:ascii="Wingdings" w:hAnsi="Wingdings" w:hint="default"/>
      </w:rPr>
    </w:lvl>
    <w:lvl w:ilvl="3" w:tplc="040C0001" w:tentative="1">
      <w:start w:val="1"/>
      <w:numFmt w:val="bullet"/>
      <w:lvlText w:val=""/>
      <w:lvlJc w:val="left"/>
      <w:pPr>
        <w:ind w:left="3384" w:hanging="360"/>
      </w:pPr>
      <w:rPr>
        <w:rFonts w:ascii="Symbol" w:hAnsi="Symbol" w:hint="default"/>
      </w:rPr>
    </w:lvl>
    <w:lvl w:ilvl="4" w:tplc="040C0003" w:tentative="1">
      <w:start w:val="1"/>
      <w:numFmt w:val="bullet"/>
      <w:lvlText w:val="o"/>
      <w:lvlJc w:val="left"/>
      <w:pPr>
        <w:ind w:left="4104" w:hanging="360"/>
      </w:pPr>
      <w:rPr>
        <w:rFonts w:ascii="Courier New" w:hAnsi="Courier New" w:hint="default"/>
      </w:rPr>
    </w:lvl>
    <w:lvl w:ilvl="5" w:tplc="040C0005" w:tentative="1">
      <w:start w:val="1"/>
      <w:numFmt w:val="bullet"/>
      <w:lvlText w:val=""/>
      <w:lvlJc w:val="left"/>
      <w:pPr>
        <w:ind w:left="4824" w:hanging="360"/>
      </w:pPr>
      <w:rPr>
        <w:rFonts w:ascii="Wingdings" w:hAnsi="Wingdings" w:hint="default"/>
      </w:rPr>
    </w:lvl>
    <w:lvl w:ilvl="6" w:tplc="040C0001" w:tentative="1">
      <w:start w:val="1"/>
      <w:numFmt w:val="bullet"/>
      <w:lvlText w:val=""/>
      <w:lvlJc w:val="left"/>
      <w:pPr>
        <w:ind w:left="5544" w:hanging="360"/>
      </w:pPr>
      <w:rPr>
        <w:rFonts w:ascii="Symbol" w:hAnsi="Symbol" w:hint="default"/>
      </w:rPr>
    </w:lvl>
    <w:lvl w:ilvl="7" w:tplc="040C0003" w:tentative="1">
      <w:start w:val="1"/>
      <w:numFmt w:val="bullet"/>
      <w:lvlText w:val="o"/>
      <w:lvlJc w:val="left"/>
      <w:pPr>
        <w:ind w:left="6264" w:hanging="360"/>
      </w:pPr>
      <w:rPr>
        <w:rFonts w:ascii="Courier New" w:hAnsi="Courier New" w:hint="default"/>
      </w:rPr>
    </w:lvl>
    <w:lvl w:ilvl="8" w:tplc="040C0005" w:tentative="1">
      <w:start w:val="1"/>
      <w:numFmt w:val="bullet"/>
      <w:lvlText w:val=""/>
      <w:lvlJc w:val="left"/>
      <w:pPr>
        <w:ind w:left="6984" w:hanging="360"/>
      </w:pPr>
      <w:rPr>
        <w:rFonts w:ascii="Wingdings" w:hAnsi="Wingdings" w:hint="default"/>
      </w:rPr>
    </w:lvl>
  </w:abstractNum>
  <w:num w:numId="1">
    <w:abstractNumId w:val="4"/>
  </w:num>
  <w:num w:numId="2">
    <w:abstractNumId w:val="7"/>
  </w:num>
  <w:num w:numId="3">
    <w:abstractNumId w:val="8"/>
  </w:num>
  <w:num w:numId="4">
    <w:abstractNumId w:val="6"/>
  </w:num>
  <w:num w:numId="5">
    <w:abstractNumId w:val="2"/>
  </w:num>
  <w:num w:numId="6">
    <w:abstractNumId w:val="1"/>
  </w:num>
  <w:num w:numId="7">
    <w:abstractNumId w:val="3"/>
  </w:num>
  <w:num w:numId="8">
    <w:abstractNumId w:val="0"/>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2284"/>
    <w:rsid w:val="00004F53"/>
    <w:rsid w:val="0000562F"/>
    <w:rsid w:val="00014A6E"/>
    <w:rsid w:val="00015A5A"/>
    <w:rsid w:val="0001644E"/>
    <w:rsid w:val="0002214A"/>
    <w:rsid w:val="00033B92"/>
    <w:rsid w:val="00044F9D"/>
    <w:rsid w:val="00055F5A"/>
    <w:rsid w:val="00057C1C"/>
    <w:rsid w:val="00060466"/>
    <w:rsid w:val="00067EA3"/>
    <w:rsid w:val="00073BEA"/>
    <w:rsid w:val="000776D4"/>
    <w:rsid w:val="00082213"/>
    <w:rsid w:val="000863DF"/>
    <w:rsid w:val="000D3C39"/>
    <w:rsid w:val="000D4C4E"/>
    <w:rsid w:val="000D5101"/>
    <w:rsid w:val="000E00CC"/>
    <w:rsid w:val="000F0CBC"/>
    <w:rsid w:val="000F5299"/>
    <w:rsid w:val="000F53CA"/>
    <w:rsid w:val="000F7B52"/>
    <w:rsid w:val="00102E5E"/>
    <w:rsid w:val="00110640"/>
    <w:rsid w:val="001176A7"/>
    <w:rsid w:val="001248F5"/>
    <w:rsid w:val="00125D19"/>
    <w:rsid w:val="0013115F"/>
    <w:rsid w:val="00131A38"/>
    <w:rsid w:val="001440E9"/>
    <w:rsid w:val="00166DBE"/>
    <w:rsid w:val="0016783F"/>
    <w:rsid w:val="001733C8"/>
    <w:rsid w:val="00176AD3"/>
    <w:rsid w:val="00177B90"/>
    <w:rsid w:val="001840D0"/>
    <w:rsid w:val="001A1443"/>
    <w:rsid w:val="001B589E"/>
    <w:rsid w:val="001D11BE"/>
    <w:rsid w:val="001F0D30"/>
    <w:rsid w:val="00201399"/>
    <w:rsid w:val="002040C2"/>
    <w:rsid w:val="00207A94"/>
    <w:rsid w:val="002304DE"/>
    <w:rsid w:val="00231C67"/>
    <w:rsid w:val="00240C13"/>
    <w:rsid w:val="00244453"/>
    <w:rsid w:val="002478DF"/>
    <w:rsid w:val="00254533"/>
    <w:rsid w:val="00265091"/>
    <w:rsid w:val="00267654"/>
    <w:rsid w:val="00267AEC"/>
    <w:rsid w:val="00267CB7"/>
    <w:rsid w:val="0028024D"/>
    <w:rsid w:val="0028058F"/>
    <w:rsid w:val="00280590"/>
    <w:rsid w:val="00283473"/>
    <w:rsid w:val="002878B1"/>
    <w:rsid w:val="002A210B"/>
    <w:rsid w:val="002A27C6"/>
    <w:rsid w:val="002A4C21"/>
    <w:rsid w:val="002B74C3"/>
    <w:rsid w:val="002C0B4C"/>
    <w:rsid w:val="002D0DA9"/>
    <w:rsid w:val="002E75B7"/>
    <w:rsid w:val="00301F44"/>
    <w:rsid w:val="003225BF"/>
    <w:rsid w:val="0033161A"/>
    <w:rsid w:val="003438B3"/>
    <w:rsid w:val="003502F7"/>
    <w:rsid w:val="00360ED2"/>
    <w:rsid w:val="00367B76"/>
    <w:rsid w:val="00376FD6"/>
    <w:rsid w:val="00385A52"/>
    <w:rsid w:val="003955D7"/>
    <w:rsid w:val="003A09FE"/>
    <w:rsid w:val="003B7BA2"/>
    <w:rsid w:val="003C582D"/>
    <w:rsid w:val="003C729C"/>
    <w:rsid w:val="003D2DC8"/>
    <w:rsid w:val="003D55AC"/>
    <w:rsid w:val="003D7655"/>
    <w:rsid w:val="003F42D2"/>
    <w:rsid w:val="003F6E4C"/>
    <w:rsid w:val="004022CB"/>
    <w:rsid w:val="00431A3D"/>
    <w:rsid w:val="004507C2"/>
    <w:rsid w:val="00456DE0"/>
    <w:rsid w:val="00466852"/>
    <w:rsid w:val="0047092C"/>
    <w:rsid w:val="00477C3D"/>
    <w:rsid w:val="004837E8"/>
    <w:rsid w:val="004975A9"/>
    <w:rsid w:val="004A1A11"/>
    <w:rsid w:val="004A49F1"/>
    <w:rsid w:val="004A7534"/>
    <w:rsid w:val="004B28F0"/>
    <w:rsid w:val="004B63D2"/>
    <w:rsid w:val="004C1FD9"/>
    <w:rsid w:val="004C76EF"/>
    <w:rsid w:val="004C7CB7"/>
    <w:rsid w:val="004E27AA"/>
    <w:rsid w:val="004E7804"/>
    <w:rsid w:val="004F38ED"/>
    <w:rsid w:val="0050197A"/>
    <w:rsid w:val="00503761"/>
    <w:rsid w:val="0050429F"/>
    <w:rsid w:val="005115B5"/>
    <w:rsid w:val="0051704B"/>
    <w:rsid w:val="005369EE"/>
    <w:rsid w:val="00542191"/>
    <w:rsid w:val="0054781F"/>
    <w:rsid w:val="005522F5"/>
    <w:rsid w:val="00556AB6"/>
    <w:rsid w:val="005A4097"/>
    <w:rsid w:val="005B4CA5"/>
    <w:rsid w:val="005B63FF"/>
    <w:rsid w:val="005B7A7E"/>
    <w:rsid w:val="005C5994"/>
    <w:rsid w:val="005F0C73"/>
    <w:rsid w:val="005F61B5"/>
    <w:rsid w:val="00604974"/>
    <w:rsid w:val="006344B0"/>
    <w:rsid w:val="00640D64"/>
    <w:rsid w:val="00647807"/>
    <w:rsid w:val="00662166"/>
    <w:rsid w:val="00676091"/>
    <w:rsid w:val="006774B5"/>
    <w:rsid w:val="00687F6F"/>
    <w:rsid w:val="006A3815"/>
    <w:rsid w:val="006A4EB5"/>
    <w:rsid w:val="006A568B"/>
    <w:rsid w:val="006A7750"/>
    <w:rsid w:val="006B27CC"/>
    <w:rsid w:val="006C72CB"/>
    <w:rsid w:val="006E170E"/>
    <w:rsid w:val="006E3A7F"/>
    <w:rsid w:val="006E3B61"/>
    <w:rsid w:val="006F1533"/>
    <w:rsid w:val="006F38F2"/>
    <w:rsid w:val="006F3AEF"/>
    <w:rsid w:val="006F5E46"/>
    <w:rsid w:val="00707BD1"/>
    <w:rsid w:val="00724014"/>
    <w:rsid w:val="007252C5"/>
    <w:rsid w:val="00734270"/>
    <w:rsid w:val="007410AA"/>
    <w:rsid w:val="00742449"/>
    <w:rsid w:val="00756095"/>
    <w:rsid w:val="007615B4"/>
    <w:rsid w:val="0076395C"/>
    <w:rsid w:val="00764F62"/>
    <w:rsid w:val="00765A21"/>
    <w:rsid w:val="0077703E"/>
    <w:rsid w:val="00785B3B"/>
    <w:rsid w:val="007A448C"/>
    <w:rsid w:val="007B06F6"/>
    <w:rsid w:val="007C1589"/>
    <w:rsid w:val="007C6876"/>
    <w:rsid w:val="007E06F2"/>
    <w:rsid w:val="007F2707"/>
    <w:rsid w:val="0081551A"/>
    <w:rsid w:val="00816963"/>
    <w:rsid w:val="008256E2"/>
    <w:rsid w:val="00844701"/>
    <w:rsid w:val="0085194D"/>
    <w:rsid w:val="00861072"/>
    <w:rsid w:val="00861FB6"/>
    <w:rsid w:val="00863D02"/>
    <w:rsid w:val="00863D04"/>
    <w:rsid w:val="0086760B"/>
    <w:rsid w:val="00875AE9"/>
    <w:rsid w:val="008770F8"/>
    <w:rsid w:val="008844EF"/>
    <w:rsid w:val="008A34BF"/>
    <w:rsid w:val="008A6ACF"/>
    <w:rsid w:val="008B5B10"/>
    <w:rsid w:val="008B63C9"/>
    <w:rsid w:val="008C244D"/>
    <w:rsid w:val="008C5FE5"/>
    <w:rsid w:val="008D00FF"/>
    <w:rsid w:val="008D510A"/>
    <w:rsid w:val="008D6760"/>
    <w:rsid w:val="008E360F"/>
    <w:rsid w:val="008E5EE8"/>
    <w:rsid w:val="008E6349"/>
    <w:rsid w:val="008F6DE3"/>
    <w:rsid w:val="009171A5"/>
    <w:rsid w:val="009405CE"/>
    <w:rsid w:val="0094267B"/>
    <w:rsid w:val="00950441"/>
    <w:rsid w:val="00966697"/>
    <w:rsid w:val="00970320"/>
    <w:rsid w:val="00972EAB"/>
    <w:rsid w:val="009742E6"/>
    <w:rsid w:val="00976CAE"/>
    <w:rsid w:val="009802E3"/>
    <w:rsid w:val="00981DC7"/>
    <w:rsid w:val="0098678F"/>
    <w:rsid w:val="00992918"/>
    <w:rsid w:val="00992EFA"/>
    <w:rsid w:val="009B22BF"/>
    <w:rsid w:val="009B5C57"/>
    <w:rsid w:val="009C46C6"/>
    <w:rsid w:val="009C6E76"/>
    <w:rsid w:val="009C7879"/>
    <w:rsid w:val="009E34B7"/>
    <w:rsid w:val="009F4E53"/>
    <w:rsid w:val="00A02D30"/>
    <w:rsid w:val="00A034B1"/>
    <w:rsid w:val="00A3193F"/>
    <w:rsid w:val="00A322A7"/>
    <w:rsid w:val="00A32C49"/>
    <w:rsid w:val="00A35487"/>
    <w:rsid w:val="00A4059D"/>
    <w:rsid w:val="00A531E4"/>
    <w:rsid w:val="00A56A52"/>
    <w:rsid w:val="00A64609"/>
    <w:rsid w:val="00A66B70"/>
    <w:rsid w:val="00A7170A"/>
    <w:rsid w:val="00A755A3"/>
    <w:rsid w:val="00A7671F"/>
    <w:rsid w:val="00A83FC9"/>
    <w:rsid w:val="00A9735F"/>
    <w:rsid w:val="00AA54E1"/>
    <w:rsid w:val="00AA6014"/>
    <w:rsid w:val="00AC1CD4"/>
    <w:rsid w:val="00AC4CC4"/>
    <w:rsid w:val="00AE774F"/>
    <w:rsid w:val="00B01650"/>
    <w:rsid w:val="00B128E3"/>
    <w:rsid w:val="00B30E2A"/>
    <w:rsid w:val="00B41656"/>
    <w:rsid w:val="00B63C13"/>
    <w:rsid w:val="00B645D1"/>
    <w:rsid w:val="00B94F7C"/>
    <w:rsid w:val="00B95E0A"/>
    <w:rsid w:val="00B967C8"/>
    <w:rsid w:val="00BA60D8"/>
    <w:rsid w:val="00BB2294"/>
    <w:rsid w:val="00BB2920"/>
    <w:rsid w:val="00BB7176"/>
    <w:rsid w:val="00BC40A5"/>
    <w:rsid w:val="00BC74A4"/>
    <w:rsid w:val="00BE490B"/>
    <w:rsid w:val="00BE4DF3"/>
    <w:rsid w:val="00BF1039"/>
    <w:rsid w:val="00BF7EB0"/>
    <w:rsid w:val="00C04525"/>
    <w:rsid w:val="00C062B0"/>
    <w:rsid w:val="00C13095"/>
    <w:rsid w:val="00C17123"/>
    <w:rsid w:val="00C22187"/>
    <w:rsid w:val="00C23B89"/>
    <w:rsid w:val="00C25C73"/>
    <w:rsid w:val="00C32D50"/>
    <w:rsid w:val="00C361E0"/>
    <w:rsid w:val="00C470E9"/>
    <w:rsid w:val="00C55551"/>
    <w:rsid w:val="00C77CA2"/>
    <w:rsid w:val="00C84E5E"/>
    <w:rsid w:val="00C9612D"/>
    <w:rsid w:val="00CA1BD5"/>
    <w:rsid w:val="00CC39B0"/>
    <w:rsid w:val="00CD4B24"/>
    <w:rsid w:val="00CE1723"/>
    <w:rsid w:val="00CE1BD7"/>
    <w:rsid w:val="00CE4F79"/>
    <w:rsid w:val="00CE771E"/>
    <w:rsid w:val="00CF6809"/>
    <w:rsid w:val="00D10BDA"/>
    <w:rsid w:val="00D21CDB"/>
    <w:rsid w:val="00D27CB8"/>
    <w:rsid w:val="00D3730F"/>
    <w:rsid w:val="00D500EF"/>
    <w:rsid w:val="00D51C43"/>
    <w:rsid w:val="00D562EE"/>
    <w:rsid w:val="00D62649"/>
    <w:rsid w:val="00D64D5E"/>
    <w:rsid w:val="00D666A7"/>
    <w:rsid w:val="00D66D8F"/>
    <w:rsid w:val="00D7695A"/>
    <w:rsid w:val="00D817B5"/>
    <w:rsid w:val="00D847C7"/>
    <w:rsid w:val="00DA18C5"/>
    <w:rsid w:val="00DA6392"/>
    <w:rsid w:val="00DD4B00"/>
    <w:rsid w:val="00DE48AF"/>
    <w:rsid w:val="00DE6999"/>
    <w:rsid w:val="00DF1C5B"/>
    <w:rsid w:val="00E03E5C"/>
    <w:rsid w:val="00E06D7B"/>
    <w:rsid w:val="00E17E63"/>
    <w:rsid w:val="00E25406"/>
    <w:rsid w:val="00E26A9B"/>
    <w:rsid w:val="00E35B8A"/>
    <w:rsid w:val="00E430FB"/>
    <w:rsid w:val="00E55D24"/>
    <w:rsid w:val="00E570A1"/>
    <w:rsid w:val="00E86FB6"/>
    <w:rsid w:val="00E87137"/>
    <w:rsid w:val="00E94B56"/>
    <w:rsid w:val="00EB4624"/>
    <w:rsid w:val="00ED3235"/>
    <w:rsid w:val="00ED3BBB"/>
    <w:rsid w:val="00EE3AA4"/>
    <w:rsid w:val="00EE4F42"/>
    <w:rsid w:val="00F02D0A"/>
    <w:rsid w:val="00F15F9F"/>
    <w:rsid w:val="00F24985"/>
    <w:rsid w:val="00F24B54"/>
    <w:rsid w:val="00F33F32"/>
    <w:rsid w:val="00F34BAC"/>
    <w:rsid w:val="00F51BF1"/>
    <w:rsid w:val="00F63CE2"/>
    <w:rsid w:val="00F73ABC"/>
    <w:rsid w:val="00F81673"/>
    <w:rsid w:val="00F838C2"/>
    <w:rsid w:val="00F8606B"/>
    <w:rsid w:val="00F8771D"/>
    <w:rsid w:val="00FA2EC4"/>
    <w:rsid w:val="00FC052F"/>
    <w:rsid w:val="00FC168B"/>
    <w:rsid w:val="00FC3327"/>
    <w:rsid w:val="00FC3558"/>
    <w:rsid w:val="00FC499C"/>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E5E"/>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500EF"/>
    <w:pPr>
      <w:spacing w:line="240" w:lineRule="exact"/>
    </w:pPr>
    <w:rPr>
      <w:sz w:val="20"/>
      <w:szCs w:val="20"/>
      <w:lang w:eastAsia="fr-FR"/>
    </w:rPr>
  </w:style>
  <w:style w:type="character" w:customStyle="1" w:styleId="En-tteCar">
    <w:name w:val="En-tête Car"/>
    <w:link w:val="En-tte"/>
    <w:uiPriority w:val="99"/>
    <w:locked/>
    <w:rsid w:val="00D500EF"/>
    <w:rPr>
      <w:lang w:val="fr-FR" w:eastAsia="fr-FR"/>
    </w:rPr>
  </w:style>
  <w:style w:type="paragraph" w:styleId="Pieddepage">
    <w:name w:val="footer"/>
    <w:basedOn w:val="Normal"/>
    <w:link w:val="PieddepageCar"/>
    <w:uiPriority w:val="99"/>
    <w:rsid w:val="00D500EF"/>
    <w:pPr>
      <w:spacing w:line="240" w:lineRule="exact"/>
    </w:pPr>
    <w:rPr>
      <w:sz w:val="20"/>
      <w:szCs w:val="20"/>
      <w:lang w:eastAsia="fr-FR"/>
    </w:rPr>
  </w:style>
  <w:style w:type="character" w:customStyle="1" w:styleId="PieddepageCar">
    <w:name w:val="Pied de page Car"/>
    <w:link w:val="Pieddepage"/>
    <w:uiPriority w:val="99"/>
    <w:locked/>
    <w:rsid w:val="00D500EF"/>
    <w:rPr>
      <w:lang w:val="fr-FR" w:eastAsia="fr-FR"/>
    </w:rPr>
  </w:style>
  <w:style w:type="paragraph" w:styleId="Textedebulles">
    <w:name w:val="Balloon Text"/>
    <w:basedOn w:val="Normal"/>
    <w:link w:val="TextedebullesCar"/>
    <w:uiPriority w:val="99"/>
    <w:semiHidden/>
    <w:rsid w:val="00E87137"/>
    <w:pPr>
      <w:spacing w:line="240" w:lineRule="auto"/>
    </w:pPr>
    <w:rPr>
      <w:rFonts w:ascii="Tahoma" w:hAnsi="Tahoma"/>
      <w:sz w:val="16"/>
      <w:szCs w:val="16"/>
      <w:lang w:eastAsia="fr-FR"/>
    </w:rPr>
  </w:style>
  <w:style w:type="character" w:customStyle="1" w:styleId="TextedebullesCar">
    <w:name w:val="Texte de bulles Car"/>
    <w:link w:val="Textedebulles"/>
    <w:uiPriority w:val="99"/>
    <w:semiHidden/>
    <w:locked/>
    <w:rsid w:val="00E87137"/>
    <w:rPr>
      <w:rFonts w:ascii="Tahoma" w:hAnsi="Tahoma"/>
      <w:sz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lang w:eastAsia="fr-FR"/>
    </w:rPr>
  </w:style>
  <w:style w:type="character" w:customStyle="1" w:styleId="NotedebasdepageCar">
    <w:name w:val="Note de bas de page Car"/>
    <w:link w:val="Notedebasdepage"/>
    <w:uiPriority w:val="99"/>
    <w:semiHidden/>
    <w:locked/>
    <w:rsid w:val="002C0B4C"/>
    <w:rPr>
      <w:sz w:val="20"/>
    </w:rPr>
  </w:style>
  <w:style w:type="character" w:styleId="Appelnotedebasdep">
    <w:name w:val="footnote reference"/>
    <w:uiPriority w:val="99"/>
    <w:semiHidden/>
    <w:rsid w:val="002C0B4C"/>
    <w:rPr>
      <w:vertAlign w:val="superscript"/>
    </w:rPr>
  </w:style>
  <w:style w:type="paragraph" w:styleId="NormalWeb">
    <w:name w:val="Normal (Web)"/>
    <w:basedOn w:val="Normal"/>
    <w:uiPriority w:val="99"/>
    <w:rsid w:val="002E75B7"/>
    <w:pPr>
      <w:spacing w:before="100" w:beforeAutospacing="1" w:after="100" w:afterAutospacing="1" w:line="240" w:lineRule="auto"/>
      <w:ind w:left="225"/>
    </w:pPr>
    <w:rPr>
      <w:rFonts w:cs="Arial"/>
      <w:sz w:val="20"/>
      <w:szCs w:val="20"/>
      <w:lang w:eastAsia="fr-FR"/>
    </w:rPr>
  </w:style>
  <w:style w:type="character" w:customStyle="1" w:styleId="DefaultParagraphFontPHPDOCX">
    <w:name w:val="Default Paragraph Font PHPDOCX"/>
    <w:uiPriority w:val="1"/>
    <w:semiHidden/>
    <w:unhideWhenUsed/>
    <w:rsid w:val="00D27CB8"/>
  </w:style>
  <w:style w:type="paragraph" w:customStyle="1" w:styleId="ListParagraphPHPDOCX">
    <w:name w:val="List Paragraph PHPDOCX"/>
    <w:basedOn w:val="Normal"/>
    <w:uiPriority w:val="34"/>
    <w:qFormat/>
    <w:pPr>
      <w:ind w:left="720"/>
      <w:contextualSpacing/>
    </w:pPr>
  </w:style>
  <w:style w:type="paragraph" w:customStyle="1" w:styleId="TitlePHPDOCX">
    <w:name w:val="Title PHPDOCX"/>
    <w:basedOn w:val="Normal"/>
    <w:next w:val="Normal"/>
    <w:link w:val="TitleCarPHPDOCX"/>
    <w:uiPriority w:val="10"/>
    <w:qFormat/>
    <w:pPr>
      <w:pBdr>
        <w:bottom w:val="single" w:sz="8" w:space="4" w:color="4F81BD"/>
      </w:pBdr>
      <w:spacing w:after="300" w:line="240" w:lineRule="auto"/>
      <w:contextualSpacing/>
    </w:pPr>
    <w:rPr>
      <w:rFonts w:ascii="Calibri" w:hAnsi="Calibri"/>
      <w:color w:val="17365D"/>
      <w:spacing w:val="5"/>
      <w:kern w:val="28"/>
      <w:sz w:val="52"/>
      <w:szCs w:val="52"/>
    </w:rPr>
  </w:style>
  <w:style w:type="character" w:customStyle="1" w:styleId="TitleCarPHPDOCX">
    <w:name w:val="Title Car PHPDOCX"/>
    <w:link w:val="TitlePHPDOCX"/>
    <w:uiPriority w:val="10"/>
    <w:locked/>
    <w:rPr>
      <w:rFonts w:ascii="Calibri" w:hAnsi="Calibri" w:cs="Times New Roman"/>
      <w:color w:val="17365D"/>
      <w:spacing w:val="5"/>
      <w:kern w:val="28"/>
      <w:sz w:val="52"/>
      <w:szCs w:val="52"/>
    </w:rPr>
  </w:style>
  <w:style w:type="paragraph" w:customStyle="1" w:styleId="SubtitlePHPDOCX">
    <w:name w:val="Subtitle PHPDOCX"/>
    <w:basedOn w:val="Normal"/>
    <w:next w:val="Normal"/>
    <w:link w:val="SubtitleCarPHPDOCX"/>
    <w:uiPriority w:val="11"/>
    <w:qFormat/>
    <w:pPr>
      <w:numPr>
        <w:ilvl w:val="1"/>
      </w:numPr>
    </w:pPr>
    <w:rPr>
      <w:rFonts w:ascii="Calibri" w:hAnsi="Calibri"/>
      <w:i/>
      <w:iCs/>
      <w:color w:val="4F81BD"/>
      <w:spacing w:val="15"/>
      <w:sz w:val="24"/>
      <w:szCs w:val="24"/>
    </w:rPr>
  </w:style>
  <w:style w:type="character" w:customStyle="1" w:styleId="SubtitleCarPHPDOCX">
    <w:name w:val="Subtitle Car PHPDOCX"/>
    <w:link w:val="SubtitlePHPDOCX"/>
    <w:uiPriority w:val="11"/>
    <w:locked/>
    <w:rPr>
      <w:rFonts w:ascii="Calibri" w:hAnsi="Calibri" w:cs="Times New Roman"/>
      <w:i/>
      <w:iCs/>
      <w:color w:val="4F81BD"/>
      <w:spacing w:val="15"/>
      <w:sz w:val="24"/>
      <w:szCs w:val="24"/>
    </w:rPr>
  </w:style>
  <w:style w:type="table" w:customStyle="1" w:styleId="NormalTablePHPDOCX">
    <w:name w:val="Normal Table PHPDOCX"/>
    <w:uiPriority w:val="99"/>
    <w:semiHidden/>
    <w:unhideWhenUsed/>
    <w:qFormat/>
    <w:rsid w:val="00D27CB8"/>
    <w:tblPr>
      <w:tblInd w:w="0" w:type="dxa"/>
      <w:tblCellMar>
        <w:top w:w="0" w:type="dxa"/>
        <w:left w:w="108" w:type="dxa"/>
        <w:bottom w:w="0" w:type="dxa"/>
        <w:right w:w="108" w:type="dxa"/>
      </w:tblCellMar>
    </w:tblPr>
  </w:style>
  <w:style w:type="table" w:customStyle="1" w:styleId="TableGridPHPDOCX">
    <w:name w:val="Table Grid PHPDOCX"/>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Pr>
      <w:rFonts w:cs="Times New Roman"/>
      <w:sz w:val="16"/>
      <w:szCs w:val="16"/>
    </w:rPr>
  </w:style>
  <w:style w:type="paragraph" w:customStyle="1" w:styleId="annotationtextPHPDOCX">
    <w:name w:val="annotation text PHPDOCX"/>
    <w:basedOn w:val="Normal"/>
    <w:link w:val="CommentTextCharPHPDOCX"/>
    <w:uiPriority w:val="99"/>
    <w:semiHidden/>
    <w:unhideWhenUsed/>
    <w:pPr>
      <w:spacing w:line="240" w:lineRule="auto"/>
    </w:pPr>
    <w:rPr>
      <w:sz w:val="20"/>
      <w:szCs w:val="20"/>
    </w:rPr>
  </w:style>
  <w:style w:type="character" w:customStyle="1" w:styleId="CommentTextCharPHPDOCX">
    <w:name w:val="Comment Text Char PHPDOCX"/>
    <w:link w:val="annotationtextPHPDOCX"/>
    <w:uiPriority w:val="99"/>
    <w:semiHidden/>
    <w:locked/>
    <w:rPr>
      <w:rFonts w:cs="Times New Roman"/>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Pr>
      <w:b/>
      <w:bCs/>
    </w:rPr>
  </w:style>
  <w:style w:type="character" w:customStyle="1" w:styleId="CommentSubjectCharPHPDOCX">
    <w:name w:val="Comment Subject Char PHPDOCX"/>
    <w:link w:val="annotationsubjectPHPDOCX"/>
    <w:uiPriority w:val="99"/>
    <w:semiHidden/>
    <w:locked/>
    <w:rPr>
      <w:rFonts w:cs="Times New Roman"/>
      <w:b/>
      <w:bCs/>
      <w:sz w:val="20"/>
      <w:szCs w:val="20"/>
    </w:rPr>
  </w:style>
  <w:style w:type="paragraph" w:customStyle="1" w:styleId="BalloonTextPHPDOCX">
    <w:name w:val="Balloon Text PHPDOCX"/>
    <w:basedOn w:val="Normal"/>
    <w:link w:val="BalloonTextCharPHPDOCX"/>
    <w:uiPriority w:val="99"/>
    <w:semiHidden/>
    <w:unhideWhenUsed/>
    <w:pPr>
      <w:spacing w:line="240" w:lineRule="auto"/>
    </w:pPr>
    <w:rPr>
      <w:rFonts w:ascii="Tahoma" w:hAnsi="Tahoma" w:cs="Tahoma"/>
      <w:sz w:val="16"/>
      <w:szCs w:val="16"/>
    </w:rPr>
  </w:style>
  <w:style w:type="character" w:customStyle="1" w:styleId="BalloonTextCharPHPDOCX">
    <w:name w:val="Balloon Text Char PHPDOCX"/>
    <w:link w:val="BalloonTextPHPDOCX"/>
    <w:uiPriority w:val="99"/>
    <w:semiHidden/>
    <w:locked/>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pPr>
      <w:spacing w:line="240" w:lineRule="auto"/>
    </w:pPr>
    <w:rPr>
      <w:sz w:val="20"/>
      <w:szCs w:val="20"/>
    </w:rPr>
  </w:style>
  <w:style w:type="character" w:customStyle="1" w:styleId="footnoteTextCarPHPDOCX">
    <w:name w:val="footnote Text Car PHPDOCX"/>
    <w:link w:val="footnoteTextPHPDOCX"/>
    <w:uiPriority w:val="99"/>
    <w:semiHidden/>
    <w:locked/>
    <w:rPr>
      <w:rFonts w:cs="Times New Roman"/>
      <w:sz w:val="20"/>
      <w:szCs w:val="20"/>
    </w:rPr>
  </w:style>
  <w:style w:type="character" w:customStyle="1" w:styleId="footnoteReferencePHPDOCX">
    <w:name w:val="footnote Reference PHPDOCX"/>
    <w:uiPriority w:val="99"/>
    <w:semiHidden/>
    <w:unhideWhenUsed/>
    <w:rPr>
      <w:rFonts w:cs="Times New Roman"/>
      <w:vertAlign w:val="superscript"/>
    </w:rPr>
  </w:style>
  <w:style w:type="paragraph" w:customStyle="1" w:styleId="endnoteTextPHPDOCX">
    <w:name w:val="endnote Text PHPDOCX"/>
    <w:basedOn w:val="Normal"/>
    <w:link w:val="endnoteTextCarPHPDOCX"/>
    <w:uiPriority w:val="99"/>
    <w:semiHidden/>
    <w:unhideWhenUsed/>
    <w:pPr>
      <w:spacing w:line="240" w:lineRule="auto"/>
    </w:pPr>
    <w:rPr>
      <w:sz w:val="20"/>
      <w:szCs w:val="20"/>
    </w:rPr>
  </w:style>
  <w:style w:type="character" w:customStyle="1" w:styleId="endnoteTextCarPHPDOCX">
    <w:name w:val="endnote Text Car PHPDOCX"/>
    <w:link w:val="endnoteTextPHPDOCX"/>
    <w:uiPriority w:val="99"/>
    <w:semiHidden/>
    <w:locked/>
    <w:rPr>
      <w:rFonts w:cs="Times New Roman"/>
      <w:sz w:val="20"/>
      <w:szCs w:val="20"/>
    </w:rPr>
  </w:style>
  <w:style w:type="character" w:customStyle="1" w:styleId="endnoteReferencePHPDOCX">
    <w:name w:val="endnote Reference PHPDOCX"/>
    <w:uiPriority w:val="99"/>
    <w:semiHidden/>
    <w:unhideWhenUsed/>
    <w:rPr>
      <w:rFonts w:cs="Times New Roman"/>
      <w:vertAlign w:val="superscript"/>
    </w:rPr>
  </w:style>
  <w:style w:type="character" w:customStyle="1" w:styleId="annotationreferencePHPDOCX4">
    <w:name w:val="annotation reference PHPDOCX4"/>
    <w:uiPriority w:val="99"/>
    <w:semiHidden/>
    <w:unhideWhenUsed/>
    <w:rPr>
      <w:rFonts w:cs="Times New Roman"/>
      <w:sz w:val="16"/>
      <w:szCs w:val="16"/>
    </w:rPr>
  </w:style>
  <w:style w:type="paragraph" w:customStyle="1" w:styleId="annotationtextPHPDOCX4">
    <w:name w:val="annotation text PHPDOCX4"/>
    <w:basedOn w:val="Normal"/>
    <w:uiPriority w:val="99"/>
    <w:semiHidden/>
    <w:unhideWhenUsed/>
    <w:pPr>
      <w:spacing w:line="240" w:lineRule="auto"/>
    </w:pPr>
    <w:rPr>
      <w:sz w:val="20"/>
      <w:szCs w:val="20"/>
    </w:rPr>
  </w:style>
  <w:style w:type="paragraph" w:customStyle="1" w:styleId="annotationsubjectPHPDOCX4">
    <w:name w:val="annotation subject PHPDOCX4"/>
    <w:basedOn w:val="annotationtextPHPDOCX4"/>
    <w:next w:val="annotationtextPHPDOCX4"/>
    <w:uiPriority w:val="99"/>
    <w:semiHidden/>
    <w:unhideWhenUsed/>
    <w:rPr>
      <w:b/>
      <w:bCs/>
    </w:rPr>
  </w:style>
  <w:style w:type="character" w:customStyle="1" w:styleId="annotationreferencePHPDOCX3">
    <w:name w:val="annotation reference PHPDOCX3"/>
    <w:uiPriority w:val="99"/>
    <w:semiHidden/>
    <w:unhideWhenUsed/>
    <w:rPr>
      <w:rFonts w:cs="Times New Roman"/>
      <w:sz w:val="16"/>
      <w:szCs w:val="16"/>
    </w:rPr>
  </w:style>
  <w:style w:type="paragraph" w:customStyle="1" w:styleId="annotationtextPHPDOCX3">
    <w:name w:val="annotation text PHPDOCX3"/>
    <w:basedOn w:val="Normal"/>
    <w:uiPriority w:val="99"/>
    <w:semiHidden/>
    <w:unhideWhenUsed/>
    <w:pPr>
      <w:spacing w:line="240" w:lineRule="auto"/>
    </w:pPr>
    <w:rPr>
      <w:sz w:val="20"/>
      <w:szCs w:val="20"/>
    </w:rPr>
  </w:style>
  <w:style w:type="paragraph" w:customStyle="1" w:styleId="annotationsubjectPHPDOCX3">
    <w:name w:val="annotation subject PHPDOCX3"/>
    <w:basedOn w:val="annotationtextPHPDOCX3"/>
    <w:next w:val="annotationtextPHPDOCX3"/>
    <w:uiPriority w:val="99"/>
    <w:semiHidden/>
    <w:unhideWhenUsed/>
    <w:rPr>
      <w:b/>
      <w:bCs/>
    </w:rPr>
  </w:style>
  <w:style w:type="character" w:customStyle="1" w:styleId="annotationreferencePHPDOCX2">
    <w:name w:val="annotation reference PHPDOCX2"/>
    <w:uiPriority w:val="99"/>
    <w:semiHidden/>
    <w:unhideWhenUsed/>
    <w:rPr>
      <w:rFonts w:cs="Times New Roman"/>
      <w:sz w:val="16"/>
      <w:szCs w:val="16"/>
    </w:rPr>
  </w:style>
  <w:style w:type="paragraph" w:customStyle="1" w:styleId="annotationtextPHPDOCX2">
    <w:name w:val="annotation text PHPDOCX2"/>
    <w:basedOn w:val="Normal"/>
    <w:uiPriority w:val="99"/>
    <w:semiHidden/>
    <w:unhideWhenUsed/>
    <w:pPr>
      <w:spacing w:line="240" w:lineRule="auto"/>
    </w:pPr>
    <w:rPr>
      <w:sz w:val="20"/>
      <w:szCs w:val="20"/>
    </w:rPr>
  </w:style>
  <w:style w:type="paragraph" w:customStyle="1" w:styleId="annotationsubjectPHPDOCX2">
    <w:name w:val="annotation subject PHPDOCX2"/>
    <w:basedOn w:val="annotationtextPHPDOCX2"/>
    <w:next w:val="annotationtextPHPDOCX2"/>
    <w:uiPriority w:val="99"/>
    <w:semiHidden/>
    <w:unhideWhenUsed/>
    <w:rPr>
      <w:b/>
      <w:bCs/>
    </w:rPr>
  </w:style>
  <w:style w:type="character" w:customStyle="1" w:styleId="annotationreferencePHPDOCX1">
    <w:name w:val="annotation reference PHPDOCX1"/>
    <w:uiPriority w:val="99"/>
    <w:semiHidden/>
    <w:unhideWhenUsed/>
    <w:rPr>
      <w:rFonts w:cs="Times New Roman"/>
      <w:sz w:val="16"/>
      <w:szCs w:val="16"/>
    </w:rPr>
  </w:style>
  <w:style w:type="paragraph" w:customStyle="1" w:styleId="annotationtextPHPDOCX1">
    <w:name w:val="annotation text PHPDOCX1"/>
    <w:basedOn w:val="Normal"/>
    <w:uiPriority w:val="99"/>
    <w:semiHidden/>
    <w:unhideWhenUsed/>
    <w:pPr>
      <w:spacing w:line="240" w:lineRule="auto"/>
    </w:pPr>
    <w:rPr>
      <w:sz w:val="20"/>
      <w:szCs w:val="20"/>
    </w:rPr>
  </w:style>
  <w:style w:type="paragraph" w:customStyle="1" w:styleId="annotationsubjectPHPDOCX1">
    <w:name w:val="annotation subject PHPDOCX1"/>
    <w:basedOn w:val="annotationtextPHPDOCX1"/>
    <w:next w:val="annotationtextPHPDOCX1"/>
    <w:uiPriority w:val="99"/>
    <w:semiHidden/>
    <w:unhideWhenUsed/>
    <w:rPr>
      <w:b/>
      <w:bCs/>
    </w:rPr>
  </w:style>
  <w:style w:type="character" w:styleId="Lienhypertexte">
    <w:name w:val="Hyperlink"/>
    <w:uiPriority w:val="99"/>
    <w:semiHidden/>
    <w:rPr>
      <w:rFonts w:cs="Times New Roman"/>
      <w:color w:val="0000FF"/>
      <w:u w:val="single"/>
    </w:rPr>
  </w:style>
  <w:style w:type="paragraph" w:styleId="Paragraphedeliste">
    <w:name w:val="List Paragraph"/>
    <w:basedOn w:val="Normal"/>
    <w:uiPriority w:val="34"/>
    <w:qFormat/>
    <w:rsid w:val="006F1533"/>
    <w:pPr>
      <w:spacing w:line="240" w:lineRule="auto"/>
      <w:ind w:left="720"/>
    </w:pPr>
    <w:rPr>
      <w:rFonts w:ascii="Calibri" w:eastAsia="Calibri" w:hAnsi="Calibri"/>
      <w:sz w:val="22"/>
    </w:rPr>
  </w:style>
  <w:style w:type="character" w:styleId="Marquedecommentaire">
    <w:name w:val="annotation reference"/>
    <w:uiPriority w:val="99"/>
    <w:semiHidden/>
    <w:unhideWhenUsed/>
    <w:rsid w:val="008770F8"/>
    <w:rPr>
      <w:sz w:val="16"/>
      <w:szCs w:val="16"/>
    </w:rPr>
  </w:style>
  <w:style w:type="paragraph" w:styleId="Commentaire">
    <w:name w:val="annotation text"/>
    <w:basedOn w:val="Normal"/>
    <w:link w:val="CommentaireCar"/>
    <w:uiPriority w:val="99"/>
    <w:semiHidden/>
    <w:unhideWhenUsed/>
    <w:rsid w:val="008770F8"/>
    <w:rPr>
      <w:sz w:val="20"/>
      <w:szCs w:val="20"/>
    </w:rPr>
  </w:style>
  <w:style w:type="character" w:customStyle="1" w:styleId="CommentaireCar">
    <w:name w:val="Commentaire Car"/>
    <w:link w:val="Commentaire"/>
    <w:uiPriority w:val="99"/>
    <w:semiHidden/>
    <w:rsid w:val="008770F8"/>
    <w:rPr>
      <w:lang w:eastAsia="en-US"/>
    </w:rPr>
  </w:style>
  <w:style w:type="paragraph" w:styleId="Objetducommentaire">
    <w:name w:val="annotation subject"/>
    <w:basedOn w:val="Commentaire"/>
    <w:next w:val="Commentaire"/>
    <w:link w:val="ObjetducommentaireCar"/>
    <w:uiPriority w:val="99"/>
    <w:semiHidden/>
    <w:unhideWhenUsed/>
    <w:rsid w:val="008770F8"/>
    <w:rPr>
      <w:b/>
      <w:bCs/>
    </w:rPr>
  </w:style>
  <w:style w:type="character" w:customStyle="1" w:styleId="ObjetducommentaireCar">
    <w:name w:val="Objet du commentaire Car"/>
    <w:link w:val="Objetducommentaire"/>
    <w:uiPriority w:val="99"/>
    <w:semiHidden/>
    <w:rsid w:val="008770F8"/>
    <w:rPr>
      <w:b/>
      <w:bCs/>
      <w:lang w:eastAsia="en-US"/>
    </w:rPr>
  </w:style>
  <w:style w:type="paragraph" w:styleId="Rvision">
    <w:name w:val="Revision"/>
    <w:hidden/>
    <w:uiPriority w:val="99"/>
    <w:semiHidden/>
    <w:rsid w:val="008770F8"/>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E5E"/>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500EF"/>
    <w:pPr>
      <w:spacing w:line="240" w:lineRule="exact"/>
    </w:pPr>
    <w:rPr>
      <w:sz w:val="20"/>
      <w:szCs w:val="20"/>
      <w:lang w:eastAsia="fr-FR"/>
    </w:rPr>
  </w:style>
  <w:style w:type="character" w:customStyle="1" w:styleId="En-tteCar">
    <w:name w:val="En-tête Car"/>
    <w:link w:val="En-tte"/>
    <w:uiPriority w:val="99"/>
    <w:locked/>
    <w:rsid w:val="00D500EF"/>
    <w:rPr>
      <w:lang w:val="fr-FR" w:eastAsia="fr-FR"/>
    </w:rPr>
  </w:style>
  <w:style w:type="paragraph" w:styleId="Pieddepage">
    <w:name w:val="footer"/>
    <w:basedOn w:val="Normal"/>
    <w:link w:val="PieddepageCar"/>
    <w:uiPriority w:val="99"/>
    <w:rsid w:val="00D500EF"/>
    <w:pPr>
      <w:spacing w:line="240" w:lineRule="exact"/>
    </w:pPr>
    <w:rPr>
      <w:sz w:val="20"/>
      <w:szCs w:val="20"/>
      <w:lang w:eastAsia="fr-FR"/>
    </w:rPr>
  </w:style>
  <w:style w:type="character" w:customStyle="1" w:styleId="PieddepageCar">
    <w:name w:val="Pied de page Car"/>
    <w:link w:val="Pieddepage"/>
    <w:uiPriority w:val="99"/>
    <w:locked/>
    <w:rsid w:val="00D500EF"/>
    <w:rPr>
      <w:lang w:val="fr-FR" w:eastAsia="fr-FR"/>
    </w:rPr>
  </w:style>
  <w:style w:type="paragraph" w:styleId="Textedebulles">
    <w:name w:val="Balloon Text"/>
    <w:basedOn w:val="Normal"/>
    <w:link w:val="TextedebullesCar"/>
    <w:uiPriority w:val="99"/>
    <w:semiHidden/>
    <w:rsid w:val="00E87137"/>
    <w:pPr>
      <w:spacing w:line="240" w:lineRule="auto"/>
    </w:pPr>
    <w:rPr>
      <w:rFonts w:ascii="Tahoma" w:hAnsi="Tahoma"/>
      <w:sz w:val="16"/>
      <w:szCs w:val="16"/>
      <w:lang w:eastAsia="fr-FR"/>
    </w:rPr>
  </w:style>
  <w:style w:type="character" w:customStyle="1" w:styleId="TextedebullesCar">
    <w:name w:val="Texte de bulles Car"/>
    <w:link w:val="Textedebulles"/>
    <w:uiPriority w:val="99"/>
    <w:semiHidden/>
    <w:locked/>
    <w:rsid w:val="00E87137"/>
    <w:rPr>
      <w:rFonts w:ascii="Tahoma" w:hAnsi="Tahoma"/>
      <w:sz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lang w:eastAsia="fr-FR"/>
    </w:rPr>
  </w:style>
  <w:style w:type="character" w:customStyle="1" w:styleId="NotedebasdepageCar">
    <w:name w:val="Note de bas de page Car"/>
    <w:link w:val="Notedebasdepage"/>
    <w:uiPriority w:val="99"/>
    <w:semiHidden/>
    <w:locked/>
    <w:rsid w:val="002C0B4C"/>
    <w:rPr>
      <w:sz w:val="20"/>
    </w:rPr>
  </w:style>
  <w:style w:type="character" w:styleId="Appelnotedebasdep">
    <w:name w:val="footnote reference"/>
    <w:uiPriority w:val="99"/>
    <w:semiHidden/>
    <w:rsid w:val="002C0B4C"/>
    <w:rPr>
      <w:vertAlign w:val="superscript"/>
    </w:rPr>
  </w:style>
  <w:style w:type="paragraph" w:styleId="NormalWeb">
    <w:name w:val="Normal (Web)"/>
    <w:basedOn w:val="Normal"/>
    <w:uiPriority w:val="99"/>
    <w:rsid w:val="002E75B7"/>
    <w:pPr>
      <w:spacing w:before="100" w:beforeAutospacing="1" w:after="100" w:afterAutospacing="1" w:line="240" w:lineRule="auto"/>
      <w:ind w:left="225"/>
    </w:pPr>
    <w:rPr>
      <w:rFonts w:cs="Arial"/>
      <w:sz w:val="20"/>
      <w:szCs w:val="20"/>
      <w:lang w:eastAsia="fr-FR"/>
    </w:rPr>
  </w:style>
  <w:style w:type="character" w:customStyle="1" w:styleId="DefaultParagraphFontPHPDOCX">
    <w:name w:val="Default Paragraph Font PHPDOCX"/>
    <w:uiPriority w:val="1"/>
    <w:semiHidden/>
    <w:unhideWhenUsed/>
    <w:rsid w:val="00D27CB8"/>
  </w:style>
  <w:style w:type="paragraph" w:customStyle="1" w:styleId="ListParagraphPHPDOCX">
    <w:name w:val="List Paragraph PHPDOCX"/>
    <w:basedOn w:val="Normal"/>
    <w:uiPriority w:val="34"/>
    <w:qFormat/>
    <w:pPr>
      <w:ind w:left="720"/>
      <w:contextualSpacing/>
    </w:pPr>
  </w:style>
  <w:style w:type="paragraph" w:customStyle="1" w:styleId="TitlePHPDOCX">
    <w:name w:val="Title PHPDOCX"/>
    <w:basedOn w:val="Normal"/>
    <w:next w:val="Normal"/>
    <w:link w:val="TitleCarPHPDOCX"/>
    <w:uiPriority w:val="10"/>
    <w:qFormat/>
    <w:pPr>
      <w:pBdr>
        <w:bottom w:val="single" w:sz="8" w:space="4" w:color="4F81BD"/>
      </w:pBdr>
      <w:spacing w:after="300" w:line="240" w:lineRule="auto"/>
      <w:contextualSpacing/>
    </w:pPr>
    <w:rPr>
      <w:rFonts w:ascii="Calibri" w:hAnsi="Calibri"/>
      <w:color w:val="17365D"/>
      <w:spacing w:val="5"/>
      <w:kern w:val="28"/>
      <w:sz w:val="52"/>
      <w:szCs w:val="52"/>
    </w:rPr>
  </w:style>
  <w:style w:type="character" w:customStyle="1" w:styleId="TitleCarPHPDOCX">
    <w:name w:val="Title Car PHPDOCX"/>
    <w:link w:val="TitlePHPDOCX"/>
    <w:uiPriority w:val="10"/>
    <w:locked/>
    <w:rPr>
      <w:rFonts w:ascii="Calibri" w:hAnsi="Calibri" w:cs="Times New Roman"/>
      <w:color w:val="17365D"/>
      <w:spacing w:val="5"/>
      <w:kern w:val="28"/>
      <w:sz w:val="52"/>
      <w:szCs w:val="52"/>
    </w:rPr>
  </w:style>
  <w:style w:type="paragraph" w:customStyle="1" w:styleId="SubtitlePHPDOCX">
    <w:name w:val="Subtitle PHPDOCX"/>
    <w:basedOn w:val="Normal"/>
    <w:next w:val="Normal"/>
    <w:link w:val="SubtitleCarPHPDOCX"/>
    <w:uiPriority w:val="11"/>
    <w:qFormat/>
    <w:pPr>
      <w:numPr>
        <w:ilvl w:val="1"/>
      </w:numPr>
    </w:pPr>
    <w:rPr>
      <w:rFonts w:ascii="Calibri" w:hAnsi="Calibri"/>
      <w:i/>
      <w:iCs/>
      <w:color w:val="4F81BD"/>
      <w:spacing w:val="15"/>
      <w:sz w:val="24"/>
      <w:szCs w:val="24"/>
    </w:rPr>
  </w:style>
  <w:style w:type="character" w:customStyle="1" w:styleId="SubtitleCarPHPDOCX">
    <w:name w:val="Subtitle Car PHPDOCX"/>
    <w:link w:val="SubtitlePHPDOCX"/>
    <w:uiPriority w:val="11"/>
    <w:locked/>
    <w:rPr>
      <w:rFonts w:ascii="Calibri" w:hAnsi="Calibri" w:cs="Times New Roman"/>
      <w:i/>
      <w:iCs/>
      <w:color w:val="4F81BD"/>
      <w:spacing w:val="15"/>
      <w:sz w:val="24"/>
      <w:szCs w:val="24"/>
    </w:rPr>
  </w:style>
  <w:style w:type="table" w:customStyle="1" w:styleId="NormalTablePHPDOCX">
    <w:name w:val="Normal Table PHPDOCX"/>
    <w:uiPriority w:val="99"/>
    <w:semiHidden/>
    <w:unhideWhenUsed/>
    <w:qFormat/>
    <w:rsid w:val="00D27CB8"/>
    <w:tblPr>
      <w:tblInd w:w="0" w:type="dxa"/>
      <w:tblCellMar>
        <w:top w:w="0" w:type="dxa"/>
        <w:left w:w="108" w:type="dxa"/>
        <w:bottom w:w="0" w:type="dxa"/>
        <w:right w:w="108" w:type="dxa"/>
      </w:tblCellMar>
    </w:tblPr>
  </w:style>
  <w:style w:type="table" w:customStyle="1" w:styleId="TableGridPHPDOCX">
    <w:name w:val="Table Grid PHPDOCX"/>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Pr>
      <w:rFonts w:cs="Times New Roman"/>
      <w:sz w:val="16"/>
      <w:szCs w:val="16"/>
    </w:rPr>
  </w:style>
  <w:style w:type="paragraph" w:customStyle="1" w:styleId="annotationtextPHPDOCX">
    <w:name w:val="annotation text PHPDOCX"/>
    <w:basedOn w:val="Normal"/>
    <w:link w:val="CommentTextCharPHPDOCX"/>
    <w:uiPriority w:val="99"/>
    <w:semiHidden/>
    <w:unhideWhenUsed/>
    <w:pPr>
      <w:spacing w:line="240" w:lineRule="auto"/>
    </w:pPr>
    <w:rPr>
      <w:sz w:val="20"/>
      <w:szCs w:val="20"/>
    </w:rPr>
  </w:style>
  <w:style w:type="character" w:customStyle="1" w:styleId="CommentTextCharPHPDOCX">
    <w:name w:val="Comment Text Char PHPDOCX"/>
    <w:link w:val="annotationtextPHPDOCX"/>
    <w:uiPriority w:val="99"/>
    <w:semiHidden/>
    <w:locked/>
    <w:rPr>
      <w:rFonts w:cs="Times New Roman"/>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Pr>
      <w:b/>
      <w:bCs/>
    </w:rPr>
  </w:style>
  <w:style w:type="character" w:customStyle="1" w:styleId="CommentSubjectCharPHPDOCX">
    <w:name w:val="Comment Subject Char PHPDOCX"/>
    <w:link w:val="annotationsubjectPHPDOCX"/>
    <w:uiPriority w:val="99"/>
    <w:semiHidden/>
    <w:locked/>
    <w:rPr>
      <w:rFonts w:cs="Times New Roman"/>
      <w:b/>
      <w:bCs/>
      <w:sz w:val="20"/>
      <w:szCs w:val="20"/>
    </w:rPr>
  </w:style>
  <w:style w:type="paragraph" w:customStyle="1" w:styleId="BalloonTextPHPDOCX">
    <w:name w:val="Balloon Text PHPDOCX"/>
    <w:basedOn w:val="Normal"/>
    <w:link w:val="BalloonTextCharPHPDOCX"/>
    <w:uiPriority w:val="99"/>
    <w:semiHidden/>
    <w:unhideWhenUsed/>
    <w:pPr>
      <w:spacing w:line="240" w:lineRule="auto"/>
    </w:pPr>
    <w:rPr>
      <w:rFonts w:ascii="Tahoma" w:hAnsi="Tahoma" w:cs="Tahoma"/>
      <w:sz w:val="16"/>
      <w:szCs w:val="16"/>
    </w:rPr>
  </w:style>
  <w:style w:type="character" w:customStyle="1" w:styleId="BalloonTextCharPHPDOCX">
    <w:name w:val="Balloon Text Char PHPDOCX"/>
    <w:link w:val="BalloonTextPHPDOCX"/>
    <w:uiPriority w:val="99"/>
    <w:semiHidden/>
    <w:locked/>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pPr>
      <w:spacing w:line="240" w:lineRule="auto"/>
    </w:pPr>
    <w:rPr>
      <w:sz w:val="20"/>
      <w:szCs w:val="20"/>
    </w:rPr>
  </w:style>
  <w:style w:type="character" w:customStyle="1" w:styleId="footnoteTextCarPHPDOCX">
    <w:name w:val="footnote Text Car PHPDOCX"/>
    <w:link w:val="footnoteTextPHPDOCX"/>
    <w:uiPriority w:val="99"/>
    <w:semiHidden/>
    <w:locked/>
    <w:rPr>
      <w:rFonts w:cs="Times New Roman"/>
      <w:sz w:val="20"/>
      <w:szCs w:val="20"/>
    </w:rPr>
  </w:style>
  <w:style w:type="character" w:customStyle="1" w:styleId="footnoteReferencePHPDOCX">
    <w:name w:val="footnote Reference PHPDOCX"/>
    <w:uiPriority w:val="99"/>
    <w:semiHidden/>
    <w:unhideWhenUsed/>
    <w:rPr>
      <w:rFonts w:cs="Times New Roman"/>
      <w:vertAlign w:val="superscript"/>
    </w:rPr>
  </w:style>
  <w:style w:type="paragraph" w:customStyle="1" w:styleId="endnoteTextPHPDOCX">
    <w:name w:val="endnote Text PHPDOCX"/>
    <w:basedOn w:val="Normal"/>
    <w:link w:val="endnoteTextCarPHPDOCX"/>
    <w:uiPriority w:val="99"/>
    <w:semiHidden/>
    <w:unhideWhenUsed/>
    <w:pPr>
      <w:spacing w:line="240" w:lineRule="auto"/>
    </w:pPr>
    <w:rPr>
      <w:sz w:val="20"/>
      <w:szCs w:val="20"/>
    </w:rPr>
  </w:style>
  <w:style w:type="character" w:customStyle="1" w:styleId="endnoteTextCarPHPDOCX">
    <w:name w:val="endnote Text Car PHPDOCX"/>
    <w:link w:val="endnoteTextPHPDOCX"/>
    <w:uiPriority w:val="99"/>
    <w:semiHidden/>
    <w:locked/>
    <w:rPr>
      <w:rFonts w:cs="Times New Roman"/>
      <w:sz w:val="20"/>
      <w:szCs w:val="20"/>
    </w:rPr>
  </w:style>
  <w:style w:type="character" w:customStyle="1" w:styleId="endnoteReferencePHPDOCX">
    <w:name w:val="endnote Reference PHPDOCX"/>
    <w:uiPriority w:val="99"/>
    <w:semiHidden/>
    <w:unhideWhenUsed/>
    <w:rPr>
      <w:rFonts w:cs="Times New Roman"/>
      <w:vertAlign w:val="superscript"/>
    </w:rPr>
  </w:style>
  <w:style w:type="character" w:customStyle="1" w:styleId="annotationreferencePHPDOCX4">
    <w:name w:val="annotation reference PHPDOCX4"/>
    <w:uiPriority w:val="99"/>
    <w:semiHidden/>
    <w:unhideWhenUsed/>
    <w:rPr>
      <w:rFonts w:cs="Times New Roman"/>
      <w:sz w:val="16"/>
      <w:szCs w:val="16"/>
    </w:rPr>
  </w:style>
  <w:style w:type="paragraph" w:customStyle="1" w:styleId="annotationtextPHPDOCX4">
    <w:name w:val="annotation text PHPDOCX4"/>
    <w:basedOn w:val="Normal"/>
    <w:uiPriority w:val="99"/>
    <w:semiHidden/>
    <w:unhideWhenUsed/>
    <w:pPr>
      <w:spacing w:line="240" w:lineRule="auto"/>
    </w:pPr>
    <w:rPr>
      <w:sz w:val="20"/>
      <w:szCs w:val="20"/>
    </w:rPr>
  </w:style>
  <w:style w:type="paragraph" w:customStyle="1" w:styleId="annotationsubjectPHPDOCX4">
    <w:name w:val="annotation subject PHPDOCX4"/>
    <w:basedOn w:val="annotationtextPHPDOCX4"/>
    <w:next w:val="annotationtextPHPDOCX4"/>
    <w:uiPriority w:val="99"/>
    <w:semiHidden/>
    <w:unhideWhenUsed/>
    <w:rPr>
      <w:b/>
      <w:bCs/>
    </w:rPr>
  </w:style>
  <w:style w:type="character" w:customStyle="1" w:styleId="annotationreferencePHPDOCX3">
    <w:name w:val="annotation reference PHPDOCX3"/>
    <w:uiPriority w:val="99"/>
    <w:semiHidden/>
    <w:unhideWhenUsed/>
    <w:rPr>
      <w:rFonts w:cs="Times New Roman"/>
      <w:sz w:val="16"/>
      <w:szCs w:val="16"/>
    </w:rPr>
  </w:style>
  <w:style w:type="paragraph" w:customStyle="1" w:styleId="annotationtextPHPDOCX3">
    <w:name w:val="annotation text PHPDOCX3"/>
    <w:basedOn w:val="Normal"/>
    <w:uiPriority w:val="99"/>
    <w:semiHidden/>
    <w:unhideWhenUsed/>
    <w:pPr>
      <w:spacing w:line="240" w:lineRule="auto"/>
    </w:pPr>
    <w:rPr>
      <w:sz w:val="20"/>
      <w:szCs w:val="20"/>
    </w:rPr>
  </w:style>
  <w:style w:type="paragraph" w:customStyle="1" w:styleId="annotationsubjectPHPDOCX3">
    <w:name w:val="annotation subject PHPDOCX3"/>
    <w:basedOn w:val="annotationtextPHPDOCX3"/>
    <w:next w:val="annotationtextPHPDOCX3"/>
    <w:uiPriority w:val="99"/>
    <w:semiHidden/>
    <w:unhideWhenUsed/>
    <w:rPr>
      <w:b/>
      <w:bCs/>
    </w:rPr>
  </w:style>
  <w:style w:type="character" w:customStyle="1" w:styleId="annotationreferencePHPDOCX2">
    <w:name w:val="annotation reference PHPDOCX2"/>
    <w:uiPriority w:val="99"/>
    <w:semiHidden/>
    <w:unhideWhenUsed/>
    <w:rPr>
      <w:rFonts w:cs="Times New Roman"/>
      <w:sz w:val="16"/>
      <w:szCs w:val="16"/>
    </w:rPr>
  </w:style>
  <w:style w:type="paragraph" w:customStyle="1" w:styleId="annotationtextPHPDOCX2">
    <w:name w:val="annotation text PHPDOCX2"/>
    <w:basedOn w:val="Normal"/>
    <w:uiPriority w:val="99"/>
    <w:semiHidden/>
    <w:unhideWhenUsed/>
    <w:pPr>
      <w:spacing w:line="240" w:lineRule="auto"/>
    </w:pPr>
    <w:rPr>
      <w:sz w:val="20"/>
      <w:szCs w:val="20"/>
    </w:rPr>
  </w:style>
  <w:style w:type="paragraph" w:customStyle="1" w:styleId="annotationsubjectPHPDOCX2">
    <w:name w:val="annotation subject PHPDOCX2"/>
    <w:basedOn w:val="annotationtextPHPDOCX2"/>
    <w:next w:val="annotationtextPHPDOCX2"/>
    <w:uiPriority w:val="99"/>
    <w:semiHidden/>
    <w:unhideWhenUsed/>
    <w:rPr>
      <w:b/>
      <w:bCs/>
    </w:rPr>
  </w:style>
  <w:style w:type="character" w:customStyle="1" w:styleId="annotationreferencePHPDOCX1">
    <w:name w:val="annotation reference PHPDOCX1"/>
    <w:uiPriority w:val="99"/>
    <w:semiHidden/>
    <w:unhideWhenUsed/>
    <w:rPr>
      <w:rFonts w:cs="Times New Roman"/>
      <w:sz w:val="16"/>
      <w:szCs w:val="16"/>
    </w:rPr>
  </w:style>
  <w:style w:type="paragraph" w:customStyle="1" w:styleId="annotationtextPHPDOCX1">
    <w:name w:val="annotation text PHPDOCX1"/>
    <w:basedOn w:val="Normal"/>
    <w:uiPriority w:val="99"/>
    <w:semiHidden/>
    <w:unhideWhenUsed/>
    <w:pPr>
      <w:spacing w:line="240" w:lineRule="auto"/>
    </w:pPr>
    <w:rPr>
      <w:sz w:val="20"/>
      <w:szCs w:val="20"/>
    </w:rPr>
  </w:style>
  <w:style w:type="paragraph" w:customStyle="1" w:styleId="annotationsubjectPHPDOCX1">
    <w:name w:val="annotation subject PHPDOCX1"/>
    <w:basedOn w:val="annotationtextPHPDOCX1"/>
    <w:next w:val="annotationtextPHPDOCX1"/>
    <w:uiPriority w:val="99"/>
    <w:semiHidden/>
    <w:unhideWhenUsed/>
    <w:rPr>
      <w:b/>
      <w:bCs/>
    </w:rPr>
  </w:style>
  <w:style w:type="character" w:styleId="Lienhypertexte">
    <w:name w:val="Hyperlink"/>
    <w:uiPriority w:val="99"/>
    <w:semiHidden/>
    <w:rPr>
      <w:rFonts w:cs="Times New Roman"/>
      <w:color w:val="0000FF"/>
      <w:u w:val="single"/>
    </w:rPr>
  </w:style>
  <w:style w:type="paragraph" w:styleId="Paragraphedeliste">
    <w:name w:val="List Paragraph"/>
    <w:basedOn w:val="Normal"/>
    <w:uiPriority w:val="34"/>
    <w:qFormat/>
    <w:rsid w:val="006F1533"/>
    <w:pPr>
      <w:spacing w:line="240" w:lineRule="auto"/>
      <w:ind w:left="720"/>
    </w:pPr>
    <w:rPr>
      <w:rFonts w:ascii="Calibri" w:eastAsia="Calibri" w:hAnsi="Calibri"/>
      <w:sz w:val="22"/>
    </w:rPr>
  </w:style>
  <w:style w:type="character" w:styleId="Marquedecommentaire">
    <w:name w:val="annotation reference"/>
    <w:uiPriority w:val="99"/>
    <w:semiHidden/>
    <w:unhideWhenUsed/>
    <w:rsid w:val="008770F8"/>
    <w:rPr>
      <w:sz w:val="16"/>
      <w:szCs w:val="16"/>
    </w:rPr>
  </w:style>
  <w:style w:type="paragraph" w:styleId="Commentaire">
    <w:name w:val="annotation text"/>
    <w:basedOn w:val="Normal"/>
    <w:link w:val="CommentaireCar"/>
    <w:uiPriority w:val="99"/>
    <w:semiHidden/>
    <w:unhideWhenUsed/>
    <w:rsid w:val="008770F8"/>
    <w:rPr>
      <w:sz w:val="20"/>
      <w:szCs w:val="20"/>
    </w:rPr>
  </w:style>
  <w:style w:type="character" w:customStyle="1" w:styleId="CommentaireCar">
    <w:name w:val="Commentaire Car"/>
    <w:link w:val="Commentaire"/>
    <w:uiPriority w:val="99"/>
    <w:semiHidden/>
    <w:rsid w:val="008770F8"/>
    <w:rPr>
      <w:lang w:eastAsia="en-US"/>
    </w:rPr>
  </w:style>
  <w:style w:type="paragraph" w:styleId="Objetducommentaire">
    <w:name w:val="annotation subject"/>
    <w:basedOn w:val="Commentaire"/>
    <w:next w:val="Commentaire"/>
    <w:link w:val="ObjetducommentaireCar"/>
    <w:uiPriority w:val="99"/>
    <w:semiHidden/>
    <w:unhideWhenUsed/>
    <w:rsid w:val="008770F8"/>
    <w:rPr>
      <w:b/>
      <w:bCs/>
    </w:rPr>
  </w:style>
  <w:style w:type="character" w:customStyle="1" w:styleId="ObjetducommentaireCar">
    <w:name w:val="Objet du commentaire Car"/>
    <w:link w:val="Objetducommentaire"/>
    <w:uiPriority w:val="99"/>
    <w:semiHidden/>
    <w:rsid w:val="008770F8"/>
    <w:rPr>
      <w:b/>
      <w:bCs/>
      <w:lang w:eastAsia="en-US"/>
    </w:rPr>
  </w:style>
  <w:style w:type="paragraph" w:styleId="Rvision">
    <w:name w:val="Revision"/>
    <w:hidden/>
    <w:uiPriority w:val="99"/>
    <w:semiHidden/>
    <w:rsid w:val="008770F8"/>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098145">
      <w:bodyDiv w:val="1"/>
      <w:marLeft w:val="0"/>
      <w:marRight w:val="0"/>
      <w:marTop w:val="0"/>
      <w:marBottom w:val="0"/>
      <w:divBdr>
        <w:top w:val="none" w:sz="0" w:space="0" w:color="auto"/>
        <w:left w:val="none" w:sz="0" w:space="0" w:color="auto"/>
        <w:bottom w:val="none" w:sz="0" w:space="0" w:color="auto"/>
        <w:right w:val="none" w:sz="0" w:space="0" w:color="auto"/>
      </w:divBdr>
    </w:div>
    <w:div w:id="1198273136">
      <w:bodyDiv w:val="1"/>
      <w:marLeft w:val="0"/>
      <w:marRight w:val="0"/>
      <w:marTop w:val="0"/>
      <w:marBottom w:val="0"/>
      <w:divBdr>
        <w:top w:val="none" w:sz="0" w:space="0" w:color="auto"/>
        <w:left w:val="none" w:sz="0" w:space="0" w:color="auto"/>
        <w:bottom w:val="none" w:sz="0" w:space="0" w:color="auto"/>
        <w:right w:val="none" w:sz="0" w:space="0" w:color="auto"/>
      </w:divBdr>
    </w:div>
    <w:div w:id="1642298721">
      <w:marLeft w:val="0"/>
      <w:marRight w:val="0"/>
      <w:marTop w:val="0"/>
      <w:marBottom w:val="0"/>
      <w:divBdr>
        <w:top w:val="none" w:sz="0" w:space="0" w:color="auto"/>
        <w:left w:val="none" w:sz="0" w:space="0" w:color="auto"/>
        <w:bottom w:val="none" w:sz="0" w:space="0" w:color="auto"/>
        <w:right w:val="none" w:sz="0" w:space="0" w:color="auto"/>
      </w:divBdr>
      <w:divsChild>
        <w:div w:id="1642298716">
          <w:marLeft w:val="0"/>
          <w:marRight w:val="0"/>
          <w:marTop w:val="0"/>
          <w:marBottom w:val="0"/>
          <w:divBdr>
            <w:top w:val="none" w:sz="0" w:space="0" w:color="auto"/>
            <w:left w:val="none" w:sz="0" w:space="0" w:color="auto"/>
            <w:bottom w:val="none" w:sz="0" w:space="0" w:color="auto"/>
            <w:right w:val="none" w:sz="0" w:space="0" w:color="auto"/>
          </w:divBdr>
          <w:divsChild>
            <w:div w:id="1642298715">
              <w:marLeft w:val="0"/>
              <w:marRight w:val="0"/>
              <w:marTop w:val="0"/>
              <w:marBottom w:val="0"/>
              <w:divBdr>
                <w:top w:val="none" w:sz="0" w:space="0" w:color="auto"/>
                <w:left w:val="none" w:sz="0" w:space="0" w:color="auto"/>
                <w:bottom w:val="none" w:sz="0" w:space="0" w:color="auto"/>
                <w:right w:val="none" w:sz="0" w:space="0" w:color="auto"/>
              </w:divBdr>
              <w:divsChild>
                <w:div w:id="1642298722">
                  <w:marLeft w:val="0"/>
                  <w:marRight w:val="0"/>
                  <w:marTop w:val="0"/>
                  <w:marBottom w:val="0"/>
                  <w:divBdr>
                    <w:top w:val="none" w:sz="0" w:space="0" w:color="auto"/>
                    <w:left w:val="none" w:sz="0" w:space="0" w:color="auto"/>
                    <w:bottom w:val="none" w:sz="0" w:space="0" w:color="auto"/>
                    <w:right w:val="none" w:sz="0" w:space="0" w:color="auto"/>
                  </w:divBdr>
                  <w:divsChild>
                    <w:div w:id="1642298714">
                      <w:marLeft w:val="0"/>
                      <w:marRight w:val="0"/>
                      <w:marTop w:val="0"/>
                      <w:marBottom w:val="0"/>
                      <w:divBdr>
                        <w:top w:val="none" w:sz="0" w:space="0" w:color="auto"/>
                        <w:left w:val="none" w:sz="0" w:space="0" w:color="auto"/>
                        <w:bottom w:val="none" w:sz="0" w:space="0" w:color="auto"/>
                        <w:right w:val="none" w:sz="0" w:space="0" w:color="auto"/>
                      </w:divBdr>
                      <w:divsChild>
                        <w:div w:id="1642298717">
                          <w:marLeft w:val="0"/>
                          <w:marRight w:val="0"/>
                          <w:marTop w:val="0"/>
                          <w:marBottom w:val="0"/>
                          <w:divBdr>
                            <w:top w:val="none" w:sz="0" w:space="0" w:color="auto"/>
                            <w:left w:val="none" w:sz="0" w:space="0" w:color="auto"/>
                            <w:bottom w:val="none" w:sz="0" w:space="0" w:color="auto"/>
                            <w:right w:val="none" w:sz="0" w:space="0" w:color="auto"/>
                          </w:divBdr>
                          <w:divsChild>
                            <w:div w:id="1642298719">
                              <w:marLeft w:val="0"/>
                              <w:marRight w:val="0"/>
                              <w:marTop w:val="0"/>
                              <w:marBottom w:val="0"/>
                              <w:divBdr>
                                <w:top w:val="none" w:sz="0" w:space="0" w:color="auto"/>
                                <w:left w:val="none" w:sz="0" w:space="0" w:color="auto"/>
                                <w:bottom w:val="none" w:sz="0" w:space="0" w:color="auto"/>
                                <w:right w:val="none" w:sz="0" w:space="0" w:color="auto"/>
                              </w:divBdr>
                              <w:divsChild>
                                <w:div w:id="1642298718">
                                  <w:marLeft w:val="195"/>
                                  <w:marRight w:val="180"/>
                                  <w:marTop w:val="0"/>
                                  <w:marBottom w:val="105"/>
                                  <w:divBdr>
                                    <w:top w:val="none" w:sz="0" w:space="0" w:color="auto"/>
                                    <w:left w:val="none" w:sz="0" w:space="0" w:color="auto"/>
                                    <w:bottom w:val="none" w:sz="0" w:space="0" w:color="auto"/>
                                    <w:right w:val="none" w:sz="0" w:space="0" w:color="auto"/>
                                  </w:divBdr>
                                  <w:divsChild>
                                    <w:div w:id="164229872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2E632-3E36-4983-BBB5-216E63104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4854</Words>
  <Characters>26699</Characters>
  <Application>Microsoft Office Word</Application>
  <DocSecurity>0</DocSecurity>
  <Lines>222</Lines>
  <Paragraphs>62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Company>
  <LinksUpToDate>false</LinksUpToDate>
  <CharactersWithSpaces>31491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4</cp:revision>
  <cp:lastPrinted>2015-09-14T08:32:00Z</cp:lastPrinted>
  <dcterms:created xsi:type="dcterms:W3CDTF">2015-10-05T14:47:00Z</dcterms:created>
  <dcterms:modified xsi:type="dcterms:W3CDTF">2015-11-10T17:28:00Z</dcterms:modified>
</cp:coreProperties>
</file>