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543D9E">
            <w:pPr>
              <w:spacing w:line="240" w:lineRule="auto"/>
              <w:ind w:right="776" w:firstLine="34"/>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543D9E">
            <w:pPr>
              <w:spacing w:line="240" w:lineRule="auto"/>
              <w:ind w:right="776" w:firstLine="34"/>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543D9E">
            <w:pPr>
              <w:tabs>
                <w:tab w:val="center" w:pos="4819"/>
                <w:tab w:val="right" w:pos="9071"/>
              </w:tabs>
              <w:spacing w:line="240" w:lineRule="auto"/>
              <w:ind w:left="142" w:right="776" w:firstLine="34"/>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543D9E">
            <w:pPr>
              <w:tabs>
                <w:tab w:val="center" w:pos="4819"/>
                <w:tab w:val="right" w:pos="9071"/>
              </w:tabs>
              <w:spacing w:line="240" w:lineRule="auto"/>
              <w:ind w:left="142" w:right="776" w:firstLine="34"/>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543D9E">
            <w:pPr>
              <w:tabs>
                <w:tab w:val="center" w:pos="4819"/>
                <w:tab w:val="right" w:pos="9071"/>
              </w:tabs>
              <w:spacing w:line="240" w:lineRule="auto"/>
              <w:ind w:left="142" w:right="776" w:firstLine="34"/>
              <w:jc w:val="center"/>
              <w:rPr>
                <w:rFonts w:eastAsia="Times New Roman" w:cs="Arial"/>
                <w:sz w:val="22"/>
                <w:lang w:eastAsia="fr-FR"/>
              </w:rPr>
            </w:pPr>
            <w:r w:rsidRPr="00C13095">
              <w:rPr>
                <w:rFonts w:eastAsia="Times New Roman" w:cs="Arial"/>
                <w:sz w:val="22"/>
                <w:lang w:eastAsia="fr-FR"/>
              </w:rPr>
              <w:t xml:space="preserve">Arrêt n° </w:t>
            </w:r>
            <w:r w:rsidR="00BD7DBC">
              <w:rPr>
                <w:rFonts w:eastAsia="Times New Roman" w:cs="Arial"/>
                <w:sz w:val="22"/>
                <w:lang w:eastAsia="fr-FR"/>
              </w:rPr>
              <w:t>72684</w:t>
            </w:r>
          </w:p>
          <w:p w:rsidR="00C13095" w:rsidRPr="00C13095" w:rsidRDefault="00223E2F" w:rsidP="00543D9E">
            <w:pPr>
              <w:tabs>
                <w:tab w:val="center" w:pos="4819"/>
                <w:tab w:val="right" w:pos="9071"/>
              </w:tabs>
              <w:spacing w:line="240" w:lineRule="auto"/>
              <w:ind w:left="142" w:right="776" w:firstLine="34"/>
              <w:jc w:val="center"/>
              <w:rPr>
                <w:rFonts w:eastAsia="Times New Roman" w:cs="Arial"/>
                <w:sz w:val="22"/>
                <w:lang w:eastAsia="fr-FR"/>
              </w:rPr>
            </w:pPr>
          </w:p>
          <w:p w:rsidR="00C13095" w:rsidRPr="00C13095" w:rsidRDefault="00B724CA" w:rsidP="00543D9E">
            <w:pPr>
              <w:spacing w:line="240" w:lineRule="auto"/>
              <w:ind w:right="776"/>
              <w:jc w:val="center"/>
              <w:rPr>
                <w:rFonts w:eastAsia="Times New Roman" w:cs="Arial"/>
                <w:sz w:val="22"/>
                <w:lang w:eastAsia="fr-FR"/>
              </w:rPr>
            </w:pPr>
            <w:r>
              <w:rPr>
                <w:rFonts w:eastAsia="Times New Roman" w:cs="Arial"/>
                <w:sz w:val="22"/>
                <w:lang w:eastAsia="fr-FR"/>
              </w:rPr>
              <w:t>Audience publique du 10 septembre</w:t>
            </w:r>
            <w:r w:rsidR="004779C2">
              <w:rPr>
                <w:rFonts w:eastAsia="Times New Roman" w:cs="Arial"/>
                <w:sz w:val="22"/>
                <w:lang w:eastAsia="fr-FR"/>
              </w:rPr>
              <w:t xml:space="preserve"> 2015</w:t>
            </w:r>
          </w:p>
          <w:p w:rsidR="00C13095" w:rsidRPr="00C13095" w:rsidRDefault="00223E2F" w:rsidP="00543D9E">
            <w:pPr>
              <w:spacing w:line="240" w:lineRule="auto"/>
              <w:ind w:left="5670" w:right="776" w:hanging="4245"/>
              <w:jc w:val="center"/>
              <w:rPr>
                <w:rFonts w:eastAsia="Times New Roman" w:cs="Arial"/>
                <w:sz w:val="22"/>
                <w:lang w:eastAsia="fr-FR"/>
              </w:rPr>
            </w:pPr>
          </w:p>
          <w:p w:rsidR="00C13095" w:rsidRPr="00C13095" w:rsidRDefault="00025503" w:rsidP="00543D9E">
            <w:pPr>
              <w:spacing w:line="240" w:lineRule="auto"/>
              <w:ind w:right="776"/>
              <w:jc w:val="center"/>
              <w:rPr>
                <w:rFonts w:eastAsia="Times New Roman" w:cs="Arial"/>
                <w:i/>
                <w:sz w:val="22"/>
                <w:lang w:eastAsia="fr-FR"/>
              </w:rPr>
            </w:pPr>
            <w:r>
              <w:rPr>
                <w:rFonts w:eastAsia="Times New Roman" w:cs="Arial"/>
                <w:sz w:val="22"/>
                <w:lang w:eastAsia="fr-FR"/>
              </w:rPr>
              <w:t>Prononcé du 15 octobre</w:t>
            </w:r>
            <w:r w:rsidR="004779C2">
              <w:rPr>
                <w:rFonts w:eastAsia="Times New Roman" w:cs="Arial"/>
                <w:sz w:val="22"/>
                <w:lang w:eastAsia="fr-FR"/>
              </w:rPr>
              <w:t xml:space="preserve"> 2015</w:t>
            </w:r>
          </w:p>
          <w:p w:rsidR="00C13095" w:rsidRPr="00C13095" w:rsidRDefault="00223E2F" w:rsidP="00543D9E">
            <w:pPr>
              <w:spacing w:line="240" w:lineRule="auto"/>
              <w:ind w:right="776" w:firstLine="851"/>
              <w:jc w:val="center"/>
              <w:rPr>
                <w:rFonts w:eastAsia="Times New Roman" w:cs="Arial"/>
                <w:sz w:val="22"/>
                <w:lang w:eastAsia="fr-FR"/>
              </w:rPr>
            </w:pPr>
          </w:p>
        </w:tc>
        <w:tc>
          <w:tcPr>
            <w:tcW w:w="5211" w:type="dxa"/>
          </w:tcPr>
          <w:p w:rsidR="00077E98" w:rsidRDefault="00077E98" w:rsidP="004779C2">
            <w:pPr>
              <w:rPr>
                <w:sz w:val="22"/>
              </w:rPr>
            </w:pPr>
            <w:r>
              <w:rPr>
                <w:sz w:val="22"/>
              </w:rPr>
              <w:t>COMMUN</w:t>
            </w:r>
            <w:r w:rsidR="00DE7B1F">
              <w:rPr>
                <w:sz w:val="22"/>
              </w:rPr>
              <w:t>AUTÉ D’AGGLOMÉRATION    MAUBEUGE VAL-DE-</w:t>
            </w:r>
            <w:r w:rsidR="003D58FB">
              <w:rPr>
                <w:sz w:val="22"/>
              </w:rPr>
              <w:t>SA</w:t>
            </w:r>
            <w:r w:rsidR="00DE7B1F">
              <w:rPr>
                <w:sz w:val="22"/>
              </w:rPr>
              <w:t>MBRE</w:t>
            </w:r>
          </w:p>
          <w:p w:rsidR="004779C2" w:rsidRPr="007F76E8" w:rsidRDefault="007F76E8" w:rsidP="004779C2">
            <w:pPr>
              <w:rPr>
                <w:rFonts w:cs="Arial"/>
                <w:sz w:val="22"/>
              </w:rPr>
            </w:pPr>
            <w:r w:rsidRPr="007F76E8">
              <w:rPr>
                <w:sz w:val="22"/>
              </w:rPr>
              <w:t>(</w:t>
            </w:r>
            <w:r w:rsidR="00DE7B1F">
              <w:rPr>
                <w:caps/>
                <w:sz w:val="22"/>
              </w:rPr>
              <w:t>NORD</w:t>
            </w:r>
            <w:r w:rsidRPr="007F76E8">
              <w:rPr>
                <w:sz w:val="22"/>
              </w:rPr>
              <w:t>)</w:t>
            </w:r>
          </w:p>
          <w:p w:rsidR="007F76E8" w:rsidRPr="007F76E8" w:rsidRDefault="007F76E8" w:rsidP="004779C2">
            <w:pPr>
              <w:rPr>
                <w:rFonts w:cs="Arial"/>
                <w:sz w:val="22"/>
              </w:rPr>
            </w:pPr>
          </w:p>
          <w:p w:rsidR="007F76E8" w:rsidRPr="007F76E8" w:rsidRDefault="007F76E8" w:rsidP="004779C2">
            <w:pPr>
              <w:rPr>
                <w:rFonts w:cs="Arial"/>
                <w:sz w:val="22"/>
              </w:rPr>
            </w:pPr>
          </w:p>
          <w:p w:rsidR="004779C2" w:rsidRPr="007F76E8" w:rsidRDefault="004779C2" w:rsidP="004779C2">
            <w:pPr>
              <w:rPr>
                <w:rFonts w:cs="Arial"/>
                <w:sz w:val="22"/>
              </w:rPr>
            </w:pPr>
            <w:r w:rsidRPr="007F76E8">
              <w:rPr>
                <w:rFonts w:cs="Arial"/>
                <w:sz w:val="22"/>
              </w:rPr>
              <w:t xml:space="preserve">Appel d’un jugement de la chambre régionale des comptes </w:t>
            </w:r>
            <w:r w:rsidR="00DE7B1F">
              <w:rPr>
                <w:sz w:val="22"/>
              </w:rPr>
              <w:t>du Nord Pas-de-Calais, Picardie</w:t>
            </w:r>
          </w:p>
          <w:p w:rsidR="004779C2" w:rsidRPr="007F76E8" w:rsidRDefault="004779C2" w:rsidP="004779C2">
            <w:pPr>
              <w:rPr>
                <w:rFonts w:cs="Arial"/>
                <w:sz w:val="22"/>
              </w:rPr>
            </w:pPr>
          </w:p>
          <w:p w:rsidR="004779C2" w:rsidRPr="007F76E8" w:rsidRDefault="00DE7B1F" w:rsidP="004779C2">
            <w:pPr>
              <w:rPr>
                <w:rFonts w:cs="Arial"/>
                <w:sz w:val="22"/>
              </w:rPr>
            </w:pPr>
            <w:r>
              <w:rPr>
                <w:rFonts w:cs="Arial"/>
                <w:noProof/>
                <w:color w:val="000000"/>
                <w:sz w:val="22"/>
              </w:rPr>
              <w:t>Rapport n° 2015-</w:t>
            </w:r>
            <w:r w:rsidR="00B724CA">
              <w:rPr>
                <w:rFonts w:cs="Arial"/>
                <w:noProof/>
                <w:color w:val="000000"/>
                <w:sz w:val="22"/>
              </w:rPr>
              <w:t>223-0</w:t>
            </w:r>
          </w:p>
          <w:p w:rsidR="00C13095" w:rsidRPr="00C13095" w:rsidRDefault="00223E2F" w:rsidP="004779C2">
            <w:pPr>
              <w:spacing w:line="240" w:lineRule="auto"/>
              <w:jc w:val="both"/>
              <w:rPr>
                <w:rFonts w:eastAsia="Times New Roman" w:cs="Arial"/>
                <w:sz w:val="22"/>
                <w:lang w:eastAsia="fr-FR"/>
              </w:rPr>
            </w:pPr>
          </w:p>
        </w:tc>
      </w:tr>
    </w:tbl>
    <w:p w:rsidR="00C13095" w:rsidRDefault="00223E2F" w:rsidP="00C13095">
      <w:pPr>
        <w:spacing w:line="240" w:lineRule="auto"/>
        <w:ind w:left="5670"/>
        <w:rPr>
          <w:rFonts w:eastAsia="Times New Roman" w:cs="Arial"/>
          <w:sz w:val="22"/>
          <w:lang w:eastAsia="fr-FR"/>
        </w:rPr>
      </w:pPr>
    </w:p>
    <w:p w:rsidR="00C13095" w:rsidRPr="00C13095" w:rsidRDefault="00223E2F"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C13095" w:rsidRPr="00BE6831" w:rsidRDefault="00223E2F" w:rsidP="00C13095">
      <w:pPr>
        <w:tabs>
          <w:tab w:val="center" w:pos="9072"/>
        </w:tabs>
        <w:spacing w:line="240" w:lineRule="auto"/>
        <w:jc w:val="center"/>
        <w:rPr>
          <w:rFonts w:eastAsia="Times New Roman" w:cs="Arial"/>
          <w:sz w:val="24"/>
          <w:szCs w:val="24"/>
          <w:lang w:eastAsia="fr-FR"/>
        </w:rPr>
      </w:pP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C708CF" w:rsidRDefault="003D58FB" w:rsidP="00200E68">
      <w:pPr>
        <w:spacing w:after="280"/>
        <w:jc w:val="both"/>
        <w:rPr>
          <w:sz w:val="22"/>
        </w:rPr>
      </w:pPr>
      <w:r w:rsidRPr="00365ED7">
        <w:rPr>
          <w:sz w:val="22"/>
        </w:rPr>
        <w:t xml:space="preserve">Vu le réquisitoire </w:t>
      </w:r>
      <w:r w:rsidR="00DE7B1F">
        <w:rPr>
          <w:sz w:val="22"/>
        </w:rPr>
        <w:t>n°</w:t>
      </w:r>
      <w:r w:rsidR="00595733">
        <w:rPr>
          <w:sz w:val="22"/>
        </w:rPr>
        <w:t> </w:t>
      </w:r>
      <w:r w:rsidR="00DE7B1F">
        <w:rPr>
          <w:sz w:val="22"/>
        </w:rPr>
        <w:t>2014-0016</w:t>
      </w:r>
      <w:r w:rsidR="00365ED7" w:rsidRPr="00365ED7">
        <w:rPr>
          <w:sz w:val="22"/>
        </w:rPr>
        <w:t xml:space="preserve"> </w:t>
      </w:r>
      <w:r w:rsidR="00DE7B1F">
        <w:rPr>
          <w:sz w:val="22"/>
        </w:rPr>
        <w:t>du 25 février</w:t>
      </w:r>
      <w:r w:rsidR="00365ED7">
        <w:rPr>
          <w:sz w:val="22"/>
        </w:rPr>
        <w:t xml:space="preserve"> 201</w:t>
      </w:r>
      <w:r w:rsidR="00DE7B1F">
        <w:rPr>
          <w:sz w:val="22"/>
        </w:rPr>
        <w:t>4</w:t>
      </w:r>
      <w:r w:rsidR="00365ED7">
        <w:rPr>
          <w:sz w:val="22"/>
        </w:rPr>
        <w:t xml:space="preserve"> </w:t>
      </w:r>
      <w:r w:rsidRPr="00365ED7">
        <w:rPr>
          <w:sz w:val="22"/>
        </w:rPr>
        <w:t>du procureur financier</w:t>
      </w:r>
      <w:r w:rsidR="00365ED7" w:rsidRPr="00365ED7">
        <w:rPr>
          <w:sz w:val="22"/>
        </w:rPr>
        <w:t xml:space="preserve"> près la chambre régionale des comptes </w:t>
      </w:r>
      <w:r w:rsidR="00BD7DBC">
        <w:rPr>
          <w:sz w:val="22"/>
        </w:rPr>
        <w:t xml:space="preserve">(CRC) </w:t>
      </w:r>
      <w:r w:rsidR="00DE7B1F">
        <w:rPr>
          <w:sz w:val="22"/>
        </w:rPr>
        <w:t xml:space="preserve">du Nord Pas-de-Calais, Picardie </w:t>
      </w:r>
      <w:r w:rsidR="00365ED7">
        <w:rPr>
          <w:sz w:val="22"/>
        </w:rPr>
        <w:t>par lequel ladite chambre a</w:t>
      </w:r>
      <w:r w:rsidR="00543D9E">
        <w:rPr>
          <w:sz w:val="22"/>
        </w:rPr>
        <w:t xml:space="preserve"> </w:t>
      </w:r>
      <w:r w:rsidR="00365ED7">
        <w:rPr>
          <w:sz w:val="22"/>
        </w:rPr>
        <w:t xml:space="preserve">été saisie en vue de la mise en jeu de la responsabilité personnelle et pécuniaire de </w:t>
      </w:r>
      <w:r w:rsidR="00543D9E" w:rsidRPr="00543D9E">
        <w:rPr>
          <w:sz w:val="22"/>
        </w:rPr>
        <w:t>M</w:t>
      </w:r>
      <w:r w:rsidR="00543D9E" w:rsidRPr="00543D9E">
        <w:rPr>
          <w:sz w:val="22"/>
          <w:vertAlign w:val="superscript"/>
        </w:rPr>
        <w:t>me</w:t>
      </w:r>
      <w:r w:rsidR="00543D9E">
        <w:rPr>
          <w:sz w:val="22"/>
        </w:rPr>
        <w:t> </w:t>
      </w:r>
      <w:r w:rsidR="00C64FFC">
        <w:rPr>
          <w:sz w:val="22"/>
        </w:rPr>
        <w:t>X</w:t>
      </w:r>
      <w:r w:rsidR="00DE7B1F">
        <w:rPr>
          <w:sz w:val="22"/>
        </w:rPr>
        <w:t>, comptable de la communauté d’agglomération Maubeuge Val-de-Sambre pour l’exercice</w:t>
      </w:r>
      <w:r w:rsidR="00543D9E">
        <w:rPr>
          <w:sz w:val="22"/>
        </w:rPr>
        <w:t xml:space="preserve"> </w:t>
      </w:r>
      <w:r w:rsidR="00DE7B1F">
        <w:rPr>
          <w:sz w:val="22"/>
        </w:rPr>
        <w:t>2010</w:t>
      </w:r>
      <w:r w:rsidR="00365ED7">
        <w:rPr>
          <w:sz w:val="22"/>
        </w:rPr>
        <w:t> ;</w:t>
      </w:r>
    </w:p>
    <w:p w:rsidR="00365ED7" w:rsidRPr="00BE6831" w:rsidRDefault="00365ED7" w:rsidP="00365ED7">
      <w:pPr>
        <w:spacing w:after="280"/>
        <w:jc w:val="both"/>
        <w:rPr>
          <w:rFonts w:cs="Arial"/>
          <w:sz w:val="22"/>
        </w:rPr>
      </w:pPr>
      <w:r>
        <w:rPr>
          <w:sz w:val="22"/>
        </w:rPr>
        <w:t>Vu le jugement n°</w:t>
      </w:r>
      <w:r w:rsidR="00BD7DBC">
        <w:rPr>
          <w:sz w:val="22"/>
        </w:rPr>
        <w:t> </w:t>
      </w:r>
      <w:r w:rsidR="00DE7B1F">
        <w:rPr>
          <w:sz w:val="22"/>
        </w:rPr>
        <w:t>2014-0025</w:t>
      </w:r>
      <w:r>
        <w:rPr>
          <w:sz w:val="22"/>
        </w:rPr>
        <w:t xml:space="preserve"> du </w:t>
      </w:r>
      <w:r w:rsidR="00DE7B1F">
        <w:rPr>
          <w:sz w:val="22"/>
        </w:rPr>
        <w:t>26 juin</w:t>
      </w:r>
      <w:r>
        <w:rPr>
          <w:sz w:val="22"/>
        </w:rPr>
        <w:t xml:space="preserve"> 2014 </w:t>
      </w:r>
      <w:r w:rsidR="00DE7B1F">
        <w:rPr>
          <w:rFonts w:cs="Arial"/>
          <w:sz w:val="22"/>
        </w:rPr>
        <w:t xml:space="preserve">qui a </w:t>
      </w:r>
      <w:r>
        <w:rPr>
          <w:rFonts w:cs="Arial"/>
          <w:sz w:val="22"/>
        </w:rPr>
        <w:t xml:space="preserve">constitué </w:t>
      </w:r>
      <w:r w:rsidR="00543D9E" w:rsidRPr="00543D9E">
        <w:rPr>
          <w:rFonts w:cs="Arial"/>
          <w:sz w:val="22"/>
        </w:rPr>
        <w:t>M</w:t>
      </w:r>
      <w:r w:rsidR="00543D9E" w:rsidRPr="00543D9E">
        <w:rPr>
          <w:rFonts w:cs="Arial"/>
          <w:sz w:val="22"/>
          <w:vertAlign w:val="superscript"/>
        </w:rPr>
        <w:t>me</w:t>
      </w:r>
      <w:r w:rsidR="00543D9E">
        <w:rPr>
          <w:rFonts w:cs="Arial"/>
          <w:sz w:val="22"/>
        </w:rPr>
        <w:t> </w:t>
      </w:r>
      <w:r w:rsidR="00C64FFC">
        <w:rPr>
          <w:rFonts w:cs="Arial"/>
          <w:sz w:val="22"/>
        </w:rPr>
        <w:t>X</w:t>
      </w:r>
      <w:r>
        <w:rPr>
          <w:rFonts w:cs="Arial"/>
          <w:sz w:val="22"/>
        </w:rPr>
        <w:t xml:space="preserve"> débitrice de la somme de </w:t>
      </w:r>
      <w:r w:rsidR="00DE7B1F">
        <w:rPr>
          <w:rFonts w:cs="Arial"/>
          <w:sz w:val="22"/>
        </w:rPr>
        <w:t>2 025,58</w:t>
      </w:r>
      <w:r w:rsidR="00BD7DBC">
        <w:rPr>
          <w:rFonts w:cs="Arial"/>
          <w:sz w:val="22"/>
        </w:rPr>
        <w:t> </w:t>
      </w:r>
      <w:r>
        <w:rPr>
          <w:rFonts w:cs="Arial"/>
          <w:sz w:val="22"/>
        </w:rPr>
        <w:t>€ pour ne pas avoir pr</w:t>
      </w:r>
      <w:r w:rsidR="00DE7B1F">
        <w:rPr>
          <w:rFonts w:cs="Arial"/>
          <w:sz w:val="22"/>
        </w:rPr>
        <w:t xml:space="preserve">océdé aux diligences adéquates et </w:t>
      </w:r>
      <w:r>
        <w:rPr>
          <w:rFonts w:cs="Arial"/>
          <w:sz w:val="22"/>
        </w:rPr>
        <w:t xml:space="preserve">complètes </w:t>
      </w:r>
      <w:r w:rsidR="00DE7B1F">
        <w:rPr>
          <w:rFonts w:cs="Arial"/>
          <w:sz w:val="22"/>
        </w:rPr>
        <w:t>pour le recouvrement d’une créance</w:t>
      </w:r>
      <w:r w:rsidR="00543D9E">
        <w:rPr>
          <w:rFonts w:cs="Arial"/>
          <w:sz w:val="22"/>
        </w:rPr>
        <w:t> ;</w:t>
      </w:r>
    </w:p>
    <w:p w:rsidR="00365ED7" w:rsidRDefault="007F76E8" w:rsidP="00251668">
      <w:pPr>
        <w:spacing w:after="280"/>
        <w:jc w:val="both"/>
        <w:rPr>
          <w:rFonts w:cs="Arial"/>
          <w:sz w:val="22"/>
        </w:rPr>
      </w:pPr>
      <w:r w:rsidRPr="00BE6831">
        <w:rPr>
          <w:rFonts w:cs="Arial"/>
          <w:sz w:val="22"/>
        </w:rPr>
        <w:t xml:space="preserve">Vu la requête, enregistrée le </w:t>
      </w:r>
      <w:r w:rsidR="00DE7B1F">
        <w:rPr>
          <w:rFonts w:cs="Arial"/>
          <w:sz w:val="22"/>
        </w:rPr>
        <w:t>29</w:t>
      </w:r>
      <w:r w:rsidR="003D58FB">
        <w:rPr>
          <w:rFonts w:cs="Arial"/>
          <w:sz w:val="22"/>
        </w:rPr>
        <w:t xml:space="preserve"> jui</w:t>
      </w:r>
      <w:r w:rsidR="00DE7B1F">
        <w:rPr>
          <w:rFonts w:cs="Arial"/>
          <w:sz w:val="22"/>
        </w:rPr>
        <w:t>llet</w:t>
      </w:r>
      <w:r w:rsidR="003D58FB">
        <w:rPr>
          <w:rFonts w:cs="Arial"/>
          <w:sz w:val="22"/>
        </w:rPr>
        <w:t xml:space="preserve"> 201</w:t>
      </w:r>
      <w:r w:rsidR="00DE7B1F">
        <w:rPr>
          <w:rFonts w:cs="Arial"/>
          <w:sz w:val="22"/>
        </w:rPr>
        <w:t>4</w:t>
      </w:r>
      <w:r w:rsidRPr="00BE6831">
        <w:rPr>
          <w:rFonts w:cs="Arial"/>
          <w:sz w:val="22"/>
        </w:rPr>
        <w:t xml:space="preserve"> au greffe de la chambre régionale des comptes </w:t>
      </w:r>
      <w:r w:rsidR="00DE7B1F">
        <w:rPr>
          <w:sz w:val="22"/>
        </w:rPr>
        <w:t>du Nord Pas-de-Calais, Picardie</w:t>
      </w:r>
      <w:r w:rsidRPr="00BE6831">
        <w:rPr>
          <w:rFonts w:cs="Arial"/>
          <w:sz w:val="22"/>
        </w:rPr>
        <w:t xml:space="preserve">, par laquelle </w:t>
      </w:r>
      <w:r w:rsidR="00543D9E" w:rsidRPr="00543D9E">
        <w:rPr>
          <w:rFonts w:cs="Arial"/>
          <w:sz w:val="22"/>
        </w:rPr>
        <w:t>M</w:t>
      </w:r>
      <w:r w:rsidR="00543D9E" w:rsidRPr="00543D9E">
        <w:rPr>
          <w:rFonts w:cs="Arial"/>
          <w:sz w:val="22"/>
          <w:vertAlign w:val="superscript"/>
        </w:rPr>
        <w:t>me</w:t>
      </w:r>
      <w:r w:rsidR="00543D9E">
        <w:rPr>
          <w:rFonts w:cs="Arial"/>
          <w:sz w:val="22"/>
        </w:rPr>
        <w:t> </w:t>
      </w:r>
      <w:r w:rsidR="00C64FFC">
        <w:rPr>
          <w:rFonts w:cs="Arial"/>
          <w:sz w:val="22"/>
        </w:rPr>
        <w:t>X</w:t>
      </w:r>
      <w:r w:rsidRPr="00BE6831">
        <w:rPr>
          <w:rFonts w:cs="Arial"/>
          <w:sz w:val="22"/>
        </w:rPr>
        <w:t>, a élevé appel du</w:t>
      </w:r>
      <w:r w:rsidR="00365ED7">
        <w:rPr>
          <w:rFonts w:cs="Arial"/>
          <w:sz w:val="22"/>
        </w:rPr>
        <w:t>dit</w:t>
      </w:r>
      <w:r w:rsidRPr="00BE6831">
        <w:rPr>
          <w:rFonts w:cs="Arial"/>
          <w:sz w:val="22"/>
        </w:rPr>
        <w:t xml:space="preserve"> jugement</w:t>
      </w:r>
      <w:r w:rsidR="00543D9E">
        <w:rPr>
          <w:rFonts w:cs="Arial"/>
          <w:sz w:val="22"/>
        </w:rPr>
        <w:t> ;</w:t>
      </w:r>
    </w:p>
    <w:p w:rsidR="007F76E8" w:rsidRPr="00BE6831" w:rsidRDefault="007F76E8" w:rsidP="00251668">
      <w:pPr>
        <w:spacing w:after="280"/>
        <w:jc w:val="both"/>
        <w:rPr>
          <w:rFonts w:cs="Arial"/>
          <w:sz w:val="22"/>
        </w:rPr>
      </w:pPr>
      <w:r w:rsidRPr="00BE6831">
        <w:rPr>
          <w:rFonts w:cs="Arial"/>
          <w:sz w:val="22"/>
        </w:rPr>
        <w:t>Vu le réquisitoire du Procureur général près la Cour des comptes n°</w:t>
      </w:r>
      <w:r w:rsidR="00411920">
        <w:rPr>
          <w:rFonts w:cs="Arial"/>
          <w:sz w:val="22"/>
        </w:rPr>
        <w:t> </w:t>
      </w:r>
      <w:r w:rsidRPr="00BE6831">
        <w:rPr>
          <w:rFonts w:cs="Arial"/>
          <w:sz w:val="22"/>
        </w:rPr>
        <w:t>2014-1</w:t>
      </w:r>
      <w:r w:rsidR="003D58FB">
        <w:rPr>
          <w:rFonts w:cs="Arial"/>
          <w:sz w:val="22"/>
        </w:rPr>
        <w:t>0</w:t>
      </w:r>
      <w:r w:rsidR="00DE7B1F">
        <w:rPr>
          <w:rFonts w:cs="Arial"/>
          <w:sz w:val="22"/>
        </w:rPr>
        <w:t>6</w:t>
      </w:r>
      <w:r w:rsidRPr="00BE6831">
        <w:rPr>
          <w:rFonts w:cs="Arial"/>
          <w:sz w:val="22"/>
        </w:rPr>
        <w:t xml:space="preserve"> du </w:t>
      </w:r>
      <w:r w:rsidR="00DE7B1F">
        <w:rPr>
          <w:rFonts w:cs="Arial"/>
          <w:sz w:val="22"/>
        </w:rPr>
        <w:t>24</w:t>
      </w:r>
      <w:r w:rsidR="00543D9E">
        <w:rPr>
          <w:rFonts w:cs="Arial"/>
          <w:sz w:val="22"/>
        </w:rPr>
        <w:t xml:space="preserve"> </w:t>
      </w:r>
      <w:r w:rsidR="003D58FB">
        <w:rPr>
          <w:rFonts w:cs="Arial"/>
          <w:sz w:val="22"/>
        </w:rPr>
        <w:t>septembre</w:t>
      </w:r>
      <w:r w:rsidR="00543D9E">
        <w:rPr>
          <w:rFonts w:cs="Arial"/>
          <w:sz w:val="22"/>
        </w:rPr>
        <w:t xml:space="preserve"> </w:t>
      </w:r>
      <w:r w:rsidRPr="00BE6831">
        <w:rPr>
          <w:rFonts w:cs="Arial"/>
          <w:sz w:val="22"/>
        </w:rPr>
        <w:t>2014 transmettant la requête précitée à la Cour ;</w:t>
      </w:r>
    </w:p>
    <w:p w:rsidR="007F76E8" w:rsidRPr="00BE6831" w:rsidRDefault="007F76E8" w:rsidP="00251668">
      <w:pPr>
        <w:spacing w:after="280"/>
        <w:jc w:val="both"/>
        <w:rPr>
          <w:rFonts w:cs="Arial"/>
          <w:sz w:val="22"/>
        </w:rPr>
      </w:pPr>
      <w:r w:rsidRPr="00BE6831">
        <w:rPr>
          <w:rFonts w:cs="Arial"/>
          <w:sz w:val="22"/>
        </w:rPr>
        <w:t>Vu les pièces de la procédure suivie en première instance</w:t>
      </w:r>
      <w:r w:rsidR="00543D9E">
        <w:rPr>
          <w:rFonts w:cs="Arial"/>
          <w:sz w:val="22"/>
        </w:rPr>
        <w:t> ;</w:t>
      </w:r>
    </w:p>
    <w:p w:rsidR="007F76E8" w:rsidRPr="00BE6831" w:rsidRDefault="007F76E8" w:rsidP="00251668">
      <w:pPr>
        <w:spacing w:after="280"/>
        <w:jc w:val="both"/>
        <w:rPr>
          <w:rFonts w:cs="Arial"/>
          <w:sz w:val="22"/>
        </w:rPr>
      </w:pPr>
      <w:r w:rsidRPr="00BE6831">
        <w:rPr>
          <w:rFonts w:cs="Arial"/>
          <w:sz w:val="22"/>
        </w:rPr>
        <w:t>Vu le code des juridictions financières ;</w:t>
      </w:r>
    </w:p>
    <w:p w:rsidR="007F76E8" w:rsidRPr="00BE6831" w:rsidRDefault="007F76E8" w:rsidP="00251668">
      <w:pPr>
        <w:spacing w:after="280"/>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 modifiée</w:t>
      </w:r>
      <w:r w:rsidR="00543D9E">
        <w:rPr>
          <w:rFonts w:cs="Arial"/>
          <w:sz w:val="22"/>
        </w:rPr>
        <w:t> ;</w:t>
      </w:r>
    </w:p>
    <w:p w:rsidR="007F76E8" w:rsidRPr="00BE6831" w:rsidRDefault="007F76E8" w:rsidP="00251668">
      <w:pPr>
        <w:spacing w:after="280"/>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7F76E8" w:rsidRPr="00BE6831" w:rsidRDefault="007F76E8" w:rsidP="00251668">
      <w:pPr>
        <w:spacing w:after="280"/>
        <w:jc w:val="both"/>
        <w:rPr>
          <w:rFonts w:cs="Arial"/>
          <w:sz w:val="22"/>
        </w:rPr>
      </w:pPr>
      <w:r w:rsidRPr="00BE6831">
        <w:rPr>
          <w:rFonts w:cs="Arial"/>
          <w:sz w:val="22"/>
        </w:rPr>
        <w:t>Vu le rapport de M.</w:t>
      </w:r>
      <w:r w:rsidR="00CD2360">
        <w:rPr>
          <w:rFonts w:cs="Arial"/>
          <w:sz w:val="22"/>
        </w:rPr>
        <w:t> </w:t>
      </w:r>
      <w:r w:rsidR="00025503">
        <w:rPr>
          <w:rFonts w:cs="Arial"/>
          <w:sz w:val="22"/>
        </w:rPr>
        <w:t>Yves ROLLAND</w:t>
      </w:r>
      <w:r w:rsidRPr="00BE6831">
        <w:rPr>
          <w:rFonts w:cs="Arial"/>
          <w:sz w:val="22"/>
        </w:rPr>
        <w:t>, conseiller maître ;</w:t>
      </w:r>
    </w:p>
    <w:p w:rsidR="007F76E8" w:rsidRPr="00BE6831" w:rsidRDefault="007F76E8" w:rsidP="00251668">
      <w:pPr>
        <w:spacing w:after="280"/>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28156D">
        <w:rPr>
          <w:rFonts w:cs="Arial"/>
          <w:sz w:val="22"/>
        </w:rPr>
        <w:t>n°</w:t>
      </w:r>
      <w:r w:rsidR="00595733">
        <w:rPr>
          <w:rFonts w:cs="Arial"/>
          <w:sz w:val="22"/>
        </w:rPr>
        <w:t> </w:t>
      </w:r>
      <w:r w:rsidR="00BD7DBC">
        <w:rPr>
          <w:rFonts w:cs="Arial"/>
          <w:sz w:val="22"/>
        </w:rPr>
        <w:t xml:space="preserve">515 </w:t>
      </w:r>
      <w:r w:rsidR="0028156D">
        <w:rPr>
          <w:rFonts w:cs="Arial"/>
          <w:sz w:val="22"/>
        </w:rPr>
        <w:t xml:space="preserve">du 27 août </w:t>
      </w:r>
      <w:r w:rsidR="008F0F94">
        <w:rPr>
          <w:rFonts w:cs="Arial"/>
          <w:sz w:val="22"/>
        </w:rPr>
        <w:t>2015</w:t>
      </w:r>
      <w:r w:rsidR="00543D9E">
        <w:rPr>
          <w:rFonts w:cs="Arial"/>
          <w:sz w:val="22"/>
        </w:rPr>
        <w:t> ;</w:t>
      </w:r>
    </w:p>
    <w:p w:rsidR="007F76E8" w:rsidRPr="00BE6831" w:rsidRDefault="007F76E8" w:rsidP="00251668">
      <w:pPr>
        <w:spacing w:after="280"/>
        <w:jc w:val="both"/>
        <w:rPr>
          <w:rFonts w:cs="Arial"/>
          <w:sz w:val="22"/>
        </w:rPr>
      </w:pPr>
      <w:r w:rsidRPr="00BE6831">
        <w:rPr>
          <w:rFonts w:cs="Arial"/>
          <w:sz w:val="22"/>
        </w:rPr>
        <w:t>Entendu, lors de l’audience publique de ce jour, M.</w:t>
      </w:r>
      <w:r w:rsidR="00BD7DBC">
        <w:rPr>
          <w:rFonts w:cs="Arial"/>
          <w:sz w:val="22"/>
        </w:rPr>
        <w:t> </w:t>
      </w:r>
      <w:r w:rsidR="00025503">
        <w:rPr>
          <w:rFonts w:cs="Arial"/>
          <w:sz w:val="22"/>
        </w:rPr>
        <w:t>ROLLAND</w:t>
      </w:r>
      <w:r w:rsidRPr="00BE6831">
        <w:rPr>
          <w:rFonts w:cs="Arial"/>
          <w:sz w:val="22"/>
        </w:rPr>
        <w:t xml:space="preserve">, </w:t>
      </w:r>
      <w:r w:rsidR="0039517C">
        <w:rPr>
          <w:rFonts w:cs="Arial"/>
          <w:sz w:val="22"/>
        </w:rPr>
        <w:t xml:space="preserve">conseiller maître, </w:t>
      </w:r>
      <w:r w:rsidRPr="00BE6831">
        <w:rPr>
          <w:rFonts w:cs="Arial"/>
          <w:sz w:val="22"/>
        </w:rPr>
        <w:t xml:space="preserve">en son rapport, </w:t>
      </w:r>
      <w:r w:rsidR="0028156D">
        <w:rPr>
          <w:rFonts w:cs="Arial"/>
          <w:sz w:val="22"/>
        </w:rPr>
        <w:t>M.</w:t>
      </w:r>
      <w:r w:rsidR="00CD2360">
        <w:rPr>
          <w:rFonts w:cs="Arial"/>
          <w:sz w:val="22"/>
        </w:rPr>
        <w:t xml:space="preserve"> </w:t>
      </w:r>
      <w:r w:rsidR="0028156D">
        <w:rPr>
          <w:rFonts w:cs="Arial"/>
          <w:sz w:val="22"/>
        </w:rPr>
        <w:t>Bertrand DIRINGER</w:t>
      </w:r>
      <w:r w:rsidRPr="0039517C">
        <w:rPr>
          <w:rFonts w:cs="Arial"/>
          <w:sz w:val="22"/>
        </w:rPr>
        <w:t>, avocat général, en les concl</w:t>
      </w:r>
      <w:r w:rsidR="0028156D">
        <w:rPr>
          <w:rFonts w:cs="Arial"/>
          <w:sz w:val="22"/>
        </w:rPr>
        <w:t>usions du ministère public</w:t>
      </w:r>
      <w:r w:rsidRPr="0039517C">
        <w:rPr>
          <w:rFonts w:cs="Arial"/>
          <w:sz w:val="22"/>
        </w:rPr>
        <w:t> ;</w:t>
      </w:r>
    </w:p>
    <w:p w:rsidR="00543D9E" w:rsidRDefault="00543D9E" w:rsidP="00251668">
      <w:pPr>
        <w:spacing w:after="280"/>
        <w:jc w:val="both"/>
        <w:rPr>
          <w:rFonts w:cs="Arial"/>
          <w:sz w:val="22"/>
        </w:rPr>
      </w:pPr>
    </w:p>
    <w:p w:rsidR="007F76E8" w:rsidRDefault="007F76E8" w:rsidP="00251668">
      <w:pPr>
        <w:spacing w:after="280"/>
        <w:jc w:val="both"/>
        <w:rPr>
          <w:rFonts w:cs="Arial"/>
          <w:sz w:val="22"/>
        </w:rPr>
      </w:pPr>
      <w:r w:rsidRPr="0039517C">
        <w:rPr>
          <w:rFonts w:cs="Arial"/>
          <w:sz w:val="22"/>
        </w:rPr>
        <w:t>Entendu, en d</w:t>
      </w:r>
      <w:r w:rsidR="00025503">
        <w:rPr>
          <w:rFonts w:cs="Arial"/>
          <w:sz w:val="22"/>
        </w:rPr>
        <w:t>élibéré, M.</w:t>
      </w:r>
      <w:r w:rsidR="0093036A">
        <w:rPr>
          <w:rFonts w:cs="Arial"/>
          <w:sz w:val="22"/>
        </w:rPr>
        <w:t> </w:t>
      </w:r>
      <w:r w:rsidR="00025503">
        <w:rPr>
          <w:rFonts w:cs="Arial"/>
          <w:sz w:val="22"/>
        </w:rPr>
        <w:t>Jean-Pierre LAFAURE</w:t>
      </w:r>
      <w:r w:rsidR="008F0F94" w:rsidRPr="0039517C">
        <w:rPr>
          <w:rFonts w:cs="Arial"/>
          <w:sz w:val="22"/>
        </w:rPr>
        <w:t>, conseiller-maître</w:t>
      </w:r>
      <w:r w:rsidRPr="0039517C">
        <w:rPr>
          <w:rFonts w:cs="Arial"/>
          <w:sz w:val="22"/>
        </w:rPr>
        <w:t>, en ses observations ;</w:t>
      </w:r>
    </w:p>
    <w:p w:rsidR="00D33BDC" w:rsidRPr="00D33BDC" w:rsidRDefault="00D33BDC" w:rsidP="00D33BDC">
      <w:pPr>
        <w:pStyle w:val="Corpsdetexte"/>
        <w:ind w:firstLine="0"/>
        <w:rPr>
          <w:rFonts w:ascii="Arial" w:hAnsi="Arial" w:cs="Arial"/>
          <w:b w:val="0"/>
          <w:i w:val="0"/>
        </w:rPr>
      </w:pPr>
      <w:r>
        <w:rPr>
          <w:rFonts w:ascii="Arial" w:hAnsi="Arial" w:cs="Arial"/>
          <w:b w:val="0"/>
          <w:i w:val="0"/>
        </w:rPr>
        <w:t>Attendu que l</w:t>
      </w:r>
      <w:r w:rsidRPr="00D33BDC">
        <w:rPr>
          <w:rFonts w:ascii="Arial" w:hAnsi="Arial" w:cs="Arial"/>
          <w:b w:val="0"/>
          <w:i w:val="0"/>
        </w:rPr>
        <w:t>a communauté d'agglomération Maubeuge Val-de-Sambre avait émis le 1</w:t>
      </w:r>
      <w:r w:rsidRPr="0093036A">
        <w:rPr>
          <w:rFonts w:ascii="Arial" w:hAnsi="Arial" w:cs="Arial"/>
          <w:b w:val="0"/>
          <w:i w:val="0"/>
          <w:vertAlign w:val="superscript"/>
        </w:rPr>
        <w:t>er</w:t>
      </w:r>
      <w:r w:rsidR="00543D9E">
        <w:rPr>
          <w:rFonts w:ascii="Arial" w:hAnsi="Arial" w:cs="Arial"/>
          <w:b w:val="0"/>
          <w:i w:val="0"/>
        </w:rPr>
        <w:t xml:space="preserve"> </w:t>
      </w:r>
      <w:r w:rsidRPr="00D33BDC">
        <w:rPr>
          <w:rFonts w:ascii="Arial" w:hAnsi="Arial" w:cs="Arial"/>
          <w:b w:val="0"/>
          <w:i w:val="0"/>
        </w:rPr>
        <w:t>décembre</w:t>
      </w:r>
      <w:r w:rsidR="00543D9E">
        <w:rPr>
          <w:rFonts w:ascii="Arial" w:hAnsi="Arial" w:cs="Arial"/>
          <w:b w:val="0"/>
          <w:i w:val="0"/>
        </w:rPr>
        <w:t xml:space="preserve"> </w:t>
      </w:r>
      <w:r w:rsidRPr="00D33BDC">
        <w:rPr>
          <w:rFonts w:ascii="Arial" w:hAnsi="Arial" w:cs="Arial"/>
          <w:b w:val="0"/>
          <w:i w:val="0"/>
        </w:rPr>
        <w:t>2008 un titre de recette (n°</w:t>
      </w:r>
      <w:r w:rsidR="0093036A">
        <w:rPr>
          <w:rFonts w:ascii="Arial" w:hAnsi="Arial" w:cs="Arial"/>
          <w:b w:val="0"/>
          <w:i w:val="0"/>
        </w:rPr>
        <w:t> </w:t>
      </w:r>
      <w:r w:rsidRPr="00D33BDC">
        <w:rPr>
          <w:rFonts w:ascii="Arial" w:hAnsi="Arial" w:cs="Arial"/>
          <w:b w:val="0"/>
          <w:i w:val="0"/>
        </w:rPr>
        <w:t>870/exercice 2008) d'un montant de 2</w:t>
      </w:r>
      <w:r w:rsidR="0093036A">
        <w:rPr>
          <w:rFonts w:ascii="Arial" w:hAnsi="Arial" w:cs="Arial"/>
          <w:b w:val="0"/>
          <w:i w:val="0"/>
        </w:rPr>
        <w:t> </w:t>
      </w:r>
      <w:r w:rsidRPr="00D33BDC">
        <w:rPr>
          <w:rFonts w:ascii="Arial" w:hAnsi="Arial" w:cs="Arial"/>
          <w:b w:val="0"/>
          <w:i w:val="0"/>
        </w:rPr>
        <w:t>025,58</w:t>
      </w:r>
      <w:r w:rsidR="0093036A">
        <w:rPr>
          <w:rFonts w:ascii="Arial" w:hAnsi="Arial" w:cs="Arial"/>
          <w:b w:val="0"/>
          <w:i w:val="0"/>
        </w:rPr>
        <w:t> </w:t>
      </w:r>
      <w:r w:rsidRPr="00D33BDC">
        <w:rPr>
          <w:rFonts w:ascii="Arial" w:hAnsi="Arial" w:cs="Arial"/>
          <w:b w:val="0"/>
          <w:i w:val="0"/>
        </w:rPr>
        <w:t xml:space="preserve">€ à l'encontre d'un débiteur résultant de la condamnation de ce dernier à indemniser la collectivité, partie civile, en vertu d'un jugement du </w:t>
      </w:r>
      <w:r w:rsidR="0093036A">
        <w:rPr>
          <w:rFonts w:ascii="Arial" w:hAnsi="Arial" w:cs="Arial"/>
          <w:b w:val="0"/>
          <w:i w:val="0"/>
        </w:rPr>
        <w:t>Tribunal de grande instance (</w:t>
      </w:r>
      <w:r w:rsidRPr="00D33BDC">
        <w:rPr>
          <w:rFonts w:ascii="Arial" w:hAnsi="Arial" w:cs="Arial"/>
          <w:b w:val="0"/>
          <w:i w:val="0"/>
        </w:rPr>
        <w:t>TGI</w:t>
      </w:r>
      <w:r w:rsidR="0093036A">
        <w:rPr>
          <w:rFonts w:ascii="Arial" w:hAnsi="Arial" w:cs="Arial"/>
          <w:b w:val="0"/>
          <w:i w:val="0"/>
        </w:rPr>
        <w:t>)</w:t>
      </w:r>
      <w:r w:rsidRPr="00D33BDC">
        <w:rPr>
          <w:rFonts w:ascii="Arial" w:hAnsi="Arial" w:cs="Arial"/>
          <w:b w:val="0"/>
          <w:i w:val="0"/>
        </w:rPr>
        <w:t xml:space="preserve"> d'A</w:t>
      </w:r>
      <w:r>
        <w:rPr>
          <w:rFonts w:ascii="Arial" w:hAnsi="Arial" w:cs="Arial"/>
          <w:b w:val="0"/>
          <w:i w:val="0"/>
        </w:rPr>
        <w:t>vesnes-sur-Helpe du 30 mai 2007 ; que l</w:t>
      </w:r>
      <w:r w:rsidRPr="00D33BDC">
        <w:rPr>
          <w:rFonts w:ascii="Arial" w:hAnsi="Arial" w:cs="Arial"/>
          <w:b w:val="0"/>
          <w:i w:val="0"/>
        </w:rPr>
        <w:t xml:space="preserve">e prédécesseur de </w:t>
      </w:r>
      <w:r>
        <w:rPr>
          <w:rFonts w:ascii="Arial" w:hAnsi="Arial" w:cs="Arial"/>
          <w:b w:val="0"/>
          <w:i w:val="0"/>
        </w:rPr>
        <w:t xml:space="preserve">la requérante </w:t>
      </w:r>
      <w:r w:rsidRPr="00D33BDC">
        <w:rPr>
          <w:rFonts w:ascii="Arial" w:hAnsi="Arial" w:cs="Arial"/>
          <w:b w:val="0"/>
          <w:i w:val="0"/>
        </w:rPr>
        <w:t>avait diligenté deux actes de poursuite qui n'avaient pas permis d'obtenir le recouvrement de la créance</w:t>
      </w:r>
      <w:r>
        <w:rPr>
          <w:rFonts w:ascii="Arial" w:hAnsi="Arial" w:cs="Arial"/>
          <w:b w:val="0"/>
          <w:i w:val="0"/>
        </w:rPr>
        <w:t xml:space="preserve"> en raison, notamment</w:t>
      </w:r>
      <w:r w:rsidR="00543D9E">
        <w:rPr>
          <w:rFonts w:ascii="Arial" w:hAnsi="Arial" w:cs="Arial"/>
          <w:b w:val="0"/>
          <w:i w:val="0"/>
        </w:rPr>
        <w:t>,</w:t>
      </w:r>
      <w:r>
        <w:rPr>
          <w:rFonts w:ascii="Arial" w:hAnsi="Arial" w:cs="Arial"/>
          <w:b w:val="0"/>
          <w:i w:val="0"/>
        </w:rPr>
        <w:t xml:space="preserve"> de l’incarcération du débiteur</w:t>
      </w:r>
      <w:r w:rsidRPr="00D33BDC">
        <w:rPr>
          <w:rFonts w:ascii="Arial" w:hAnsi="Arial" w:cs="Arial"/>
          <w:b w:val="0"/>
          <w:i w:val="0"/>
        </w:rPr>
        <w:t xml:space="preserve"> au centre pénitentiaire de Mau</w:t>
      </w:r>
      <w:r>
        <w:rPr>
          <w:rFonts w:ascii="Arial" w:hAnsi="Arial" w:cs="Arial"/>
          <w:b w:val="0"/>
          <w:i w:val="0"/>
        </w:rPr>
        <w:t>beuge depuis le 27 janvier 2010 ;</w:t>
      </w:r>
    </w:p>
    <w:p w:rsidR="00D33BDC" w:rsidRDefault="00D33BDC" w:rsidP="00D33BDC">
      <w:pPr>
        <w:pStyle w:val="Corpsdetexte"/>
        <w:ind w:firstLine="0"/>
        <w:rPr>
          <w:rFonts w:ascii="Arial" w:hAnsi="Arial" w:cs="Arial"/>
          <w:b w:val="0"/>
          <w:i w:val="0"/>
        </w:rPr>
      </w:pPr>
      <w:r>
        <w:rPr>
          <w:rFonts w:ascii="Arial" w:hAnsi="Arial" w:cs="Arial"/>
          <w:b w:val="0"/>
          <w:i w:val="0"/>
        </w:rPr>
        <w:t>Attendu que, l</w:t>
      </w:r>
      <w:r w:rsidRPr="00D33BDC">
        <w:rPr>
          <w:rFonts w:ascii="Arial" w:hAnsi="Arial" w:cs="Arial"/>
          <w:b w:val="0"/>
          <w:i w:val="0"/>
        </w:rPr>
        <w:t xml:space="preserve">ors de sa prise de fonction le 2 juillet 2010, </w:t>
      </w:r>
      <w:r w:rsidR="00543D9E" w:rsidRPr="00543D9E">
        <w:rPr>
          <w:rFonts w:ascii="Arial" w:hAnsi="Arial" w:cs="Arial"/>
          <w:b w:val="0"/>
          <w:i w:val="0"/>
        </w:rPr>
        <w:t>M</w:t>
      </w:r>
      <w:r w:rsidR="00543D9E" w:rsidRPr="00543D9E">
        <w:rPr>
          <w:rFonts w:ascii="Arial" w:hAnsi="Arial" w:cs="Arial"/>
          <w:b w:val="0"/>
          <w:i w:val="0"/>
          <w:vertAlign w:val="superscript"/>
        </w:rPr>
        <w:t>me</w:t>
      </w:r>
      <w:r w:rsidR="00543D9E">
        <w:rPr>
          <w:rFonts w:ascii="Arial" w:hAnsi="Arial" w:cs="Arial"/>
          <w:b w:val="0"/>
          <w:i w:val="0"/>
        </w:rPr>
        <w:t> </w:t>
      </w:r>
      <w:r w:rsidR="00C64FFC">
        <w:rPr>
          <w:rFonts w:ascii="Arial" w:hAnsi="Arial" w:cs="Arial"/>
          <w:b w:val="0"/>
          <w:i w:val="0"/>
        </w:rPr>
        <w:t>X</w:t>
      </w:r>
      <w:r w:rsidRPr="00D33BDC">
        <w:rPr>
          <w:rFonts w:ascii="Arial" w:hAnsi="Arial" w:cs="Arial"/>
          <w:b w:val="0"/>
          <w:i w:val="0"/>
        </w:rPr>
        <w:t xml:space="preserve"> n'a pas émis de réserves sur ce titre qu'elle a do</w:t>
      </w:r>
      <w:r>
        <w:rPr>
          <w:rFonts w:ascii="Arial" w:hAnsi="Arial" w:cs="Arial"/>
          <w:b w:val="0"/>
          <w:i w:val="0"/>
        </w:rPr>
        <w:t>nc accepté de prendre en charge ; que l</w:t>
      </w:r>
      <w:r w:rsidRPr="00D33BDC">
        <w:rPr>
          <w:rFonts w:ascii="Arial" w:hAnsi="Arial" w:cs="Arial"/>
          <w:b w:val="0"/>
          <w:i w:val="0"/>
        </w:rPr>
        <w:t xml:space="preserve">a créance a été admise en non-valeur par délibération du conseil de </w:t>
      </w:r>
      <w:r w:rsidR="0093036A">
        <w:rPr>
          <w:rFonts w:ascii="Arial" w:hAnsi="Arial" w:cs="Arial"/>
          <w:b w:val="0"/>
          <w:i w:val="0"/>
        </w:rPr>
        <w:t xml:space="preserve">la </w:t>
      </w:r>
      <w:r w:rsidRPr="00D33BDC">
        <w:rPr>
          <w:rFonts w:ascii="Arial" w:hAnsi="Arial" w:cs="Arial"/>
          <w:b w:val="0"/>
          <w:i w:val="0"/>
        </w:rPr>
        <w:t xml:space="preserve">communauté </w:t>
      </w:r>
      <w:r w:rsidR="0093036A">
        <w:rPr>
          <w:rFonts w:ascii="Arial" w:hAnsi="Arial" w:cs="Arial"/>
          <w:b w:val="0"/>
          <w:i w:val="0"/>
        </w:rPr>
        <w:t xml:space="preserve">d’agglomération Maubeuge Val-de-Sambre </w:t>
      </w:r>
      <w:r w:rsidRPr="00D33BDC">
        <w:rPr>
          <w:rFonts w:ascii="Arial" w:hAnsi="Arial" w:cs="Arial"/>
          <w:b w:val="0"/>
          <w:i w:val="0"/>
        </w:rPr>
        <w:t xml:space="preserve">le 15 décembre 2010 au motif </w:t>
      </w:r>
      <w:r>
        <w:rPr>
          <w:rFonts w:ascii="Arial" w:hAnsi="Arial" w:cs="Arial"/>
          <w:b w:val="0"/>
          <w:i w:val="0"/>
        </w:rPr>
        <w:t>que le débiteur était incarcéré ;</w:t>
      </w:r>
    </w:p>
    <w:p w:rsidR="00DE7B1F" w:rsidRPr="00DE7B1F" w:rsidRDefault="007F76E8" w:rsidP="00DE7B1F">
      <w:pPr>
        <w:pStyle w:val="Corpsdetexte"/>
        <w:ind w:firstLine="0"/>
        <w:rPr>
          <w:rFonts w:ascii="Arial" w:hAnsi="Arial" w:cs="Arial"/>
          <w:b w:val="0"/>
          <w:i w:val="0"/>
        </w:rPr>
      </w:pPr>
      <w:r w:rsidRPr="00DE7B1F">
        <w:rPr>
          <w:rFonts w:ascii="Arial" w:hAnsi="Arial" w:cs="Arial"/>
          <w:b w:val="0"/>
          <w:i w:val="0"/>
        </w:rPr>
        <w:t>Attendu que</w:t>
      </w:r>
      <w:r w:rsidR="00365ED7" w:rsidRPr="00DE7B1F">
        <w:rPr>
          <w:rFonts w:ascii="Arial" w:hAnsi="Arial" w:cs="Arial"/>
          <w:b w:val="0"/>
          <w:i w:val="0"/>
        </w:rPr>
        <w:t>, par le jugement entrepris, la chambre régionale a</w:t>
      </w:r>
      <w:r w:rsidR="00DE7B1F" w:rsidRPr="00DE7B1F">
        <w:rPr>
          <w:rFonts w:ascii="Arial" w:hAnsi="Arial" w:cs="Arial"/>
          <w:b w:val="0"/>
          <w:i w:val="0"/>
        </w:rPr>
        <w:t xml:space="preserve"> constaté qu'il n'avait pas été engagé </w:t>
      </w:r>
      <w:r w:rsidR="00D33BDC">
        <w:rPr>
          <w:rFonts w:ascii="Arial" w:hAnsi="Arial" w:cs="Arial"/>
          <w:b w:val="0"/>
          <w:i w:val="0"/>
        </w:rPr>
        <w:t xml:space="preserve">de nouveaux actes de poursuite </w:t>
      </w:r>
      <w:r w:rsidR="00DE7B1F" w:rsidRPr="00DE7B1F">
        <w:rPr>
          <w:rFonts w:ascii="Arial" w:hAnsi="Arial" w:cs="Arial"/>
          <w:b w:val="0"/>
          <w:i w:val="0"/>
        </w:rPr>
        <w:t>à compter de la connaissance par la comptable le 26</w:t>
      </w:r>
      <w:r w:rsidR="00543D9E">
        <w:rPr>
          <w:rFonts w:ascii="Arial" w:hAnsi="Arial" w:cs="Arial"/>
          <w:b w:val="0"/>
          <w:i w:val="0"/>
        </w:rPr>
        <w:t xml:space="preserve"> </w:t>
      </w:r>
      <w:r w:rsidR="00DE7B1F" w:rsidRPr="00DE7B1F">
        <w:rPr>
          <w:rFonts w:ascii="Arial" w:hAnsi="Arial" w:cs="Arial"/>
          <w:b w:val="0"/>
          <w:i w:val="0"/>
        </w:rPr>
        <w:t>octobre</w:t>
      </w:r>
      <w:r w:rsidR="00543D9E">
        <w:rPr>
          <w:rFonts w:ascii="Arial" w:hAnsi="Arial" w:cs="Arial"/>
          <w:b w:val="0"/>
          <w:i w:val="0"/>
        </w:rPr>
        <w:t xml:space="preserve"> </w:t>
      </w:r>
      <w:r w:rsidR="00DE7B1F" w:rsidRPr="00DE7B1F">
        <w:rPr>
          <w:rFonts w:ascii="Arial" w:hAnsi="Arial" w:cs="Arial"/>
          <w:b w:val="0"/>
          <w:i w:val="0"/>
        </w:rPr>
        <w:t>2010 de l'incarcération du débiteur</w:t>
      </w:r>
      <w:r w:rsidR="00DE7B1F">
        <w:rPr>
          <w:rFonts w:ascii="Arial" w:hAnsi="Arial" w:cs="Arial"/>
          <w:b w:val="0"/>
          <w:i w:val="0"/>
        </w:rPr>
        <w:t xml:space="preserve">, </w:t>
      </w:r>
      <w:r w:rsidR="00DE7B1F" w:rsidRPr="00DE7B1F">
        <w:rPr>
          <w:rFonts w:ascii="Arial" w:hAnsi="Arial" w:cs="Arial"/>
          <w:b w:val="0"/>
          <w:i w:val="0"/>
        </w:rPr>
        <w:t>qu'il ne résult</w:t>
      </w:r>
      <w:r w:rsidR="00DE7B1F">
        <w:rPr>
          <w:rFonts w:ascii="Arial" w:hAnsi="Arial" w:cs="Arial"/>
          <w:b w:val="0"/>
          <w:i w:val="0"/>
        </w:rPr>
        <w:t>ait</w:t>
      </w:r>
      <w:r w:rsidR="00DE7B1F" w:rsidRPr="00DE7B1F">
        <w:rPr>
          <w:rFonts w:ascii="Arial" w:hAnsi="Arial" w:cs="Arial"/>
          <w:b w:val="0"/>
          <w:i w:val="0"/>
        </w:rPr>
        <w:t xml:space="preserve"> pas de l'instruction que des renseignements </w:t>
      </w:r>
      <w:r w:rsidR="00DE7B1F">
        <w:rPr>
          <w:rFonts w:ascii="Arial" w:hAnsi="Arial" w:cs="Arial"/>
          <w:b w:val="0"/>
          <w:i w:val="0"/>
        </w:rPr>
        <w:t>avaien</w:t>
      </w:r>
      <w:r w:rsidR="00DE7B1F" w:rsidRPr="00DE7B1F">
        <w:rPr>
          <w:rFonts w:ascii="Arial" w:hAnsi="Arial" w:cs="Arial"/>
          <w:b w:val="0"/>
          <w:i w:val="0"/>
        </w:rPr>
        <w:t>t été pris sur la durée de l'incarcération</w:t>
      </w:r>
      <w:r w:rsidR="00DE7B1F">
        <w:rPr>
          <w:rFonts w:ascii="Arial" w:hAnsi="Arial" w:cs="Arial"/>
          <w:b w:val="0"/>
          <w:i w:val="0"/>
        </w:rPr>
        <w:t xml:space="preserve">, </w:t>
      </w:r>
      <w:r w:rsidR="00DE7B1F" w:rsidRPr="00DE7B1F">
        <w:rPr>
          <w:rFonts w:ascii="Arial" w:hAnsi="Arial" w:cs="Arial"/>
          <w:b w:val="0"/>
          <w:i w:val="0"/>
        </w:rPr>
        <w:t xml:space="preserve">qu'il </w:t>
      </w:r>
      <w:r w:rsidR="00DE7B1F">
        <w:rPr>
          <w:rFonts w:ascii="Arial" w:hAnsi="Arial" w:cs="Arial"/>
          <w:b w:val="0"/>
          <w:i w:val="0"/>
        </w:rPr>
        <w:t>n'étai</w:t>
      </w:r>
      <w:r w:rsidR="00DE7B1F" w:rsidRPr="00DE7B1F">
        <w:rPr>
          <w:rFonts w:ascii="Arial" w:hAnsi="Arial" w:cs="Arial"/>
          <w:b w:val="0"/>
          <w:i w:val="0"/>
        </w:rPr>
        <w:t xml:space="preserve">t pas non plus contesté que toutes les voies de droit ouvertes à l'encontre d'un débiteur incarcéré </w:t>
      </w:r>
      <w:r w:rsidR="00DE7B1F">
        <w:rPr>
          <w:rFonts w:ascii="Arial" w:hAnsi="Arial" w:cs="Arial"/>
          <w:b w:val="0"/>
          <w:i w:val="0"/>
        </w:rPr>
        <w:t>n’</w:t>
      </w:r>
      <w:r w:rsidR="00DE7B1F" w:rsidRPr="00DE7B1F">
        <w:rPr>
          <w:rFonts w:ascii="Arial" w:hAnsi="Arial" w:cs="Arial"/>
          <w:b w:val="0"/>
          <w:i w:val="0"/>
        </w:rPr>
        <w:t>aient été engagées</w:t>
      </w:r>
      <w:r w:rsidR="00DE7B1F">
        <w:rPr>
          <w:rFonts w:ascii="Arial" w:hAnsi="Arial" w:cs="Arial"/>
          <w:b w:val="0"/>
          <w:i w:val="0"/>
        </w:rPr>
        <w:t xml:space="preserve">, </w:t>
      </w:r>
      <w:r w:rsidR="00DE7B1F" w:rsidRPr="00DE7B1F">
        <w:rPr>
          <w:rFonts w:ascii="Arial" w:hAnsi="Arial" w:cs="Arial"/>
          <w:b w:val="0"/>
          <w:i w:val="0"/>
        </w:rPr>
        <w:t xml:space="preserve">que la demande d'admission en non-valeur </w:t>
      </w:r>
      <w:r w:rsidR="00DE7B1F">
        <w:rPr>
          <w:rFonts w:ascii="Arial" w:hAnsi="Arial" w:cs="Arial"/>
          <w:b w:val="0"/>
          <w:i w:val="0"/>
        </w:rPr>
        <w:t>était</w:t>
      </w:r>
      <w:r w:rsidR="00DE7B1F" w:rsidRPr="00DE7B1F">
        <w:rPr>
          <w:rFonts w:ascii="Arial" w:hAnsi="Arial" w:cs="Arial"/>
          <w:b w:val="0"/>
          <w:i w:val="0"/>
        </w:rPr>
        <w:t xml:space="preserve"> essentiellement motivée par cette incarcération et qu'elle a</w:t>
      </w:r>
      <w:r w:rsidR="00DE7B1F">
        <w:rPr>
          <w:rFonts w:ascii="Arial" w:hAnsi="Arial" w:cs="Arial"/>
          <w:b w:val="0"/>
          <w:i w:val="0"/>
        </w:rPr>
        <w:t>vait</w:t>
      </w:r>
      <w:r w:rsidR="00DE7B1F" w:rsidRPr="00DE7B1F">
        <w:rPr>
          <w:rFonts w:ascii="Arial" w:hAnsi="Arial" w:cs="Arial"/>
          <w:b w:val="0"/>
          <w:i w:val="0"/>
        </w:rPr>
        <w:t xml:space="preserve"> compromis définitivement les chances de recouvrement de la créance par l'annulation du titre de recettes et que les poursuites </w:t>
      </w:r>
      <w:r w:rsidR="00DE7B1F">
        <w:rPr>
          <w:rFonts w:ascii="Arial" w:hAnsi="Arial" w:cs="Arial"/>
          <w:b w:val="0"/>
          <w:i w:val="0"/>
        </w:rPr>
        <w:t xml:space="preserve">avaient </w:t>
      </w:r>
      <w:r w:rsidR="00DE7B1F" w:rsidRPr="00DE7B1F">
        <w:rPr>
          <w:rFonts w:ascii="Arial" w:hAnsi="Arial" w:cs="Arial"/>
          <w:b w:val="0"/>
          <w:i w:val="0"/>
        </w:rPr>
        <w:t>donc été abandonn</w:t>
      </w:r>
      <w:r w:rsidR="00DE7B1F">
        <w:rPr>
          <w:rFonts w:ascii="Arial" w:hAnsi="Arial" w:cs="Arial"/>
          <w:b w:val="0"/>
          <w:i w:val="0"/>
        </w:rPr>
        <w:t xml:space="preserve">ées ; qu’elle a </w:t>
      </w:r>
      <w:r w:rsidR="005D1B5D">
        <w:rPr>
          <w:rFonts w:ascii="Arial" w:hAnsi="Arial" w:cs="Arial"/>
          <w:b w:val="0"/>
          <w:i w:val="0"/>
        </w:rPr>
        <w:t>relevé</w:t>
      </w:r>
      <w:r w:rsidR="005D1B5D" w:rsidRPr="005D1B5D">
        <w:rPr>
          <w:rFonts w:ascii="Arial" w:hAnsi="Arial" w:cs="Arial"/>
          <w:b w:val="0"/>
          <w:i w:val="0"/>
        </w:rPr>
        <w:t xml:space="preserve"> que le défaut de diligences de la comptable qui n'ont été ni complètes ni adéquates, constitue un manquement engageant sa responsabilité personnelle et pécuniaire et que ce manquement avait entraîné un préjudice financier pour</w:t>
      </w:r>
      <w:r w:rsidR="005D1B5D">
        <w:rPr>
          <w:rFonts w:ascii="Arial" w:hAnsi="Arial" w:cs="Arial"/>
          <w:b w:val="0"/>
          <w:i w:val="0"/>
        </w:rPr>
        <w:t xml:space="preserve"> la communauté d'agglomération ; qu’elle a donc constitué </w:t>
      </w:r>
      <w:r w:rsidR="00543D9E" w:rsidRPr="00543D9E">
        <w:rPr>
          <w:rFonts w:ascii="Arial" w:hAnsi="Arial" w:cs="Arial"/>
          <w:b w:val="0"/>
          <w:i w:val="0"/>
        </w:rPr>
        <w:t>M</w:t>
      </w:r>
      <w:r w:rsidR="00543D9E" w:rsidRPr="00543D9E">
        <w:rPr>
          <w:rFonts w:ascii="Arial" w:hAnsi="Arial" w:cs="Arial"/>
          <w:b w:val="0"/>
          <w:i w:val="0"/>
          <w:vertAlign w:val="superscript"/>
        </w:rPr>
        <w:t>me</w:t>
      </w:r>
      <w:r w:rsidR="00543D9E">
        <w:rPr>
          <w:rFonts w:ascii="Arial" w:hAnsi="Arial" w:cs="Arial"/>
          <w:b w:val="0"/>
          <w:i w:val="0"/>
        </w:rPr>
        <w:t> </w:t>
      </w:r>
      <w:r w:rsidR="00C64FFC">
        <w:rPr>
          <w:rFonts w:ascii="Arial" w:hAnsi="Arial" w:cs="Arial"/>
          <w:b w:val="0"/>
          <w:i w:val="0"/>
        </w:rPr>
        <w:t>X</w:t>
      </w:r>
      <w:r w:rsidR="005D1B5D" w:rsidRPr="005D1B5D">
        <w:rPr>
          <w:rFonts w:ascii="Arial" w:hAnsi="Arial" w:cs="Arial"/>
          <w:b w:val="0"/>
          <w:i w:val="0"/>
        </w:rPr>
        <w:t xml:space="preserve"> débitrice de la somme de</w:t>
      </w:r>
      <w:r w:rsidR="00543D9E">
        <w:rPr>
          <w:rFonts w:ascii="Arial" w:hAnsi="Arial" w:cs="Arial"/>
          <w:b w:val="0"/>
          <w:i w:val="0"/>
        </w:rPr>
        <w:t xml:space="preserve"> </w:t>
      </w:r>
      <w:r w:rsidR="005D1B5D" w:rsidRPr="005D1B5D">
        <w:rPr>
          <w:rFonts w:ascii="Arial" w:hAnsi="Arial" w:cs="Arial"/>
          <w:b w:val="0"/>
          <w:i w:val="0"/>
        </w:rPr>
        <w:t>2</w:t>
      </w:r>
      <w:r w:rsidR="0093036A">
        <w:rPr>
          <w:rFonts w:ascii="Arial" w:hAnsi="Arial" w:cs="Arial"/>
          <w:b w:val="0"/>
          <w:i w:val="0"/>
        </w:rPr>
        <w:t> </w:t>
      </w:r>
      <w:r w:rsidR="005D1B5D" w:rsidRPr="005D1B5D">
        <w:rPr>
          <w:rFonts w:ascii="Arial" w:hAnsi="Arial" w:cs="Arial"/>
          <w:b w:val="0"/>
          <w:i w:val="0"/>
        </w:rPr>
        <w:t>025,58</w:t>
      </w:r>
      <w:r w:rsidR="0093036A">
        <w:rPr>
          <w:rFonts w:ascii="Arial" w:hAnsi="Arial" w:cs="Arial"/>
          <w:b w:val="0"/>
          <w:i w:val="0"/>
        </w:rPr>
        <w:t> </w:t>
      </w:r>
      <w:r w:rsidR="005D1B5D" w:rsidRPr="005D1B5D">
        <w:rPr>
          <w:rFonts w:ascii="Arial" w:hAnsi="Arial" w:cs="Arial"/>
          <w:b w:val="0"/>
          <w:i w:val="0"/>
        </w:rPr>
        <w:t>€ avec</w:t>
      </w:r>
      <w:r w:rsidR="005D1B5D">
        <w:t xml:space="preserve"> </w:t>
      </w:r>
      <w:r w:rsidR="005D1B5D" w:rsidRPr="005D1B5D">
        <w:rPr>
          <w:rFonts w:ascii="Arial" w:hAnsi="Arial" w:cs="Arial"/>
          <w:b w:val="0"/>
          <w:i w:val="0"/>
        </w:rPr>
        <w:t>intérêts de droits à compter du 4 mars 2014, date de la notificati</w:t>
      </w:r>
      <w:r w:rsidR="005D1B5D">
        <w:rPr>
          <w:rFonts w:ascii="Arial" w:hAnsi="Arial" w:cs="Arial"/>
          <w:b w:val="0"/>
          <w:i w:val="0"/>
        </w:rPr>
        <w:t>on du réquisitoire au comptable ;</w:t>
      </w:r>
    </w:p>
    <w:p w:rsidR="001C59EC" w:rsidRDefault="005D1B5D" w:rsidP="00251668">
      <w:pPr>
        <w:spacing w:after="280"/>
        <w:jc w:val="both"/>
        <w:rPr>
          <w:rFonts w:cs="Arial"/>
          <w:sz w:val="22"/>
        </w:rPr>
      </w:pPr>
      <w:r>
        <w:rPr>
          <w:rFonts w:cs="Arial"/>
          <w:sz w:val="22"/>
        </w:rPr>
        <w:t xml:space="preserve">Attendu que l’appelante conteste </w:t>
      </w:r>
      <w:r w:rsidR="00006902">
        <w:rPr>
          <w:rFonts w:cs="Arial"/>
          <w:sz w:val="22"/>
        </w:rPr>
        <w:t>le manquement reproché</w:t>
      </w:r>
      <w:r>
        <w:rPr>
          <w:rFonts w:cs="Arial"/>
          <w:sz w:val="22"/>
        </w:rPr>
        <w:t xml:space="preserve"> en </w:t>
      </w:r>
      <w:r w:rsidRPr="005D1B5D">
        <w:rPr>
          <w:rFonts w:cs="Arial"/>
          <w:sz w:val="22"/>
        </w:rPr>
        <w:t>s'appu</w:t>
      </w:r>
      <w:r>
        <w:rPr>
          <w:rFonts w:cs="Arial"/>
          <w:sz w:val="22"/>
        </w:rPr>
        <w:t>yant</w:t>
      </w:r>
      <w:r w:rsidRPr="005D1B5D">
        <w:rPr>
          <w:rFonts w:cs="Arial"/>
          <w:sz w:val="22"/>
        </w:rPr>
        <w:t xml:space="preserve"> sur le fait que l'admission en non-valeur était </w:t>
      </w:r>
      <w:r w:rsidR="00543D9E">
        <w:rPr>
          <w:rFonts w:cs="Arial"/>
          <w:sz w:val="22"/>
        </w:rPr>
        <w:t>« </w:t>
      </w:r>
      <w:r w:rsidRPr="005D1B5D">
        <w:rPr>
          <w:rFonts w:cs="Arial"/>
          <w:i/>
          <w:sz w:val="22"/>
        </w:rPr>
        <w:t>parfaitement justifiée</w:t>
      </w:r>
      <w:r w:rsidR="00543D9E">
        <w:rPr>
          <w:rFonts w:cs="Arial"/>
          <w:sz w:val="22"/>
        </w:rPr>
        <w:t> »</w:t>
      </w:r>
      <w:r w:rsidRPr="005D1B5D">
        <w:rPr>
          <w:rFonts w:cs="Arial"/>
          <w:sz w:val="22"/>
        </w:rPr>
        <w:t xml:space="preserve"> puisque c'est l'insolvabilité du débiteur, incarcéré, qui a fait obstacle</w:t>
      </w:r>
      <w:r>
        <w:rPr>
          <w:rFonts w:cs="Arial"/>
          <w:sz w:val="22"/>
        </w:rPr>
        <w:t xml:space="preserve"> au recouvrement de la créance ; qu’ainsi</w:t>
      </w:r>
      <w:r w:rsidRPr="005D1B5D">
        <w:rPr>
          <w:rFonts w:cs="Arial"/>
          <w:sz w:val="22"/>
        </w:rPr>
        <w:t>, la requérante reprend l'argumentation déjà avancée en premier ressort selon lequel les revenus du débiteur pendant son incarcération se situaient en moyenne à 100</w:t>
      </w:r>
      <w:r w:rsidR="0093036A">
        <w:rPr>
          <w:rFonts w:cs="Arial"/>
          <w:sz w:val="22"/>
        </w:rPr>
        <w:t> </w:t>
      </w:r>
      <w:r w:rsidRPr="005D1B5D">
        <w:rPr>
          <w:rFonts w:cs="Arial"/>
          <w:sz w:val="22"/>
        </w:rPr>
        <w:t>€, montant inférieur au seuil de</w:t>
      </w:r>
      <w:r w:rsidR="00543D9E">
        <w:rPr>
          <w:rFonts w:cs="Arial"/>
          <w:sz w:val="22"/>
        </w:rPr>
        <w:t xml:space="preserve"> </w:t>
      </w:r>
      <w:r w:rsidRPr="005D1B5D">
        <w:rPr>
          <w:rFonts w:cs="Arial"/>
          <w:sz w:val="22"/>
        </w:rPr>
        <w:t>200</w:t>
      </w:r>
      <w:r w:rsidR="0093036A">
        <w:rPr>
          <w:rFonts w:cs="Arial"/>
          <w:sz w:val="22"/>
        </w:rPr>
        <w:t> </w:t>
      </w:r>
      <w:r w:rsidRPr="005D1B5D">
        <w:rPr>
          <w:rFonts w:cs="Arial"/>
          <w:sz w:val="22"/>
        </w:rPr>
        <w:t xml:space="preserve">€ fixé par le code de procédure pénale </w:t>
      </w:r>
      <w:r w:rsidR="0093036A">
        <w:rPr>
          <w:rFonts w:cs="Arial"/>
          <w:sz w:val="22"/>
        </w:rPr>
        <w:t xml:space="preserve">(CPP) </w:t>
      </w:r>
      <w:r w:rsidRPr="005D1B5D">
        <w:rPr>
          <w:rFonts w:cs="Arial"/>
          <w:sz w:val="22"/>
        </w:rPr>
        <w:t>au-delà duquel le surplus doit permett</w:t>
      </w:r>
      <w:r>
        <w:rPr>
          <w:rFonts w:cs="Arial"/>
          <w:sz w:val="22"/>
        </w:rPr>
        <w:t>re l'indemnisation des victimes ;</w:t>
      </w:r>
    </w:p>
    <w:p w:rsidR="005D1B5D" w:rsidRPr="005D1B5D" w:rsidRDefault="005D1B5D" w:rsidP="005D1B5D">
      <w:pPr>
        <w:pStyle w:val="Corpsdetexte"/>
        <w:ind w:firstLine="0"/>
        <w:rPr>
          <w:rFonts w:ascii="Arial" w:hAnsi="Arial" w:cs="Arial"/>
          <w:b w:val="0"/>
          <w:i w:val="0"/>
          <w:szCs w:val="22"/>
        </w:rPr>
      </w:pPr>
      <w:r w:rsidRPr="005D1B5D">
        <w:rPr>
          <w:rFonts w:ascii="Arial" w:hAnsi="Arial" w:cs="Arial"/>
          <w:b w:val="0"/>
          <w:i w:val="0"/>
          <w:szCs w:val="22"/>
        </w:rPr>
        <w:t>Attendu qu</w:t>
      </w:r>
      <w:r w:rsidR="00D33BDC">
        <w:rPr>
          <w:rFonts w:ascii="Arial" w:hAnsi="Arial" w:cs="Arial"/>
          <w:b w:val="0"/>
          <w:i w:val="0"/>
          <w:szCs w:val="22"/>
        </w:rPr>
        <w:t>e la requérante</w:t>
      </w:r>
      <w:r w:rsidRPr="005D1B5D">
        <w:rPr>
          <w:rFonts w:ascii="Arial" w:hAnsi="Arial" w:cs="Arial"/>
          <w:b w:val="0"/>
          <w:i w:val="0"/>
          <w:szCs w:val="22"/>
        </w:rPr>
        <w:t xml:space="preserve"> conteste également le lien de causalité entre le manquement qu’elle a commis et le préjudice financier subi par la communauté d’agglomération du fait du non recouvrement de la créance ;</w:t>
      </w:r>
      <w:r>
        <w:rPr>
          <w:rFonts w:ascii="Arial" w:hAnsi="Arial" w:cs="Arial"/>
          <w:b w:val="0"/>
          <w:i w:val="0"/>
          <w:szCs w:val="22"/>
        </w:rPr>
        <w:t xml:space="preserve"> qu’elle </w:t>
      </w:r>
      <w:r w:rsidRPr="005D1B5D">
        <w:rPr>
          <w:rFonts w:ascii="Arial" w:hAnsi="Arial" w:cs="Arial"/>
          <w:b w:val="0"/>
          <w:i w:val="0"/>
          <w:szCs w:val="22"/>
        </w:rPr>
        <w:t>demande à la Cour d'admettre qu'aucun préjudice financier ne résulte pour la communauté d'</w:t>
      </w:r>
      <w:r>
        <w:rPr>
          <w:rFonts w:ascii="Arial" w:hAnsi="Arial" w:cs="Arial"/>
          <w:b w:val="0"/>
          <w:i w:val="0"/>
          <w:szCs w:val="22"/>
        </w:rPr>
        <w:t xml:space="preserve">agglomération de ce manquement au motif que </w:t>
      </w:r>
      <w:r w:rsidR="00543D9E">
        <w:rPr>
          <w:rFonts w:ascii="Arial" w:hAnsi="Arial" w:cs="Arial"/>
          <w:b w:val="0"/>
          <w:i w:val="0"/>
          <w:szCs w:val="22"/>
        </w:rPr>
        <w:t>« </w:t>
      </w:r>
      <w:r w:rsidRPr="005D1B5D">
        <w:rPr>
          <w:rStyle w:val="Accentuation"/>
          <w:rFonts w:ascii="Arial" w:hAnsi="Arial" w:cs="Arial"/>
          <w:b w:val="0"/>
          <w:i/>
          <w:szCs w:val="22"/>
        </w:rPr>
        <w:t>c'est l'insolvabilité du débiteur qui est la cause directe du préjudice résultant du non recouvrement de la créance</w:t>
      </w:r>
      <w:r w:rsidR="00543D9E">
        <w:rPr>
          <w:rFonts w:ascii="Arial" w:hAnsi="Arial" w:cs="Arial"/>
          <w:b w:val="0"/>
          <w:i w:val="0"/>
          <w:szCs w:val="22"/>
        </w:rPr>
        <w:t> »</w:t>
      </w:r>
      <w:r>
        <w:rPr>
          <w:rFonts w:ascii="Arial" w:hAnsi="Arial" w:cs="Arial"/>
          <w:b w:val="0"/>
          <w:i w:val="0"/>
          <w:szCs w:val="22"/>
        </w:rPr>
        <w:t> ; qu’enfin elle</w:t>
      </w:r>
      <w:r w:rsidRPr="005D1B5D">
        <w:rPr>
          <w:rFonts w:ascii="Arial" w:hAnsi="Arial" w:cs="Arial"/>
          <w:b w:val="0"/>
          <w:i w:val="0"/>
          <w:szCs w:val="22"/>
        </w:rPr>
        <w:t xml:space="preserve"> demande à la Cour, dans l'hypothèse où un manquement serait reconnu contre elle, de fixer </w:t>
      </w:r>
      <w:r w:rsidRPr="005D1B5D">
        <w:rPr>
          <w:rStyle w:val="Accentuation"/>
          <w:rFonts w:ascii="Arial" w:hAnsi="Arial" w:cs="Arial"/>
          <w:b w:val="0"/>
          <w:i/>
          <w:szCs w:val="22"/>
        </w:rPr>
        <w:t>a minima</w:t>
      </w:r>
      <w:r w:rsidRPr="005D1B5D">
        <w:rPr>
          <w:rFonts w:ascii="Arial" w:hAnsi="Arial" w:cs="Arial"/>
          <w:b w:val="0"/>
          <w:i w:val="0"/>
          <w:szCs w:val="22"/>
        </w:rPr>
        <w:t xml:space="preserve"> la somme laissée à sa charge compte tenu des circonstances de l'affaire</w:t>
      </w:r>
      <w:r w:rsidR="00543D9E">
        <w:rPr>
          <w:rFonts w:ascii="Arial" w:hAnsi="Arial" w:cs="Arial"/>
          <w:b w:val="0"/>
          <w:i w:val="0"/>
          <w:szCs w:val="22"/>
        </w:rPr>
        <w:t> </w:t>
      </w:r>
      <w:r w:rsidRPr="005D1B5D">
        <w:rPr>
          <w:rFonts w:ascii="Arial" w:hAnsi="Arial" w:cs="Arial"/>
          <w:b w:val="0"/>
          <w:i w:val="0"/>
          <w:szCs w:val="22"/>
        </w:rPr>
        <w:t>: émission tardive du titre de recettes</w:t>
      </w:r>
      <w:r w:rsidR="00D33BDC">
        <w:rPr>
          <w:rFonts w:ascii="Arial" w:hAnsi="Arial" w:cs="Arial"/>
          <w:b w:val="0"/>
          <w:i w:val="0"/>
          <w:szCs w:val="22"/>
        </w:rPr>
        <w:t xml:space="preserve">, </w:t>
      </w:r>
      <w:r w:rsidRPr="005D1B5D">
        <w:rPr>
          <w:rFonts w:ascii="Arial" w:hAnsi="Arial" w:cs="Arial"/>
          <w:b w:val="0"/>
          <w:i w:val="0"/>
          <w:szCs w:val="22"/>
        </w:rPr>
        <w:t>prise de fonction le 3 juillet 2010 alors qu'une saisie vente avait été engagée dès le 26 mars 2010</w:t>
      </w:r>
      <w:r w:rsidR="00D33BDC">
        <w:rPr>
          <w:rFonts w:ascii="Arial" w:hAnsi="Arial" w:cs="Arial"/>
          <w:b w:val="0"/>
          <w:i w:val="0"/>
          <w:szCs w:val="22"/>
        </w:rPr>
        <w:t> ;</w:t>
      </w:r>
    </w:p>
    <w:p w:rsidR="00D33BDC" w:rsidRDefault="00D33BDC" w:rsidP="00640087">
      <w:pPr>
        <w:pStyle w:val="Corpsdetexte"/>
        <w:ind w:firstLine="0"/>
        <w:rPr>
          <w:rFonts w:ascii="Arial" w:hAnsi="Arial" w:cs="Arial"/>
          <w:b w:val="0"/>
          <w:i w:val="0"/>
          <w:color w:val="000000"/>
        </w:rPr>
      </w:pPr>
    </w:p>
    <w:p w:rsidR="00543D9E" w:rsidRDefault="00543D9E">
      <w:pPr>
        <w:spacing w:line="240" w:lineRule="auto"/>
        <w:rPr>
          <w:rFonts w:eastAsia="Times New Roman" w:cs="Arial"/>
          <w:b/>
          <w:i/>
          <w:color w:val="000000"/>
          <w:sz w:val="22"/>
          <w:szCs w:val="24"/>
          <w:lang w:eastAsia="fr-FR"/>
        </w:rPr>
      </w:pPr>
      <w:r>
        <w:rPr>
          <w:rFonts w:cs="Arial"/>
          <w:color w:val="000000"/>
        </w:rPr>
        <w:br w:type="page"/>
      </w:r>
    </w:p>
    <w:p w:rsidR="00543D9E" w:rsidRDefault="00543D9E" w:rsidP="00640087">
      <w:pPr>
        <w:pStyle w:val="Corpsdetexte"/>
        <w:ind w:firstLine="0"/>
        <w:rPr>
          <w:rFonts w:ascii="Arial" w:hAnsi="Arial" w:cs="Arial"/>
          <w:color w:val="000000"/>
        </w:rPr>
      </w:pPr>
    </w:p>
    <w:p w:rsidR="00D33BDC" w:rsidRPr="00D33BDC" w:rsidRDefault="00D33BDC" w:rsidP="00640087">
      <w:pPr>
        <w:pStyle w:val="Corpsdetexte"/>
        <w:ind w:firstLine="0"/>
        <w:rPr>
          <w:rFonts w:ascii="Arial" w:hAnsi="Arial" w:cs="Arial"/>
          <w:color w:val="000000"/>
        </w:rPr>
      </w:pPr>
      <w:r w:rsidRPr="00D33BDC">
        <w:rPr>
          <w:rFonts w:ascii="Arial" w:hAnsi="Arial" w:cs="Arial"/>
          <w:color w:val="000000"/>
        </w:rPr>
        <w:t>Sur le manquement</w:t>
      </w:r>
    </w:p>
    <w:p w:rsidR="00640087" w:rsidRDefault="00D33BDC" w:rsidP="00D33BDC">
      <w:pPr>
        <w:pStyle w:val="Corpsdetexte"/>
        <w:ind w:firstLine="0"/>
        <w:rPr>
          <w:rFonts w:ascii="Arial" w:hAnsi="Arial" w:cs="Arial"/>
          <w:b w:val="0"/>
          <w:i w:val="0"/>
          <w:color w:val="000000"/>
        </w:rPr>
      </w:pPr>
      <w:r>
        <w:rPr>
          <w:rFonts w:ascii="Arial" w:hAnsi="Arial" w:cs="Arial"/>
          <w:b w:val="0"/>
          <w:i w:val="0"/>
          <w:color w:val="000000"/>
        </w:rPr>
        <w:t xml:space="preserve">Attendu que </w:t>
      </w:r>
      <w:r w:rsidR="00543D9E" w:rsidRPr="00543D9E">
        <w:rPr>
          <w:rFonts w:ascii="Arial" w:hAnsi="Arial" w:cs="Arial"/>
          <w:b w:val="0"/>
          <w:i w:val="0"/>
          <w:color w:val="000000"/>
        </w:rPr>
        <w:t>M</w:t>
      </w:r>
      <w:r w:rsidR="00543D9E" w:rsidRPr="00543D9E">
        <w:rPr>
          <w:rFonts w:ascii="Arial" w:hAnsi="Arial" w:cs="Arial"/>
          <w:b w:val="0"/>
          <w:i w:val="0"/>
          <w:color w:val="000000"/>
          <w:vertAlign w:val="superscript"/>
        </w:rPr>
        <w:t>me</w:t>
      </w:r>
      <w:r w:rsidR="00543D9E">
        <w:rPr>
          <w:rFonts w:ascii="Arial" w:hAnsi="Arial" w:cs="Arial"/>
          <w:b w:val="0"/>
          <w:i w:val="0"/>
          <w:color w:val="000000"/>
        </w:rPr>
        <w:t> </w:t>
      </w:r>
      <w:r w:rsidR="00C64FFC">
        <w:rPr>
          <w:rFonts w:ascii="Arial" w:hAnsi="Arial" w:cs="Arial"/>
          <w:b w:val="0"/>
          <w:i w:val="0"/>
          <w:color w:val="000000"/>
        </w:rPr>
        <w:t>X</w:t>
      </w:r>
      <w:r w:rsidRPr="00D33BDC">
        <w:rPr>
          <w:rFonts w:ascii="Arial" w:hAnsi="Arial" w:cs="Arial"/>
          <w:b w:val="0"/>
          <w:i w:val="0"/>
          <w:color w:val="000000"/>
        </w:rPr>
        <w:t xml:space="preserve"> ne soulève aucun élément nouveau par rapport aux observations qu'elle avait formulées à la fois au cours du contrôle juridictionnel des comptes et en réponse au réquisitoire intr</w:t>
      </w:r>
      <w:r>
        <w:rPr>
          <w:rFonts w:ascii="Arial" w:hAnsi="Arial" w:cs="Arial"/>
          <w:b w:val="0"/>
          <w:i w:val="0"/>
          <w:color w:val="000000"/>
        </w:rPr>
        <w:t>oductif du procureur financier ; qu’e</w:t>
      </w:r>
      <w:r w:rsidRPr="00D33BDC">
        <w:rPr>
          <w:rFonts w:ascii="Arial" w:hAnsi="Arial" w:cs="Arial"/>
          <w:b w:val="0"/>
          <w:i w:val="0"/>
          <w:color w:val="000000"/>
        </w:rPr>
        <w:t>lle ne répond notamment pas aux attendus du jugement qui ont conduit la CRC à mettre en jeu la responsabilité personnel</w:t>
      </w:r>
      <w:r>
        <w:rPr>
          <w:rFonts w:ascii="Arial" w:hAnsi="Arial" w:cs="Arial"/>
          <w:b w:val="0"/>
          <w:i w:val="0"/>
          <w:color w:val="000000"/>
        </w:rPr>
        <w:t>le et pécuniaire de la requérante ;</w:t>
      </w:r>
    </w:p>
    <w:p w:rsidR="00986425" w:rsidRDefault="00986425" w:rsidP="00986425">
      <w:pPr>
        <w:pStyle w:val="Corpsdetexte"/>
        <w:ind w:firstLine="0"/>
        <w:rPr>
          <w:rFonts w:ascii="Arial" w:hAnsi="Arial" w:cs="Arial"/>
          <w:b w:val="0"/>
          <w:i w:val="0"/>
          <w:color w:val="000000"/>
        </w:rPr>
      </w:pPr>
      <w:r>
        <w:rPr>
          <w:rFonts w:ascii="Arial" w:hAnsi="Arial" w:cs="Arial"/>
          <w:b w:val="0"/>
          <w:i w:val="0"/>
          <w:color w:val="000000"/>
        </w:rPr>
        <w:t xml:space="preserve">Attendu que </w:t>
      </w:r>
      <w:r w:rsidRPr="00986425">
        <w:rPr>
          <w:rFonts w:ascii="Arial" w:hAnsi="Arial" w:cs="Arial"/>
          <w:b w:val="0"/>
          <w:i w:val="0"/>
          <w:color w:val="000000"/>
        </w:rPr>
        <w:t>l'incarcération du débiteur ne suffit pas, à elle seule,</w:t>
      </w:r>
      <w:r>
        <w:rPr>
          <w:rFonts w:ascii="Arial" w:hAnsi="Arial" w:cs="Arial"/>
          <w:b w:val="0"/>
          <w:i w:val="0"/>
          <w:color w:val="000000"/>
        </w:rPr>
        <w:t xml:space="preserve"> à conclure à son insolvabilité ; </w:t>
      </w:r>
      <w:r w:rsidRPr="00986425">
        <w:rPr>
          <w:rFonts w:ascii="Arial" w:hAnsi="Arial" w:cs="Arial"/>
          <w:b w:val="0"/>
          <w:i w:val="0"/>
          <w:color w:val="000000"/>
        </w:rPr>
        <w:t>qu'en sollicitant l'admission en non-valeur de la créance auprès du conseil communautaire six mois après sa prise de fonction sans engager de nouvelles procédures à</w:t>
      </w:r>
      <w:r w:rsidR="00543D9E">
        <w:rPr>
          <w:rFonts w:ascii="Arial" w:hAnsi="Arial" w:cs="Arial"/>
          <w:b w:val="0"/>
          <w:i w:val="0"/>
          <w:color w:val="000000"/>
        </w:rPr>
        <w:t xml:space="preserve"> </w:t>
      </w:r>
      <w:r w:rsidRPr="00986425">
        <w:rPr>
          <w:rFonts w:ascii="Arial" w:hAnsi="Arial" w:cs="Arial"/>
          <w:b w:val="0"/>
          <w:i w:val="0"/>
          <w:color w:val="000000"/>
        </w:rPr>
        <w:t>l'encontre du débiteur, la comptable a manqué à ses oblig</w:t>
      </w:r>
      <w:r>
        <w:rPr>
          <w:rFonts w:ascii="Arial" w:hAnsi="Arial" w:cs="Arial"/>
          <w:b w:val="0"/>
          <w:i w:val="0"/>
          <w:color w:val="000000"/>
        </w:rPr>
        <w:t>ations en matière de diligences ;</w:t>
      </w:r>
      <w:r w:rsidRPr="00986425">
        <w:rPr>
          <w:rFonts w:ascii="Arial" w:hAnsi="Arial" w:cs="Arial"/>
          <w:b w:val="0"/>
          <w:i w:val="0"/>
          <w:color w:val="000000"/>
        </w:rPr>
        <w:t xml:space="preserve"> </w:t>
      </w:r>
      <w:r>
        <w:rPr>
          <w:rFonts w:ascii="Arial" w:hAnsi="Arial" w:cs="Arial"/>
          <w:b w:val="0"/>
          <w:i w:val="0"/>
          <w:color w:val="000000"/>
        </w:rPr>
        <w:t>que l</w:t>
      </w:r>
      <w:r w:rsidRPr="00986425">
        <w:rPr>
          <w:rFonts w:ascii="Arial" w:hAnsi="Arial" w:cs="Arial"/>
          <w:b w:val="0"/>
          <w:i w:val="0"/>
          <w:color w:val="000000"/>
        </w:rPr>
        <w:t>'argument invoqué de l'insuffisance des ressources du détenu au regard des dispositions de l'article D.</w:t>
      </w:r>
      <w:r w:rsidR="0093036A">
        <w:rPr>
          <w:rFonts w:ascii="Arial" w:hAnsi="Arial" w:cs="Arial"/>
          <w:b w:val="0"/>
          <w:i w:val="0"/>
          <w:color w:val="000000"/>
        </w:rPr>
        <w:t> </w:t>
      </w:r>
      <w:r w:rsidRPr="00986425">
        <w:rPr>
          <w:rFonts w:ascii="Arial" w:hAnsi="Arial" w:cs="Arial"/>
          <w:b w:val="0"/>
          <w:i w:val="0"/>
          <w:color w:val="000000"/>
        </w:rPr>
        <w:t>320-1 du CP</w:t>
      </w:r>
      <w:r>
        <w:rPr>
          <w:rFonts w:ascii="Arial" w:hAnsi="Arial" w:cs="Arial"/>
          <w:b w:val="0"/>
          <w:i w:val="0"/>
          <w:color w:val="000000"/>
        </w:rPr>
        <w:t>P est inopérant dès lors que la requérante</w:t>
      </w:r>
      <w:r w:rsidRPr="00986425">
        <w:rPr>
          <w:rFonts w:ascii="Arial" w:hAnsi="Arial" w:cs="Arial"/>
          <w:b w:val="0"/>
          <w:i w:val="0"/>
          <w:color w:val="000000"/>
        </w:rPr>
        <w:t xml:space="preserve"> ne disposait pas de cette information au moment où elle a solli</w:t>
      </w:r>
      <w:r>
        <w:rPr>
          <w:rFonts w:ascii="Arial" w:hAnsi="Arial" w:cs="Arial"/>
          <w:b w:val="0"/>
          <w:i w:val="0"/>
          <w:color w:val="000000"/>
        </w:rPr>
        <w:t>cité l'admission en non-valeur puisque c</w:t>
      </w:r>
      <w:r w:rsidRPr="00986425">
        <w:rPr>
          <w:rFonts w:ascii="Arial" w:hAnsi="Arial" w:cs="Arial"/>
          <w:b w:val="0"/>
          <w:i w:val="0"/>
          <w:color w:val="000000"/>
        </w:rPr>
        <w:t>e n'est que le 16</w:t>
      </w:r>
      <w:r w:rsidR="00543D9E">
        <w:rPr>
          <w:rFonts w:ascii="Arial" w:hAnsi="Arial" w:cs="Arial"/>
          <w:b w:val="0"/>
          <w:i w:val="0"/>
          <w:color w:val="000000"/>
        </w:rPr>
        <w:t xml:space="preserve"> </w:t>
      </w:r>
      <w:r w:rsidRPr="00986425">
        <w:rPr>
          <w:rFonts w:ascii="Arial" w:hAnsi="Arial" w:cs="Arial"/>
          <w:b w:val="0"/>
          <w:i w:val="0"/>
          <w:color w:val="000000"/>
        </w:rPr>
        <w:t>décembre</w:t>
      </w:r>
      <w:r w:rsidR="00543D9E">
        <w:rPr>
          <w:rFonts w:ascii="Arial" w:hAnsi="Arial" w:cs="Arial"/>
          <w:b w:val="0"/>
          <w:i w:val="0"/>
          <w:color w:val="000000"/>
        </w:rPr>
        <w:t xml:space="preserve"> </w:t>
      </w:r>
      <w:r w:rsidRPr="00986425">
        <w:rPr>
          <w:rFonts w:ascii="Arial" w:hAnsi="Arial" w:cs="Arial"/>
          <w:b w:val="0"/>
          <w:i w:val="0"/>
          <w:color w:val="000000"/>
        </w:rPr>
        <w:t>2013 soit exactement trois ans après la décision du conseil communautaire d'admettre la créance en non-valeur et surtout après l'examen des comptes de la communauté d'agglomération par la CRC qu'</w:t>
      </w:r>
      <w:r>
        <w:rPr>
          <w:rFonts w:ascii="Arial" w:hAnsi="Arial" w:cs="Arial"/>
          <w:b w:val="0"/>
          <w:i w:val="0"/>
          <w:color w:val="000000"/>
        </w:rPr>
        <w:t>elle a obtenu cette information ; qu’ainsi a</w:t>
      </w:r>
      <w:r w:rsidRPr="00986425">
        <w:rPr>
          <w:rFonts w:ascii="Arial" w:hAnsi="Arial" w:cs="Arial"/>
          <w:b w:val="0"/>
          <w:i w:val="0"/>
          <w:color w:val="000000"/>
        </w:rPr>
        <w:t xml:space="preserve">u moment de solliciter l'admission en non-valeur, </w:t>
      </w:r>
      <w:r w:rsidR="00543D9E" w:rsidRPr="00543D9E">
        <w:rPr>
          <w:rFonts w:ascii="Arial" w:hAnsi="Arial" w:cs="Arial"/>
          <w:b w:val="0"/>
          <w:i w:val="0"/>
          <w:color w:val="000000"/>
        </w:rPr>
        <w:t>M</w:t>
      </w:r>
      <w:r w:rsidR="00543D9E" w:rsidRPr="00543D9E">
        <w:rPr>
          <w:rFonts w:ascii="Arial" w:hAnsi="Arial" w:cs="Arial"/>
          <w:b w:val="0"/>
          <w:i w:val="0"/>
          <w:color w:val="000000"/>
          <w:vertAlign w:val="superscript"/>
        </w:rPr>
        <w:t>me</w:t>
      </w:r>
      <w:r w:rsidR="00543D9E">
        <w:rPr>
          <w:rFonts w:ascii="Arial" w:hAnsi="Arial" w:cs="Arial"/>
          <w:b w:val="0"/>
          <w:i w:val="0"/>
          <w:color w:val="000000"/>
        </w:rPr>
        <w:t> </w:t>
      </w:r>
      <w:r w:rsidR="00C64FFC">
        <w:rPr>
          <w:rFonts w:ascii="Arial" w:hAnsi="Arial" w:cs="Arial"/>
          <w:b w:val="0"/>
          <w:i w:val="0"/>
          <w:color w:val="000000"/>
        </w:rPr>
        <w:t>X</w:t>
      </w:r>
      <w:r w:rsidRPr="00986425">
        <w:rPr>
          <w:rFonts w:ascii="Arial" w:hAnsi="Arial" w:cs="Arial"/>
          <w:b w:val="0"/>
          <w:i w:val="0"/>
          <w:color w:val="000000"/>
        </w:rPr>
        <w:t xml:space="preserve"> n'avait aucune information </w:t>
      </w:r>
      <w:r>
        <w:rPr>
          <w:rFonts w:ascii="Arial" w:hAnsi="Arial" w:cs="Arial"/>
          <w:b w:val="0"/>
          <w:i w:val="0"/>
          <w:color w:val="000000"/>
        </w:rPr>
        <w:t xml:space="preserve">sur la solvabilité du créancier ; que c’est donc à bon droit que la CRC a mis en jeu la responsabilité personnelle et pécuniaire de </w:t>
      </w:r>
      <w:r w:rsidR="00543D9E" w:rsidRPr="00543D9E">
        <w:rPr>
          <w:rFonts w:ascii="Arial" w:hAnsi="Arial" w:cs="Arial"/>
          <w:b w:val="0"/>
          <w:i w:val="0"/>
          <w:color w:val="000000"/>
        </w:rPr>
        <w:t>M</w:t>
      </w:r>
      <w:r w:rsidR="00543D9E" w:rsidRPr="00543D9E">
        <w:rPr>
          <w:rFonts w:ascii="Arial" w:hAnsi="Arial" w:cs="Arial"/>
          <w:b w:val="0"/>
          <w:i w:val="0"/>
          <w:color w:val="000000"/>
          <w:vertAlign w:val="superscript"/>
        </w:rPr>
        <w:t>me</w:t>
      </w:r>
      <w:r w:rsidR="00543D9E">
        <w:rPr>
          <w:rFonts w:ascii="Arial" w:hAnsi="Arial" w:cs="Arial"/>
          <w:b w:val="0"/>
          <w:i w:val="0"/>
          <w:color w:val="000000"/>
        </w:rPr>
        <w:t> </w:t>
      </w:r>
      <w:r w:rsidR="00C64FFC">
        <w:rPr>
          <w:rFonts w:ascii="Arial" w:hAnsi="Arial" w:cs="Arial"/>
          <w:b w:val="0"/>
          <w:i w:val="0"/>
          <w:color w:val="000000"/>
        </w:rPr>
        <w:t>X</w:t>
      </w:r>
      <w:r>
        <w:rPr>
          <w:rFonts w:ascii="Arial" w:hAnsi="Arial" w:cs="Arial"/>
          <w:b w:val="0"/>
          <w:i w:val="0"/>
          <w:color w:val="000000"/>
        </w:rPr>
        <w:t xml:space="preserve"> pour défaut de diligences dans le recouvrement d’une créance ;</w:t>
      </w:r>
    </w:p>
    <w:p w:rsidR="00986425" w:rsidRDefault="00986425" w:rsidP="00986425">
      <w:pPr>
        <w:pStyle w:val="Corpsdetexte"/>
        <w:ind w:firstLine="0"/>
        <w:rPr>
          <w:rFonts w:ascii="Arial" w:hAnsi="Arial" w:cs="Arial"/>
          <w:b w:val="0"/>
          <w:i w:val="0"/>
          <w:color w:val="000000"/>
        </w:rPr>
      </w:pPr>
    </w:p>
    <w:p w:rsidR="00986425" w:rsidRPr="00986425" w:rsidRDefault="00986425" w:rsidP="00986425">
      <w:pPr>
        <w:pStyle w:val="Corpsdetexte"/>
        <w:ind w:firstLine="0"/>
        <w:rPr>
          <w:rFonts w:ascii="Arial" w:hAnsi="Arial" w:cs="Arial"/>
          <w:color w:val="000000"/>
        </w:rPr>
      </w:pPr>
      <w:r w:rsidRPr="00986425">
        <w:rPr>
          <w:rFonts w:ascii="Arial" w:hAnsi="Arial" w:cs="Arial"/>
          <w:color w:val="000000"/>
        </w:rPr>
        <w:t>Sur l’existence d’un lien de causalité entre le manquement et le préjudice financier subi</w:t>
      </w:r>
    </w:p>
    <w:p w:rsidR="00986425" w:rsidRDefault="00986425" w:rsidP="00986425">
      <w:pPr>
        <w:pStyle w:val="Corpsdetexte"/>
        <w:ind w:firstLine="0"/>
        <w:rPr>
          <w:rFonts w:ascii="Arial" w:hAnsi="Arial" w:cs="Arial"/>
          <w:b w:val="0"/>
          <w:i w:val="0"/>
          <w:color w:val="000000"/>
        </w:rPr>
      </w:pPr>
    </w:p>
    <w:p w:rsidR="00986425" w:rsidRPr="00640087" w:rsidRDefault="00986425" w:rsidP="00986425">
      <w:pPr>
        <w:pStyle w:val="Corpsdetexte"/>
        <w:ind w:firstLine="0"/>
        <w:rPr>
          <w:rFonts w:ascii="Arial" w:hAnsi="Arial" w:cs="Arial"/>
          <w:b w:val="0"/>
          <w:i w:val="0"/>
          <w:color w:val="000000"/>
        </w:rPr>
      </w:pPr>
      <w:r>
        <w:rPr>
          <w:rFonts w:ascii="Arial" w:hAnsi="Arial" w:cs="Arial"/>
          <w:b w:val="0"/>
          <w:i w:val="0"/>
          <w:color w:val="000000"/>
        </w:rPr>
        <w:t>A</w:t>
      </w:r>
      <w:r w:rsidRPr="00640087">
        <w:rPr>
          <w:rFonts w:ascii="Arial" w:hAnsi="Arial" w:cs="Arial"/>
          <w:b w:val="0"/>
          <w:i w:val="0"/>
          <w:color w:val="000000"/>
        </w:rPr>
        <w:t>t</w:t>
      </w:r>
      <w:r>
        <w:rPr>
          <w:rFonts w:ascii="Arial" w:hAnsi="Arial" w:cs="Arial"/>
          <w:b w:val="0"/>
          <w:i w:val="0"/>
          <w:color w:val="000000"/>
        </w:rPr>
        <w:t>tendu</w:t>
      </w:r>
      <w:r w:rsidRPr="00640087">
        <w:rPr>
          <w:rFonts w:ascii="Arial" w:hAnsi="Arial" w:cs="Arial"/>
          <w:b w:val="0"/>
          <w:i w:val="0"/>
          <w:color w:val="000000"/>
        </w:rPr>
        <w:t xml:space="preserve"> que selon l’article 60 de la loi susvisée du </w:t>
      </w:r>
      <w:r w:rsidRPr="00640087">
        <w:rPr>
          <w:rFonts w:ascii="Arial" w:hAnsi="Arial" w:cs="Arial"/>
          <w:b w:val="0"/>
          <w:i w:val="0"/>
        </w:rPr>
        <w:t>23</w:t>
      </w:r>
      <w:r w:rsidR="00543D9E">
        <w:rPr>
          <w:rFonts w:ascii="Arial" w:hAnsi="Arial" w:cs="Arial"/>
          <w:b w:val="0"/>
          <w:i w:val="0"/>
        </w:rPr>
        <w:t xml:space="preserve"> </w:t>
      </w:r>
      <w:r w:rsidRPr="00640087">
        <w:rPr>
          <w:rFonts w:ascii="Arial" w:hAnsi="Arial" w:cs="Arial"/>
          <w:b w:val="0"/>
          <w:i w:val="0"/>
        </w:rPr>
        <w:t>février</w:t>
      </w:r>
      <w:r w:rsidR="00543D9E">
        <w:rPr>
          <w:rFonts w:ascii="Arial" w:hAnsi="Arial" w:cs="Arial"/>
          <w:b w:val="0"/>
          <w:i w:val="0"/>
        </w:rPr>
        <w:t xml:space="preserve"> </w:t>
      </w:r>
      <w:r w:rsidRPr="00640087">
        <w:rPr>
          <w:rFonts w:ascii="Arial" w:hAnsi="Arial" w:cs="Arial"/>
          <w:b w:val="0"/>
          <w:i w:val="0"/>
        </w:rPr>
        <w:t>1963, il y a lieu à débet lorsque le manquement du comptable à</w:t>
      </w:r>
      <w:r w:rsidR="00543D9E">
        <w:rPr>
          <w:rFonts w:ascii="Arial" w:hAnsi="Arial" w:cs="Arial"/>
          <w:b w:val="0"/>
          <w:i w:val="0"/>
        </w:rPr>
        <w:t xml:space="preserve"> </w:t>
      </w:r>
      <w:r w:rsidRPr="00640087">
        <w:rPr>
          <w:rFonts w:ascii="Arial" w:hAnsi="Arial" w:cs="Arial"/>
          <w:b w:val="0"/>
          <w:i w:val="0"/>
        </w:rPr>
        <w:t>ses obligations a causé un préjudice financier à l'organisme public concerné ;</w:t>
      </w:r>
    </w:p>
    <w:p w:rsidR="00986425" w:rsidRDefault="00986425" w:rsidP="00986425">
      <w:pPr>
        <w:pStyle w:val="Corpsdetexte"/>
        <w:ind w:firstLine="0"/>
        <w:rPr>
          <w:rFonts w:ascii="Arial" w:hAnsi="Arial" w:cs="Arial"/>
          <w:b w:val="0"/>
          <w:i w:val="0"/>
          <w:color w:val="000000"/>
        </w:rPr>
      </w:pPr>
      <w:r>
        <w:rPr>
          <w:rFonts w:ascii="Arial" w:hAnsi="Arial" w:cs="Arial"/>
          <w:b w:val="0"/>
          <w:i w:val="0"/>
          <w:color w:val="000000"/>
        </w:rPr>
        <w:t>Attendu</w:t>
      </w:r>
      <w:r w:rsidRPr="00640087">
        <w:rPr>
          <w:rFonts w:ascii="Arial" w:hAnsi="Arial" w:cs="Arial"/>
          <w:b w:val="0"/>
          <w:i w:val="0"/>
          <w:color w:val="000000"/>
        </w:rPr>
        <w:t xml:space="preserve"> que le non-recouvrement de la cr</w:t>
      </w:r>
      <w:r>
        <w:rPr>
          <w:rFonts w:ascii="Arial" w:hAnsi="Arial" w:cs="Arial"/>
          <w:b w:val="0"/>
          <w:i w:val="0"/>
          <w:color w:val="000000"/>
        </w:rPr>
        <w:t>éance, qui a appauvri la communauté d’agglomération</w:t>
      </w:r>
      <w:r w:rsidRPr="00640087">
        <w:rPr>
          <w:rFonts w:ascii="Arial" w:hAnsi="Arial" w:cs="Arial"/>
          <w:b w:val="0"/>
          <w:i w:val="0"/>
          <w:color w:val="000000"/>
        </w:rPr>
        <w:t>, est constitutif d’un préjudice financier ;</w:t>
      </w:r>
    </w:p>
    <w:p w:rsidR="00986425" w:rsidRPr="00986425" w:rsidRDefault="00986425" w:rsidP="00986425">
      <w:pPr>
        <w:pStyle w:val="Corpsdetexte"/>
        <w:ind w:firstLine="0"/>
        <w:rPr>
          <w:rFonts w:ascii="Arial" w:hAnsi="Arial" w:cs="Arial"/>
          <w:b w:val="0"/>
          <w:i w:val="0"/>
          <w:color w:val="000000"/>
        </w:rPr>
      </w:pPr>
      <w:r>
        <w:rPr>
          <w:rFonts w:ascii="Arial" w:hAnsi="Arial" w:cs="Arial"/>
          <w:b w:val="0"/>
          <w:i w:val="0"/>
          <w:color w:val="000000"/>
        </w:rPr>
        <w:t>Attendu que</w:t>
      </w:r>
      <w:r w:rsidR="00611EBE">
        <w:rPr>
          <w:rFonts w:ascii="Arial" w:hAnsi="Arial" w:cs="Arial"/>
          <w:b w:val="0"/>
          <w:i w:val="0"/>
          <w:color w:val="000000"/>
        </w:rPr>
        <w:t xml:space="preserve">, comme la </w:t>
      </w:r>
      <w:r w:rsidR="0093036A">
        <w:rPr>
          <w:rFonts w:ascii="Arial" w:hAnsi="Arial" w:cs="Arial"/>
          <w:b w:val="0"/>
          <w:i w:val="0"/>
          <w:color w:val="000000"/>
        </w:rPr>
        <w:t>chambre régionale</w:t>
      </w:r>
      <w:r w:rsidR="00611EBE">
        <w:rPr>
          <w:rFonts w:ascii="Arial" w:hAnsi="Arial" w:cs="Arial"/>
          <w:b w:val="0"/>
          <w:i w:val="0"/>
          <w:color w:val="000000"/>
        </w:rPr>
        <w:t xml:space="preserve"> l’a mentionné,</w:t>
      </w:r>
      <w:r>
        <w:rPr>
          <w:rFonts w:ascii="Arial" w:hAnsi="Arial" w:cs="Arial"/>
          <w:b w:val="0"/>
          <w:i w:val="0"/>
          <w:color w:val="000000"/>
        </w:rPr>
        <w:t xml:space="preserve"> </w:t>
      </w:r>
      <w:r w:rsidRPr="00986425">
        <w:rPr>
          <w:rFonts w:ascii="Arial" w:hAnsi="Arial" w:cs="Arial"/>
          <w:b w:val="0"/>
          <w:i w:val="0"/>
          <w:color w:val="000000"/>
        </w:rPr>
        <w:t xml:space="preserve">la connaissance, par la comptable, du caractère insaisissable du pécule du débiteur incarcéré, du fait de sa modicité, intervenue incidemment pendant et à la faveur de l'instruction par la </w:t>
      </w:r>
      <w:r w:rsidR="00A64272">
        <w:rPr>
          <w:rFonts w:ascii="Arial" w:hAnsi="Arial" w:cs="Arial"/>
          <w:b w:val="0"/>
          <w:i w:val="0"/>
          <w:color w:val="000000"/>
        </w:rPr>
        <w:t>chambre régionale des comptes</w:t>
      </w:r>
      <w:r w:rsidRPr="00986425">
        <w:rPr>
          <w:rFonts w:ascii="Arial" w:hAnsi="Arial" w:cs="Arial"/>
          <w:b w:val="0"/>
          <w:i w:val="0"/>
          <w:color w:val="000000"/>
        </w:rPr>
        <w:t>, alors même que le titre était prescrit au 1</w:t>
      </w:r>
      <w:r w:rsidRPr="00595733">
        <w:rPr>
          <w:rFonts w:ascii="Arial" w:hAnsi="Arial" w:cs="Arial"/>
          <w:b w:val="0"/>
          <w:i w:val="0"/>
          <w:color w:val="000000"/>
          <w:vertAlign w:val="superscript"/>
        </w:rPr>
        <w:t>er</w:t>
      </w:r>
      <w:r w:rsidR="00543D9E">
        <w:rPr>
          <w:rFonts w:ascii="Arial" w:hAnsi="Arial" w:cs="Arial"/>
          <w:b w:val="0"/>
          <w:i w:val="0"/>
          <w:color w:val="000000"/>
        </w:rPr>
        <w:t xml:space="preserve"> </w:t>
      </w:r>
      <w:r w:rsidRPr="00986425">
        <w:rPr>
          <w:rFonts w:ascii="Arial" w:hAnsi="Arial" w:cs="Arial"/>
          <w:b w:val="0"/>
          <w:i w:val="0"/>
          <w:color w:val="000000"/>
        </w:rPr>
        <w:t>décembre</w:t>
      </w:r>
      <w:r w:rsidR="00543D9E">
        <w:rPr>
          <w:rFonts w:ascii="Arial" w:hAnsi="Arial" w:cs="Arial"/>
          <w:b w:val="0"/>
          <w:i w:val="0"/>
          <w:color w:val="000000"/>
        </w:rPr>
        <w:t xml:space="preserve"> </w:t>
      </w:r>
      <w:r w:rsidRPr="00986425">
        <w:rPr>
          <w:rFonts w:ascii="Arial" w:hAnsi="Arial" w:cs="Arial"/>
          <w:b w:val="0"/>
          <w:i w:val="0"/>
          <w:color w:val="000000"/>
        </w:rPr>
        <w:t xml:space="preserve">2012, ne peut utilement être </w:t>
      </w:r>
      <w:r w:rsidR="00611EBE" w:rsidRPr="00986425">
        <w:rPr>
          <w:rFonts w:ascii="Arial" w:hAnsi="Arial" w:cs="Arial"/>
          <w:b w:val="0"/>
          <w:i w:val="0"/>
          <w:color w:val="000000"/>
        </w:rPr>
        <w:t>invoquée</w:t>
      </w:r>
      <w:r w:rsidRPr="00986425">
        <w:rPr>
          <w:rFonts w:ascii="Arial" w:hAnsi="Arial" w:cs="Arial"/>
          <w:b w:val="0"/>
          <w:i w:val="0"/>
          <w:color w:val="000000"/>
        </w:rPr>
        <w:t xml:space="preserve"> pour démontrer l</w:t>
      </w:r>
      <w:r w:rsidR="00611EBE">
        <w:rPr>
          <w:rFonts w:ascii="Arial" w:hAnsi="Arial" w:cs="Arial"/>
          <w:b w:val="0"/>
          <w:i w:val="0"/>
          <w:color w:val="000000"/>
        </w:rPr>
        <w:t>'absence de préjudice financier ;</w:t>
      </w:r>
    </w:p>
    <w:p w:rsidR="00986425" w:rsidRDefault="00611EBE" w:rsidP="00986425">
      <w:pPr>
        <w:pStyle w:val="Corpsdetexte"/>
        <w:ind w:firstLine="0"/>
        <w:rPr>
          <w:rFonts w:ascii="Arial" w:hAnsi="Arial" w:cs="Arial"/>
          <w:b w:val="0"/>
          <w:i w:val="0"/>
          <w:color w:val="000000"/>
        </w:rPr>
      </w:pPr>
      <w:r>
        <w:rPr>
          <w:rFonts w:ascii="Arial" w:hAnsi="Arial" w:cs="Arial"/>
          <w:b w:val="0"/>
          <w:i w:val="0"/>
          <w:color w:val="000000"/>
        </w:rPr>
        <w:t>Attendu que</w:t>
      </w:r>
      <w:r w:rsidR="00986425" w:rsidRPr="00986425">
        <w:rPr>
          <w:rFonts w:ascii="Arial" w:hAnsi="Arial" w:cs="Arial"/>
          <w:b w:val="0"/>
          <w:i w:val="0"/>
          <w:color w:val="000000"/>
        </w:rPr>
        <w:t>, si e</w:t>
      </w:r>
      <w:r>
        <w:rPr>
          <w:rFonts w:ascii="Arial" w:hAnsi="Arial" w:cs="Arial"/>
          <w:b w:val="0"/>
          <w:i w:val="0"/>
          <w:color w:val="000000"/>
        </w:rPr>
        <w:t>n décembre</w:t>
      </w:r>
      <w:r w:rsidR="00595733">
        <w:rPr>
          <w:rFonts w:ascii="Arial" w:hAnsi="Arial" w:cs="Arial"/>
          <w:b w:val="0"/>
          <w:i w:val="0"/>
          <w:color w:val="000000"/>
        </w:rPr>
        <w:t> </w:t>
      </w:r>
      <w:r>
        <w:rPr>
          <w:rFonts w:ascii="Arial" w:hAnsi="Arial" w:cs="Arial"/>
          <w:b w:val="0"/>
          <w:i w:val="0"/>
          <w:color w:val="000000"/>
        </w:rPr>
        <w:t>2013, le pécule du</w:t>
      </w:r>
      <w:r w:rsidR="00986425" w:rsidRPr="00986425">
        <w:rPr>
          <w:rFonts w:ascii="Arial" w:hAnsi="Arial" w:cs="Arial"/>
          <w:b w:val="0"/>
          <w:i w:val="0"/>
          <w:color w:val="000000"/>
        </w:rPr>
        <w:t xml:space="preserve"> débiteur était d'en moyenne 100</w:t>
      </w:r>
      <w:r w:rsidR="0093036A">
        <w:rPr>
          <w:rFonts w:ascii="Arial" w:hAnsi="Arial" w:cs="Arial"/>
          <w:b w:val="0"/>
          <w:i w:val="0"/>
          <w:color w:val="000000"/>
        </w:rPr>
        <w:t> </w:t>
      </w:r>
      <w:r w:rsidR="00986425" w:rsidRPr="00986425">
        <w:rPr>
          <w:rFonts w:ascii="Arial" w:hAnsi="Arial" w:cs="Arial"/>
          <w:b w:val="0"/>
          <w:i w:val="0"/>
          <w:color w:val="000000"/>
        </w:rPr>
        <w:t xml:space="preserve">€ par mois, rien n'indique que </w:t>
      </w:r>
      <w:r>
        <w:rPr>
          <w:rFonts w:ascii="Arial" w:hAnsi="Arial" w:cs="Arial"/>
          <w:b w:val="0"/>
          <w:i w:val="0"/>
          <w:color w:val="000000"/>
        </w:rPr>
        <w:t>ce</w:t>
      </w:r>
      <w:r w:rsidR="00986425" w:rsidRPr="00986425">
        <w:rPr>
          <w:rFonts w:ascii="Arial" w:hAnsi="Arial" w:cs="Arial"/>
          <w:b w:val="0"/>
          <w:i w:val="0"/>
          <w:color w:val="000000"/>
        </w:rPr>
        <w:t xml:space="preserve"> montant n'était pa</w:t>
      </w:r>
      <w:r>
        <w:rPr>
          <w:rFonts w:ascii="Arial" w:hAnsi="Arial" w:cs="Arial"/>
          <w:b w:val="0"/>
          <w:i w:val="0"/>
          <w:color w:val="000000"/>
        </w:rPr>
        <w:t>s supérieur au début de son incarcération intervenue en janvier</w:t>
      </w:r>
      <w:r w:rsidR="00543D9E">
        <w:rPr>
          <w:rFonts w:ascii="Arial" w:hAnsi="Arial" w:cs="Arial"/>
          <w:b w:val="0"/>
          <w:i w:val="0"/>
          <w:color w:val="000000"/>
        </w:rPr>
        <w:t xml:space="preserve"> </w:t>
      </w:r>
      <w:r>
        <w:rPr>
          <w:rFonts w:ascii="Arial" w:hAnsi="Arial" w:cs="Arial"/>
          <w:b w:val="0"/>
          <w:i w:val="0"/>
          <w:color w:val="000000"/>
        </w:rPr>
        <w:t>2010 ; que, d</w:t>
      </w:r>
      <w:r w:rsidR="00986425" w:rsidRPr="00986425">
        <w:rPr>
          <w:rFonts w:ascii="Arial" w:hAnsi="Arial" w:cs="Arial"/>
          <w:b w:val="0"/>
          <w:i w:val="0"/>
          <w:color w:val="000000"/>
        </w:rPr>
        <w:t>ès lors</w:t>
      </w:r>
      <w:r>
        <w:rPr>
          <w:rFonts w:ascii="Arial" w:hAnsi="Arial" w:cs="Arial"/>
          <w:b w:val="0"/>
          <w:i w:val="0"/>
          <w:color w:val="000000"/>
        </w:rPr>
        <w:t xml:space="preserve">, </w:t>
      </w:r>
      <w:r w:rsidR="00986425" w:rsidRPr="00986425">
        <w:rPr>
          <w:rFonts w:ascii="Arial" w:hAnsi="Arial" w:cs="Arial"/>
          <w:b w:val="0"/>
          <w:i w:val="0"/>
          <w:color w:val="000000"/>
        </w:rPr>
        <w:t xml:space="preserve">il n'est pas prouvé que le débiteur </w:t>
      </w:r>
      <w:r>
        <w:rPr>
          <w:rFonts w:ascii="Arial" w:hAnsi="Arial" w:cs="Arial"/>
          <w:b w:val="0"/>
          <w:i w:val="0"/>
          <w:color w:val="000000"/>
        </w:rPr>
        <w:t>était</w:t>
      </w:r>
      <w:r w:rsidR="00986425" w:rsidRPr="00986425">
        <w:rPr>
          <w:rFonts w:ascii="Arial" w:hAnsi="Arial" w:cs="Arial"/>
          <w:b w:val="0"/>
          <w:i w:val="0"/>
          <w:color w:val="000000"/>
        </w:rPr>
        <w:t xml:space="preserve"> insolvable dès la prise en charge du titre de recettes ou au moment de </w:t>
      </w:r>
      <w:r w:rsidR="00F456D8">
        <w:rPr>
          <w:rFonts w:ascii="Arial" w:hAnsi="Arial" w:cs="Arial"/>
          <w:b w:val="0"/>
          <w:i w:val="0"/>
          <w:color w:val="000000"/>
        </w:rPr>
        <w:t xml:space="preserve">la prise de fonction de </w:t>
      </w:r>
      <w:r w:rsidR="00543D9E" w:rsidRPr="00543D9E">
        <w:rPr>
          <w:rFonts w:ascii="Arial" w:hAnsi="Arial" w:cs="Arial"/>
          <w:b w:val="0"/>
          <w:i w:val="0"/>
          <w:color w:val="000000"/>
        </w:rPr>
        <w:t>M</w:t>
      </w:r>
      <w:r w:rsidR="00543D9E" w:rsidRPr="00543D9E">
        <w:rPr>
          <w:rFonts w:ascii="Arial" w:hAnsi="Arial" w:cs="Arial"/>
          <w:b w:val="0"/>
          <w:i w:val="0"/>
          <w:color w:val="000000"/>
          <w:vertAlign w:val="superscript"/>
        </w:rPr>
        <w:t>me</w:t>
      </w:r>
      <w:r w:rsidR="00543D9E">
        <w:rPr>
          <w:rFonts w:ascii="Arial" w:hAnsi="Arial" w:cs="Arial"/>
          <w:b w:val="0"/>
          <w:i w:val="0"/>
          <w:color w:val="000000"/>
        </w:rPr>
        <w:t> </w:t>
      </w:r>
      <w:r w:rsidR="00C64FFC">
        <w:rPr>
          <w:rFonts w:ascii="Arial" w:hAnsi="Arial" w:cs="Arial"/>
          <w:b w:val="0"/>
          <w:i w:val="0"/>
          <w:color w:val="000000"/>
        </w:rPr>
        <w:t>X</w:t>
      </w:r>
      <w:r>
        <w:rPr>
          <w:rFonts w:ascii="Arial" w:hAnsi="Arial" w:cs="Arial"/>
          <w:b w:val="0"/>
          <w:i w:val="0"/>
          <w:color w:val="000000"/>
        </w:rPr>
        <w:t xml:space="preserve">; qu’en conséquence, </w:t>
      </w:r>
      <w:r w:rsidR="00986425" w:rsidRPr="00986425">
        <w:rPr>
          <w:rFonts w:ascii="Arial" w:hAnsi="Arial" w:cs="Arial"/>
          <w:b w:val="0"/>
          <w:i w:val="0"/>
          <w:color w:val="000000"/>
        </w:rPr>
        <w:t xml:space="preserve">l'inaction de cette dernière </w:t>
      </w:r>
      <w:r>
        <w:rPr>
          <w:rFonts w:ascii="Arial" w:hAnsi="Arial" w:cs="Arial"/>
          <w:b w:val="0"/>
          <w:i w:val="0"/>
          <w:color w:val="000000"/>
        </w:rPr>
        <w:t>au second semestre</w:t>
      </w:r>
      <w:r w:rsidR="00543D9E">
        <w:rPr>
          <w:rFonts w:ascii="Arial" w:hAnsi="Arial" w:cs="Arial"/>
          <w:b w:val="0"/>
          <w:i w:val="0"/>
          <w:color w:val="000000"/>
        </w:rPr>
        <w:t xml:space="preserve"> </w:t>
      </w:r>
      <w:r>
        <w:rPr>
          <w:rFonts w:ascii="Arial" w:hAnsi="Arial" w:cs="Arial"/>
          <w:b w:val="0"/>
          <w:i w:val="0"/>
          <w:color w:val="000000"/>
        </w:rPr>
        <w:t xml:space="preserve">2010 sauf à solliciter l’admission en non-valeur de ladite créance sans s’être assurée de la solvabilité du débiteur </w:t>
      </w:r>
      <w:r w:rsidR="00986425" w:rsidRPr="00986425">
        <w:rPr>
          <w:rFonts w:ascii="Arial" w:hAnsi="Arial" w:cs="Arial"/>
          <w:b w:val="0"/>
          <w:i w:val="0"/>
          <w:color w:val="000000"/>
        </w:rPr>
        <w:t xml:space="preserve">peut être considérée comme </w:t>
      </w:r>
      <w:r>
        <w:rPr>
          <w:rFonts w:ascii="Arial" w:hAnsi="Arial" w:cs="Arial"/>
          <w:b w:val="0"/>
          <w:i w:val="0"/>
          <w:color w:val="000000"/>
        </w:rPr>
        <w:t>ayant participé à l’existence</w:t>
      </w:r>
      <w:r w:rsidR="00986425" w:rsidRPr="00986425">
        <w:rPr>
          <w:rFonts w:ascii="Arial" w:hAnsi="Arial" w:cs="Arial"/>
          <w:b w:val="0"/>
          <w:i w:val="0"/>
          <w:color w:val="000000"/>
        </w:rPr>
        <w:t xml:space="preserve"> du préjudice fina</w:t>
      </w:r>
      <w:r>
        <w:rPr>
          <w:rFonts w:ascii="Arial" w:hAnsi="Arial" w:cs="Arial"/>
          <w:b w:val="0"/>
          <w:i w:val="0"/>
          <w:color w:val="000000"/>
        </w:rPr>
        <w:t>ncier subi par la collectivité ; que c’est donc à juste titre que la chambre régionale des comptes a constitué la requérante débitrice de la somme de 2 025,58</w:t>
      </w:r>
      <w:r w:rsidR="00FD7C42">
        <w:rPr>
          <w:rFonts w:ascii="Arial" w:hAnsi="Arial" w:cs="Arial"/>
          <w:b w:val="0"/>
          <w:i w:val="0"/>
          <w:color w:val="000000"/>
        </w:rPr>
        <w:t> </w:t>
      </w:r>
      <w:r>
        <w:rPr>
          <w:rFonts w:ascii="Arial" w:hAnsi="Arial" w:cs="Arial"/>
          <w:b w:val="0"/>
          <w:i w:val="0"/>
          <w:color w:val="000000"/>
        </w:rPr>
        <w:t>€ ;</w:t>
      </w:r>
    </w:p>
    <w:p w:rsidR="00006902" w:rsidRPr="00640087" w:rsidRDefault="00006902" w:rsidP="00640087">
      <w:pPr>
        <w:spacing w:after="280"/>
        <w:jc w:val="both"/>
        <w:rPr>
          <w:rFonts w:cs="Arial"/>
          <w:sz w:val="22"/>
        </w:rPr>
      </w:pPr>
    </w:p>
    <w:p w:rsidR="007F76E8" w:rsidRPr="00BE6831" w:rsidRDefault="007F76E8" w:rsidP="00251668">
      <w:pPr>
        <w:spacing w:after="280"/>
        <w:jc w:val="both"/>
        <w:rPr>
          <w:rFonts w:cs="Arial"/>
          <w:sz w:val="22"/>
        </w:rPr>
      </w:pPr>
      <w:r w:rsidRPr="00BE6831">
        <w:rPr>
          <w:rFonts w:cs="Arial"/>
          <w:sz w:val="22"/>
        </w:rPr>
        <w:t>Par ces motifs,</w:t>
      </w:r>
    </w:p>
    <w:p w:rsidR="007F76E8" w:rsidRPr="00BE6831" w:rsidRDefault="007F76E8" w:rsidP="00251668">
      <w:pPr>
        <w:spacing w:after="280"/>
        <w:jc w:val="center"/>
        <w:rPr>
          <w:rFonts w:cs="Arial"/>
          <w:sz w:val="22"/>
        </w:rPr>
      </w:pPr>
      <w:r w:rsidRPr="00BE6831">
        <w:rPr>
          <w:rFonts w:cs="Arial"/>
          <w:sz w:val="22"/>
        </w:rPr>
        <w:t>D</w:t>
      </w:r>
      <w:r w:rsidR="00C232B4">
        <w:rPr>
          <w:rFonts w:cs="Arial"/>
          <w:sz w:val="22"/>
        </w:rPr>
        <w:t>É</w:t>
      </w:r>
      <w:r w:rsidRPr="00BE6831">
        <w:rPr>
          <w:rFonts w:cs="Arial"/>
          <w:sz w:val="22"/>
        </w:rPr>
        <w:t>CIDE :</w:t>
      </w:r>
    </w:p>
    <w:p w:rsidR="00640087" w:rsidRPr="00640087" w:rsidRDefault="00501A25" w:rsidP="00611EBE">
      <w:pPr>
        <w:spacing w:after="280"/>
        <w:jc w:val="both"/>
        <w:rPr>
          <w:rFonts w:cs="Arial"/>
          <w:sz w:val="22"/>
        </w:rPr>
      </w:pPr>
      <w:r w:rsidRPr="00543D9E">
        <w:rPr>
          <w:rFonts w:cs="Arial"/>
          <w:b/>
          <w:sz w:val="22"/>
        </w:rPr>
        <w:t>Article</w:t>
      </w:r>
      <w:r w:rsidR="0009577F" w:rsidRPr="00543D9E">
        <w:rPr>
          <w:rFonts w:cs="Arial"/>
          <w:b/>
          <w:sz w:val="22"/>
        </w:rPr>
        <w:t xml:space="preserve"> unique</w:t>
      </w:r>
      <w:r w:rsidR="0009577F">
        <w:rPr>
          <w:rFonts w:cs="Arial"/>
          <w:sz w:val="22"/>
        </w:rPr>
        <w:t xml:space="preserve"> </w:t>
      </w:r>
      <w:r w:rsidR="00611EBE">
        <w:rPr>
          <w:rFonts w:cs="Arial"/>
          <w:sz w:val="22"/>
        </w:rPr>
        <w:t>–</w:t>
      </w:r>
      <w:r w:rsidR="007F76E8" w:rsidRPr="00BE6831">
        <w:rPr>
          <w:rFonts w:cs="Arial"/>
          <w:sz w:val="22"/>
        </w:rPr>
        <w:t xml:space="preserve"> </w:t>
      </w:r>
      <w:r w:rsidR="00A91378">
        <w:rPr>
          <w:rFonts w:cs="Arial"/>
          <w:sz w:val="22"/>
        </w:rPr>
        <w:t xml:space="preserve">La requête de </w:t>
      </w:r>
      <w:r w:rsidR="00543D9E" w:rsidRPr="00543D9E">
        <w:rPr>
          <w:rFonts w:cs="Arial"/>
          <w:sz w:val="22"/>
        </w:rPr>
        <w:t>M</w:t>
      </w:r>
      <w:r w:rsidR="00543D9E" w:rsidRPr="00543D9E">
        <w:rPr>
          <w:rFonts w:cs="Arial"/>
          <w:sz w:val="22"/>
          <w:vertAlign w:val="superscript"/>
        </w:rPr>
        <w:t>me</w:t>
      </w:r>
      <w:r w:rsidR="00543D9E">
        <w:rPr>
          <w:rFonts w:cs="Arial"/>
          <w:sz w:val="22"/>
        </w:rPr>
        <w:t> </w:t>
      </w:r>
      <w:r w:rsidR="00C64FFC">
        <w:rPr>
          <w:rFonts w:cs="Arial"/>
          <w:sz w:val="22"/>
        </w:rPr>
        <w:t>X</w:t>
      </w:r>
      <w:r w:rsidR="00611EBE">
        <w:rPr>
          <w:rFonts w:cs="Arial"/>
          <w:sz w:val="22"/>
        </w:rPr>
        <w:t xml:space="preserve"> est rejetée.</w:t>
      </w:r>
    </w:p>
    <w:p w:rsidR="004779C2" w:rsidRPr="00A66B14" w:rsidRDefault="004779C2" w:rsidP="004779C2">
      <w:pPr>
        <w:tabs>
          <w:tab w:val="center" w:pos="5245"/>
        </w:tabs>
        <w:spacing w:before="120" w:after="360"/>
        <w:jc w:val="center"/>
        <w:rPr>
          <w:rFonts w:cs="Arial"/>
          <w:sz w:val="22"/>
        </w:rPr>
      </w:pPr>
      <w:r w:rsidRPr="00A66B14">
        <w:rPr>
          <w:rFonts w:cs="Arial"/>
          <w:sz w:val="22"/>
        </w:rPr>
        <w:lastRenderedPageBreak/>
        <w:t>------------</w:t>
      </w:r>
    </w:p>
    <w:p w:rsidR="002478DF" w:rsidRPr="002478DF" w:rsidRDefault="001656BC" w:rsidP="00640087">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Fait et jugé en la Cour des comptes, quatrième chambre</w:t>
      </w:r>
      <w:r w:rsidR="00CE4635">
        <w:rPr>
          <w:rFonts w:eastAsia="Times New Roman" w:cs="Arial"/>
          <w:sz w:val="22"/>
          <w:lang w:eastAsia="fr-FR"/>
        </w:rPr>
        <w:t>, première section</w:t>
      </w:r>
      <w:r>
        <w:rPr>
          <w:rFonts w:eastAsia="Times New Roman" w:cs="Arial"/>
          <w:sz w:val="22"/>
          <w:lang w:eastAsia="fr-FR"/>
        </w:rPr>
        <w:t>. Présents </w:t>
      </w:r>
      <w:r w:rsidR="00CE4635">
        <w:rPr>
          <w:rFonts w:eastAsia="Times New Roman" w:cs="Arial"/>
          <w:sz w:val="22"/>
          <w:lang w:eastAsia="fr-FR"/>
        </w:rPr>
        <w:t>: M.</w:t>
      </w:r>
      <w:r w:rsidR="0093036A">
        <w:rPr>
          <w:rFonts w:eastAsia="Times New Roman" w:cs="Arial"/>
          <w:sz w:val="22"/>
          <w:lang w:eastAsia="fr-FR"/>
        </w:rPr>
        <w:t> </w:t>
      </w:r>
      <w:r w:rsidR="00CE4635">
        <w:rPr>
          <w:rFonts w:eastAsia="Times New Roman" w:cs="Arial"/>
          <w:sz w:val="22"/>
          <w:lang w:eastAsia="fr-FR"/>
        </w:rPr>
        <w:t xml:space="preserve">Jean-Philippe </w:t>
      </w:r>
      <w:r w:rsidR="00CE4635" w:rsidRPr="0046399E">
        <w:rPr>
          <w:rFonts w:eastAsia="Times New Roman" w:cs="Arial"/>
          <w:caps/>
          <w:sz w:val="22"/>
          <w:lang w:eastAsia="fr-FR"/>
        </w:rPr>
        <w:t>Vachia</w:t>
      </w:r>
      <w:r w:rsidR="00CE4635">
        <w:rPr>
          <w:rFonts w:eastAsia="Times New Roman" w:cs="Arial"/>
          <w:sz w:val="22"/>
          <w:lang w:eastAsia="fr-FR"/>
        </w:rPr>
        <w:t xml:space="preserve">, </w:t>
      </w:r>
      <w:r w:rsidR="007545FA">
        <w:rPr>
          <w:rFonts w:eastAsia="Times New Roman" w:cs="Arial"/>
          <w:sz w:val="22"/>
          <w:lang w:eastAsia="fr-FR"/>
        </w:rPr>
        <w:t>p</w:t>
      </w:r>
      <w:r w:rsidR="00CE4635">
        <w:rPr>
          <w:rFonts w:eastAsia="Times New Roman" w:cs="Arial"/>
          <w:sz w:val="22"/>
          <w:lang w:eastAsia="fr-FR"/>
        </w:rPr>
        <w:t xml:space="preserve">résident, </w:t>
      </w:r>
      <w:r w:rsidR="00543D9E" w:rsidRPr="00543D9E">
        <w:rPr>
          <w:rFonts w:eastAsia="Times New Roman" w:cs="Arial"/>
          <w:sz w:val="22"/>
          <w:lang w:eastAsia="fr-FR"/>
        </w:rPr>
        <w:t>M</w:t>
      </w:r>
      <w:r w:rsidR="00543D9E" w:rsidRPr="00543D9E">
        <w:rPr>
          <w:rFonts w:eastAsia="Times New Roman" w:cs="Arial"/>
          <w:sz w:val="22"/>
          <w:vertAlign w:val="superscript"/>
          <w:lang w:eastAsia="fr-FR"/>
        </w:rPr>
        <w:t>me</w:t>
      </w:r>
      <w:r w:rsidR="00543D9E">
        <w:rPr>
          <w:rFonts w:eastAsia="Times New Roman" w:cs="Arial"/>
          <w:sz w:val="22"/>
          <w:lang w:eastAsia="fr-FR"/>
        </w:rPr>
        <w:t> </w:t>
      </w:r>
      <w:r w:rsidR="00CE4635">
        <w:rPr>
          <w:rFonts w:eastAsia="Times New Roman" w:cs="Arial"/>
          <w:sz w:val="22"/>
          <w:lang w:eastAsia="fr-FR"/>
        </w:rPr>
        <w:t xml:space="preserve">Anne </w:t>
      </w:r>
      <w:r w:rsidR="00CE4635" w:rsidRPr="0046399E">
        <w:rPr>
          <w:rFonts w:eastAsia="Times New Roman" w:cs="Arial"/>
          <w:caps/>
          <w:sz w:val="22"/>
          <w:lang w:eastAsia="fr-FR"/>
        </w:rPr>
        <w:t>Froment-Meurice</w:t>
      </w:r>
      <w:r w:rsidR="00CE4635">
        <w:rPr>
          <w:rFonts w:eastAsia="Times New Roman" w:cs="Arial"/>
          <w:sz w:val="22"/>
          <w:lang w:eastAsia="fr-FR"/>
        </w:rPr>
        <w:t xml:space="preserve">, </w:t>
      </w:r>
      <w:r w:rsidR="007545FA">
        <w:rPr>
          <w:rFonts w:eastAsia="Times New Roman" w:cs="Arial"/>
          <w:sz w:val="22"/>
          <w:lang w:eastAsia="fr-FR"/>
        </w:rPr>
        <w:t>p</w:t>
      </w:r>
      <w:r w:rsidR="00CE4635">
        <w:rPr>
          <w:rFonts w:eastAsia="Times New Roman" w:cs="Arial"/>
          <w:sz w:val="22"/>
          <w:lang w:eastAsia="fr-FR"/>
        </w:rPr>
        <w:t>résidente de chambre maintenue en activité, MM.</w:t>
      </w:r>
      <w:r w:rsidR="009844D0">
        <w:rPr>
          <w:rFonts w:eastAsia="Times New Roman" w:cs="Arial"/>
          <w:sz w:val="22"/>
          <w:lang w:eastAsia="fr-FR"/>
        </w:rPr>
        <w:t> </w:t>
      </w:r>
      <w:r w:rsidR="00CE4635">
        <w:rPr>
          <w:rFonts w:eastAsia="Times New Roman" w:cs="Arial"/>
          <w:sz w:val="22"/>
          <w:lang w:eastAsia="fr-FR"/>
        </w:rPr>
        <w:t xml:space="preserve">Gérard </w:t>
      </w:r>
      <w:r w:rsidR="00CE4635" w:rsidRPr="0046399E">
        <w:rPr>
          <w:rFonts w:eastAsia="Times New Roman" w:cs="Arial"/>
          <w:caps/>
          <w:sz w:val="22"/>
          <w:lang w:eastAsia="fr-FR"/>
        </w:rPr>
        <w:t>Ganser</w:t>
      </w:r>
      <w:r w:rsidR="00CE4635">
        <w:rPr>
          <w:rFonts w:eastAsia="Times New Roman" w:cs="Arial"/>
          <w:sz w:val="22"/>
          <w:lang w:eastAsia="fr-FR"/>
        </w:rPr>
        <w:t xml:space="preserve">, Jean-Pierre </w:t>
      </w:r>
      <w:r w:rsidR="00CE4635" w:rsidRPr="0046399E">
        <w:rPr>
          <w:rFonts w:eastAsia="Times New Roman" w:cs="Arial"/>
          <w:caps/>
          <w:sz w:val="22"/>
          <w:lang w:eastAsia="fr-FR"/>
        </w:rPr>
        <w:t>Lafaure</w:t>
      </w:r>
      <w:r w:rsidR="00CE4635">
        <w:rPr>
          <w:rFonts w:eastAsia="Times New Roman" w:cs="Arial"/>
          <w:sz w:val="22"/>
          <w:lang w:eastAsia="fr-FR"/>
        </w:rPr>
        <w:t xml:space="preserve">, Jean-Yves </w:t>
      </w:r>
      <w:r w:rsidR="00CE4635" w:rsidRPr="0046399E">
        <w:rPr>
          <w:rFonts w:eastAsia="Times New Roman" w:cs="Arial"/>
          <w:caps/>
          <w:sz w:val="22"/>
          <w:lang w:eastAsia="fr-FR"/>
        </w:rPr>
        <w:t>Bertucci</w:t>
      </w:r>
      <w:r w:rsidR="00CE4635">
        <w:rPr>
          <w:rFonts w:eastAsia="Times New Roman" w:cs="Arial"/>
          <w:sz w:val="22"/>
          <w:lang w:eastAsia="fr-FR"/>
        </w:rPr>
        <w:t>, conseillers maîtres, et M</w:t>
      </w:r>
      <w:r w:rsidR="00CE4635" w:rsidRPr="00543D9E">
        <w:rPr>
          <w:rFonts w:eastAsia="Times New Roman" w:cs="Arial"/>
          <w:sz w:val="22"/>
          <w:vertAlign w:val="superscript"/>
          <w:lang w:eastAsia="fr-FR"/>
        </w:rPr>
        <w:t>mes</w:t>
      </w:r>
      <w:r w:rsidR="00543D9E">
        <w:rPr>
          <w:rFonts w:eastAsia="Times New Roman" w:cs="Arial"/>
          <w:sz w:val="22"/>
          <w:lang w:eastAsia="fr-FR"/>
        </w:rPr>
        <w:t> </w:t>
      </w:r>
      <w:r w:rsidR="00CE4635">
        <w:rPr>
          <w:rFonts w:eastAsia="Times New Roman" w:cs="Arial"/>
          <w:sz w:val="22"/>
          <w:lang w:eastAsia="fr-FR"/>
        </w:rPr>
        <w:t xml:space="preserve">Laurence </w:t>
      </w:r>
      <w:r w:rsidR="00CE4635" w:rsidRPr="0046399E">
        <w:rPr>
          <w:rFonts w:eastAsia="Times New Roman" w:cs="Arial"/>
          <w:caps/>
          <w:sz w:val="22"/>
          <w:lang w:eastAsia="fr-FR"/>
        </w:rPr>
        <w:t>Engel</w:t>
      </w:r>
      <w:r w:rsidR="00CE4635">
        <w:rPr>
          <w:rFonts w:eastAsia="Times New Roman" w:cs="Arial"/>
          <w:sz w:val="22"/>
          <w:lang w:eastAsia="fr-FR"/>
        </w:rPr>
        <w:t xml:space="preserve"> et Isabelle </w:t>
      </w:r>
      <w:r w:rsidR="00CE4635" w:rsidRPr="0046399E">
        <w:rPr>
          <w:rFonts w:eastAsia="Times New Roman" w:cs="Arial"/>
          <w:caps/>
          <w:sz w:val="22"/>
          <w:lang w:eastAsia="fr-FR"/>
        </w:rPr>
        <w:t>Latournarie-Willems</w:t>
      </w:r>
      <w:r w:rsidR="00CE4635">
        <w:rPr>
          <w:rFonts w:eastAsia="Times New Roman" w:cs="Arial"/>
          <w:sz w:val="22"/>
          <w:lang w:eastAsia="fr-FR"/>
        </w:rPr>
        <w:t>, conseillères maîtres.</w:t>
      </w:r>
    </w:p>
    <w:p w:rsidR="00CB1214" w:rsidRDefault="00CB1214">
      <w:pPr>
        <w:spacing w:line="240" w:lineRule="auto"/>
        <w:rPr>
          <w:rFonts w:eastAsia="Times New Roman" w:cs="Arial"/>
          <w:sz w:val="22"/>
          <w:lang w:eastAsia="fr-FR"/>
        </w:rPr>
      </w:pPr>
    </w:p>
    <w:p w:rsidR="00CB1214" w:rsidRDefault="00CB1214" w:rsidP="00CB1214">
      <w:pPr>
        <w:tabs>
          <w:tab w:val="center" w:pos="4536"/>
          <w:tab w:val="right" w:pos="9072"/>
        </w:tabs>
        <w:spacing w:before="120" w:after="360" w:line="240" w:lineRule="auto"/>
        <w:jc w:val="both"/>
        <w:rPr>
          <w:rFonts w:eastAsia="Times New Roman" w:cs="Arial"/>
          <w:sz w:val="22"/>
          <w:lang w:eastAsia="fr-FR"/>
        </w:rPr>
      </w:pPr>
      <w:r w:rsidRPr="00DA50FE">
        <w:rPr>
          <w:rFonts w:eastAsia="Times New Roman" w:cs="Arial"/>
          <w:sz w:val="22"/>
          <w:lang w:eastAsia="fr-FR"/>
        </w:rPr>
        <w:t xml:space="preserve">En présence de </w:t>
      </w:r>
      <w:r w:rsidR="00543D9E" w:rsidRPr="00543D9E">
        <w:rPr>
          <w:rFonts w:eastAsia="Times New Roman" w:cs="Arial"/>
          <w:sz w:val="22"/>
          <w:lang w:eastAsia="fr-FR"/>
        </w:rPr>
        <w:t>M</w:t>
      </w:r>
      <w:r w:rsidR="00543D9E" w:rsidRPr="00543D9E">
        <w:rPr>
          <w:rFonts w:eastAsia="Times New Roman" w:cs="Arial"/>
          <w:sz w:val="22"/>
          <w:vertAlign w:val="superscript"/>
          <w:lang w:eastAsia="fr-FR"/>
        </w:rPr>
        <w:t>me</w:t>
      </w:r>
      <w:r w:rsidR="00543D9E">
        <w:rPr>
          <w:rFonts w:eastAsia="Times New Roman" w:cs="Arial"/>
          <w:sz w:val="22"/>
          <w:lang w:eastAsia="fr-FR"/>
        </w:rPr>
        <w:t> </w:t>
      </w:r>
      <w:bookmarkStart w:id="0" w:name="_GoBack"/>
      <w:bookmarkEnd w:id="0"/>
      <w:r w:rsidRPr="00DA50FE">
        <w:rPr>
          <w:rFonts w:eastAsia="Times New Roman" w:cs="Arial"/>
          <w:sz w:val="22"/>
          <w:lang w:eastAsia="fr-FR"/>
        </w:rPr>
        <w:t>Annie LE BARON</w:t>
      </w:r>
      <w:r>
        <w:rPr>
          <w:rFonts w:eastAsia="Times New Roman" w:cs="Arial"/>
          <w:sz w:val="22"/>
          <w:lang w:eastAsia="fr-FR"/>
        </w:rPr>
        <w:t>,</w:t>
      </w:r>
      <w:r w:rsidRPr="00DA50FE">
        <w:rPr>
          <w:rFonts w:eastAsia="Times New Roman" w:cs="Arial"/>
          <w:sz w:val="22"/>
          <w:lang w:eastAsia="fr-FR"/>
        </w:rPr>
        <w:t xml:space="preserve"> greffière de séance.</w:t>
      </w:r>
    </w:p>
    <w:tbl>
      <w:tblPr>
        <w:tblW w:w="0" w:type="auto"/>
        <w:tblInd w:w="34" w:type="dxa"/>
        <w:tblLook w:val="00A0" w:firstRow="1" w:lastRow="0" w:firstColumn="1" w:lastColumn="0" w:noHBand="0" w:noVBand="0"/>
      </w:tblPr>
      <w:tblGrid>
        <w:gridCol w:w="4637"/>
        <w:gridCol w:w="4615"/>
      </w:tblGrid>
      <w:tr w:rsidR="00CB1214" w:rsidRPr="00DA50FE" w:rsidTr="006C0A27">
        <w:tc>
          <w:tcPr>
            <w:tcW w:w="4637" w:type="dxa"/>
          </w:tcPr>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Pr="00DA50FE" w:rsidRDefault="00CB1214" w:rsidP="006C0A27">
            <w:pPr>
              <w:tabs>
                <w:tab w:val="center" w:pos="4536"/>
                <w:tab w:val="right" w:pos="9072"/>
              </w:tabs>
              <w:spacing w:line="240" w:lineRule="auto"/>
              <w:jc w:val="center"/>
              <w:rPr>
                <w:rFonts w:eastAsia="Times New Roman" w:cs="Arial"/>
                <w:b/>
                <w:sz w:val="22"/>
                <w:lang w:eastAsia="fr-FR"/>
              </w:rPr>
            </w:pPr>
          </w:p>
          <w:p w:rsidR="00CB1214" w:rsidRPr="00DA50FE" w:rsidRDefault="00E555A9" w:rsidP="006C0A27">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Annie LE BARON</w:t>
            </w:r>
          </w:p>
        </w:tc>
        <w:tc>
          <w:tcPr>
            <w:tcW w:w="4615" w:type="dxa"/>
          </w:tcPr>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Default="00CB1214" w:rsidP="006C0A27">
            <w:pPr>
              <w:tabs>
                <w:tab w:val="center" w:pos="4536"/>
                <w:tab w:val="right" w:pos="9072"/>
              </w:tabs>
              <w:spacing w:line="240" w:lineRule="auto"/>
              <w:jc w:val="center"/>
              <w:rPr>
                <w:rFonts w:eastAsia="Times New Roman" w:cs="Arial"/>
                <w:b/>
                <w:sz w:val="22"/>
                <w:lang w:eastAsia="fr-FR"/>
              </w:rPr>
            </w:pPr>
          </w:p>
          <w:p w:rsidR="00CB1214" w:rsidRPr="00DA50FE" w:rsidRDefault="00CB1214" w:rsidP="006C0A27">
            <w:pPr>
              <w:tabs>
                <w:tab w:val="center" w:pos="4536"/>
                <w:tab w:val="right" w:pos="9072"/>
              </w:tabs>
              <w:spacing w:line="240" w:lineRule="auto"/>
              <w:jc w:val="center"/>
              <w:rPr>
                <w:rFonts w:eastAsia="Times New Roman" w:cs="Arial"/>
                <w:b/>
                <w:sz w:val="22"/>
                <w:lang w:eastAsia="fr-FR"/>
              </w:rPr>
            </w:pPr>
          </w:p>
          <w:p w:rsidR="00CB1214" w:rsidRPr="00DA50FE" w:rsidRDefault="00E555A9" w:rsidP="006C0A27">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Jean-Philippe VACHIA</w:t>
            </w:r>
          </w:p>
        </w:tc>
      </w:tr>
    </w:tbl>
    <w:p w:rsidR="00CB1214" w:rsidRDefault="00CB1214" w:rsidP="00CB1214">
      <w:pPr>
        <w:tabs>
          <w:tab w:val="center" w:pos="4536"/>
          <w:tab w:val="right" w:pos="9072"/>
        </w:tabs>
        <w:spacing w:line="240" w:lineRule="auto"/>
        <w:jc w:val="both"/>
        <w:rPr>
          <w:rFonts w:eastAsia="Times New Roman" w:cs="Arial"/>
          <w:sz w:val="22"/>
          <w:lang w:eastAsia="fr-FR"/>
        </w:rPr>
      </w:pPr>
    </w:p>
    <w:p w:rsidR="00CD2360" w:rsidRPr="00732483" w:rsidRDefault="00CD2360" w:rsidP="00CB1214">
      <w:pPr>
        <w:tabs>
          <w:tab w:val="center" w:pos="4536"/>
          <w:tab w:val="right" w:pos="9072"/>
        </w:tabs>
        <w:spacing w:line="240" w:lineRule="auto"/>
        <w:jc w:val="both"/>
        <w:rPr>
          <w:rFonts w:eastAsia="Times New Roman" w:cs="Arial"/>
          <w:sz w:val="22"/>
          <w:lang w:eastAsia="fr-FR"/>
        </w:rPr>
      </w:pPr>
    </w:p>
    <w:p w:rsidR="00CB1214" w:rsidRPr="00732483" w:rsidRDefault="00CB1214" w:rsidP="00CB1214">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CB1214" w:rsidRPr="00732483" w:rsidRDefault="00CB1214" w:rsidP="00CB1214">
      <w:pPr>
        <w:spacing w:before="240" w:after="240" w:line="240" w:lineRule="auto"/>
        <w:jc w:val="both"/>
        <w:rPr>
          <w:rFonts w:cs="Arial"/>
          <w:sz w:val="22"/>
        </w:rPr>
      </w:pPr>
    </w:p>
    <w:p w:rsidR="00FA2EC4" w:rsidRPr="00C13095" w:rsidRDefault="00FA2EC4" w:rsidP="00C13095"/>
    <w:sectPr w:rsidR="00FA2EC4"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E2F" w:rsidRDefault="00223E2F" w:rsidP="00B41656">
      <w:pPr>
        <w:spacing w:line="240" w:lineRule="auto"/>
      </w:pPr>
      <w:r>
        <w:separator/>
      </w:r>
    </w:p>
  </w:endnote>
  <w:endnote w:type="continuationSeparator" w:id="0">
    <w:p w:rsidR="00223E2F" w:rsidRDefault="00223E2F"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E2F" w:rsidRDefault="00223E2F" w:rsidP="00B41656">
      <w:pPr>
        <w:spacing w:line="240" w:lineRule="auto"/>
      </w:pPr>
      <w:r>
        <w:separator/>
      </w:r>
    </w:p>
  </w:footnote>
  <w:footnote w:type="continuationSeparator" w:id="0">
    <w:p w:rsidR="00223E2F" w:rsidRDefault="00223E2F"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223E2F"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543D9E">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543D9E">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132C172B" wp14:editId="1D81959B">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5503"/>
    <w:rsid w:val="00026209"/>
    <w:rsid w:val="00033C10"/>
    <w:rsid w:val="00042157"/>
    <w:rsid w:val="00057C1C"/>
    <w:rsid w:val="00060466"/>
    <w:rsid w:val="000644DC"/>
    <w:rsid w:val="00067EA3"/>
    <w:rsid w:val="00077E98"/>
    <w:rsid w:val="0009577F"/>
    <w:rsid w:val="000B6546"/>
    <w:rsid w:val="000D61A7"/>
    <w:rsid w:val="000F5299"/>
    <w:rsid w:val="000F53CA"/>
    <w:rsid w:val="00110640"/>
    <w:rsid w:val="0011474E"/>
    <w:rsid w:val="001248F5"/>
    <w:rsid w:val="0012633C"/>
    <w:rsid w:val="0013115F"/>
    <w:rsid w:val="00131A38"/>
    <w:rsid w:val="001440E9"/>
    <w:rsid w:val="001656BC"/>
    <w:rsid w:val="001659AD"/>
    <w:rsid w:val="0016783F"/>
    <w:rsid w:val="00172BFB"/>
    <w:rsid w:val="001733C8"/>
    <w:rsid w:val="00177B90"/>
    <w:rsid w:val="00181B0F"/>
    <w:rsid w:val="001C59EC"/>
    <w:rsid w:val="001D11BE"/>
    <w:rsid w:val="00200E68"/>
    <w:rsid w:val="002040C2"/>
    <w:rsid w:val="00223E2F"/>
    <w:rsid w:val="002257B0"/>
    <w:rsid w:val="002304DE"/>
    <w:rsid w:val="00231C67"/>
    <w:rsid w:val="00240772"/>
    <w:rsid w:val="00240C13"/>
    <w:rsid w:val="00244453"/>
    <w:rsid w:val="00251668"/>
    <w:rsid w:val="0025618D"/>
    <w:rsid w:val="00265091"/>
    <w:rsid w:val="0028156D"/>
    <w:rsid w:val="00283473"/>
    <w:rsid w:val="002878B1"/>
    <w:rsid w:val="002B74C3"/>
    <w:rsid w:val="002C04EE"/>
    <w:rsid w:val="002C0B4C"/>
    <w:rsid w:val="002C15FE"/>
    <w:rsid w:val="002D0DA9"/>
    <w:rsid w:val="002D2D17"/>
    <w:rsid w:val="002E61A9"/>
    <w:rsid w:val="002E75B7"/>
    <w:rsid w:val="002F2B96"/>
    <w:rsid w:val="00327F55"/>
    <w:rsid w:val="00334A1B"/>
    <w:rsid w:val="00335254"/>
    <w:rsid w:val="00350C69"/>
    <w:rsid w:val="00365ED7"/>
    <w:rsid w:val="00376FD6"/>
    <w:rsid w:val="0039517C"/>
    <w:rsid w:val="003955D7"/>
    <w:rsid w:val="003A09FE"/>
    <w:rsid w:val="003B7BA2"/>
    <w:rsid w:val="003C4B25"/>
    <w:rsid w:val="003C582D"/>
    <w:rsid w:val="003C729C"/>
    <w:rsid w:val="003D51CA"/>
    <w:rsid w:val="003D58FB"/>
    <w:rsid w:val="003D7655"/>
    <w:rsid w:val="004022CB"/>
    <w:rsid w:val="00411920"/>
    <w:rsid w:val="004507C2"/>
    <w:rsid w:val="0046399E"/>
    <w:rsid w:val="00466852"/>
    <w:rsid w:val="0047092C"/>
    <w:rsid w:val="004779C2"/>
    <w:rsid w:val="00477C3D"/>
    <w:rsid w:val="00481A16"/>
    <w:rsid w:val="00481F95"/>
    <w:rsid w:val="004A0C49"/>
    <w:rsid w:val="004A1A11"/>
    <w:rsid w:val="004A3477"/>
    <w:rsid w:val="004A49F1"/>
    <w:rsid w:val="005007FE"/>
    <w:rsid w:val="00501A25"/>
    <w:rsid w:val="00521224"/>
    <w:rsid w:val="005369EE"/>
    <w:rsid w:val="00543D9E"/>
    <w:rsid w:val="0054781F"/>
    <w:rsid w:val="00595733"/>
    <w:rsid w:val="005B4CA5"/>
    <w:rsid w:val="005C5994"/>
    <w:rsid w:val="005C7346"/>
    <w:rsid w:val="005D1B5D"/>
    <w:rsid w:val="005F61B5"/>
    <w:rsid w:val="00604974"/>
    <w:rsid w:val="00611EBE"/>
    <w:rsid w:val="0063020D"/>
    <w:rsid w:val="006344B0"/>
    <w:rsid w:val="00634522"/>
    <w:rsid w:val="00640087"/>
    <w:rsid w:val="00647807"/>
    <w:rsid w:val="00662166"/>
    <w:rsid w:val="00676091"/>
    <w:rsid w:val="006774B5"/>
    <w:rsid w:val="00687F6F"/>
    <w:rsid w:val="006A4EB5"/>
    <w:rsid w:val="006A568B"/>
    <w:rsid w:val="006A7750"/>
    <w:rsid w:val="006B3C58"/>
    <w:rsid w:val="006C72CB"/>
    <w:rsid w:val="006E0C9C"/>
    <w:rsid w:val="006E170E"/>
    <w:rsid w:val="006E3A7F"/>
    <w:rsid w:val="00707BD1"/>
    <w:rsid w:val="00724014"/>
    <w:rsid w:val="007252C5"/>
    <w:rsid w:val="007410AA"/>
    <w:rsid w:val="00747272"/>
    <w:rsid w:val="007545FA"/>
    <w:rsid w:val="00764F62"/>
    <w:rsid w:val="00765A21"/>
    <w:rsid w:val="0077703E"/>
    <w:rsid w:val="007A448C"/>
    <w:rsid w:val="007B06F6"/>
    <w:rsid w:val="007E06F2"/>
    <w:rsid w:val="007F2707"/>
    <w:rsid w:val="007F76E8"/>
    <w:rsid w:val="0081551A"/>
    <w:rsid w:val="00816090"/>
    <w:rsid w:val="0082514D"/>
    <w:rsid w:val="008256E2"/>
    <w:rsid w:val="0085194D"/>
    <w:rsid w:val="00863D04"/>
    <w:rsid w:val="0086760B"/>
    <w:rsid w:val="00875AE9"/>
    <w:rsid w:val="008844EF"/>
    <w:rsid w:val="008A34BF"/>
    <w:rsid w:val="008A6ACF"/>
    <w:rsid w:val="008B01F8"/>
    <w:rsid w:val="008C244D"/>
    <w:rsid w:val="008E27E7"/>
    <w:rsid w:val="008E360F"/>
    <w:rsid w:val="008E5EE8"/>
    <w:rsid w:val="008E6068"/>
    <w:rsid w:val="008E6349"/>
    <w:rsid w:val="008F0F94"/>
    <w:rsid w:val="008F2C0D"/>
    <w:rsid w:val="008F5219"/>
    <w:rsid w:val="0093036A"/>
    <w:rsid w:val="009405CE"/>
    <w:rsid w:val="00950441"/>
    <w:rsid w:val="009627B1"/>
    <w:rsid w:val="00966697"/>
    <w:rsid w:val="009672D3"/>
    <w:rsid w:val="00970036"/>
    <w:rsid w:val="009802E3"/>
    <w:rsid w:val="009844D0"/>
    <w:rsid w:val="00986425"/>
    <w:rsid w:val="009B22BF"/>
    <w:rsid w:val="009E45E4"/>
    <w:rsid w:val="009F0FB6"/>
    <w:rsid w:val="00A02D30"/>
    <w:rsid w:val="00A32C49"/>
    <w:rsid w:val="00A4059D"/>
    <w:rsid w:val="00A54228"/>
    <w:rsid w:val="00A56A52"/>
    <w:rsid w:val="00A64272"/>
    <w:rsid w:val="00A755A3"/>
    <w:rsid w:val="00A83FC9"/>
    <w:rsid w:val="00A86BEC"/>
    <w:rsid w:val="00A90B88"/>
    <w:rsid w:val="00A91378"/>
    <w:rsid w:val="00A9735F"/>
    <w:rsid w:val="00AE774F"/>
    <w:rsid w:val="00AF3334"/>
    <w:rsid w:val="00B128E3"/>
    <w:rsid w:val="00B20DF8"/>
    <w:rsid w:val="00B26C9B"/>
    <w:rsid w:val="00B275C1"/>
    <w:rsid w:val="00B41656"/>
    <w:rsid w:val="00B645D1"/>
    <w:rsid w:val="00B724CA"/>
    <w:rsid w:val="00B967C8"/>
    <w:rsid w:val="00BA31B3"/>
    <w:rsid w:val="00BA60D8"/>
    <w:rsid w:val="00BB2920"/>
    <w:rsid w:val="00BB7176"/>
    <w:rsid w:val="00BC40A5"/>
    <w:rsid w:val="00BD7DBC"/>
    <w:rsid w:val="00BE6831"/>
    <w:rsid w:val="00BF3254"/>
    <w:rsid w:val="00C04525"/>
    <w:rsid w:val="00C17123"/>
    <w:rsid w:val="00C22187"/>
    <w:rsid w:val="00C232B4"/>
    <w:rsid w:val="00C23B89"/>
    <w:rsid w:val="00C32D50"/>
    <w:rsid w:val="00C470E9"/>
    <w:rsid w:val="00C64FFC"/>
    <w:rsid w:val="00C67D39"/>
    <w:rsid w:val="00C708CF"/>
    <w:rsid w:val="00C77CA2"/>
    <w:rsid w:val="00C86E03"/>
    <w:rsid w:val="00CA1BD5"/>
    <w:rsid w:val="00CA2B9B"/>
    <w:rsid w:val="00CB09BC"/>
    <w:rsid w:val="00CB1214"/>
    <w:rsid w:val="00CC39B0"/>
    <w:rsid w:val="00CC39CD"/>
    <w:rsid w:val="00CD2360"/>
    <w:rsid w:val="00CE1BD7"/>
    <w:rsid w:val="00CE3CBB"/>
    <w:rsid w:val="00CE4635"/>
    <w:rsid w:val="00CE4F79"/>
    <w:rsid w:val="00CF6809"/>
    <w:rsid w:val="00D01C3E"/>
    <w:rsid w:val="00D21CDB"/>
    <w:rsid w:val="00D33BDC"/>
    <w:rsid w:val="00D500EF"/>
    <w:rsid w:val="00D51C43"/>
    <w:rsid w:val="00D62649"/>
    <w:rsid w:val="00D817B5"/>
    <w:rsid w:val="00D823E2"/>
    <w:rsid w:val="00D9146A"/>
    <w:rsid w:val="00D923F0"/>
    <w:rsid w:val="00DA23AB"/>
    <w:rsid w:val="00DA6392"/>
    <w:rsid w:val="00DB052C"/>
    <w:rsid w:val="00DB1DD1"/>
    <w:rsid w:val="00DC6C41"/>
    <w:rsid w:val="00DE48AF"/>
    <w:rsid w:val="00DE6999"/>
    <w:rsid w:val="00DE7B1F"/>
    <w:rsid w:val="00E03E5C"/>
    <w:rsid w:val="00E16AC8"/>
    <w:rsid w:val="00E25406"/>
    <w:rsid w:val="00E35B8A"/>
    <w:rsid w:val="00E430FB"/>
    <w:rsid w:val="00E50897"/>
    <w:rsid w:val="00E515EB"/>
    <w:rsid w:val="00E555A9"/>
    <w:rsid w:val="00E55D24"/>
    <w:rsid w:val="00E86FB6"/>
    <w:rsid w:val="00E87137"/>
    <w:rsid w:val="00ED3235"/>
    <w:rsid w:val="00ED3BBB"/>
    <w:rsid w:val="00EE2510"/>
    <w:rsid w:val="00EE3AA4"/>
    <w:rsid w:val="00EE4F42"/>
    <w:rsid w:val="00EF6B38"/>
    <w:rsid w:val="00F02B00"/>
    <w:rsid w:val="00F02D0A"/>
    <w:rsid w:val="00F34BAC"/>
    <w:rsid w:val="00F456D8"/>
    <w:rsid w:val="00F63CE2"/>
    <w:rsid w:val="00F73ABC"/>
    <w:rsid w:val="00F8606B"/>
    <w:rsid w:val="00FA2EC4"/>
    <w:rsid w:val="00FB3658"/>
    <w:rsid w:val="00FC3558"/>
    <w:rsid w:val="00FD31C9"/>
    <w:rsid w:val="00FD3A73"/>
    <w:rsid w:val="00FD52E1"/>
    <w:rsid w:val="00FD7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8E27E7"/>
    <w:rPr>
      <w:sz w:val="16"/>
      <w:szCs w:val="16"/>
    </w:rPr>
  </w:style>
  <w:style w:type="paragraph" w:styleId="Commentaire">
    <w:name w:val="annotation text"/>
    <w:basedOn w:val="Normal"/>
    <w:link w:val="CommentaireCar"/>
    <w:uiPriority w:val="99"/>
    <w:semiHidden/>
    <w:rsid w:val="008E27E7"/>
    <w:pPr>
      <w:spacing w:line="240" w:lineRule="auto"/>
    </w:pPr>
    <w:rPr>
      <w:sz w:val="20"/>
      <w:szCs w:val="20"/>
    </w:rPr>
  </w:style>
  <w:style w:type="character" w:customStyle="1" w:styleId="CommentaireCar">
    <w:name w:val="Commentaire Car"/>
    <w:basedOn w:val="Policepardfaut"/>
    <w:link w:val="Commentaire"/>
    <w:uiPriority w:val="99"/>
    <w:semiHidden/>
    <w:rsid w:val="008E27E7"/>
    <w:rPr>
      <w:lang w:eastAsia="en-US"/>
    </w:rPr>
  </w:style>
  <w:style w:type="paragraph" w:styleId="Objetducommentaire">
    <w:name w:val="annotation subject"/>
    <w:basedOn w:val="Commentaire"/>
    <w:next w:val="Commentaire"/>
    <w:link w:val="ObjetducommentaireCar"/>
    <w:uiPriority w:val="99"/>
    <w:semiHidden/>
    <w:rsid w:val="008E27E7"/>
    <w:rPr>
      <w:b/>
      <w:bCs/>
    </w:rPr>
  </w:style>
  <w:style w:type="character" w:customStyle="1" w:styleId="ObjetducommentaireCar">
    <w:name w:val="Objet du commentaire Car"/>
    <w:basedOn w:val="CommentaireCar"/>
    <w:link w:val="Objetducommentaire"/>
    <w:uiPriority w:val="99"/>
    <w:semiHidden/>
    <w:rsid w:val="008E27E7"/>
    <w:rPr>
      <w:b/>
      <w:bCs/>
      <w:lang w:eastAsia="en-US"/>
    </w:rPr>
  </w:style>
  <w:style w:type="paragraph" w:styleId="Rvision">
    <w:name w:val="Revision"/>
    <w:hidden/>
    <w:uiPriority w:val="71"/>
    <w:rsid w:val="008E27E7"/>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8E27E7"/>
    <w:rPr>
      <w:sz w:val="16"/>
      <w:szCs w:val="16"/>
    </w:rPr>
  </w:style>
  <w:style w:type="paragraph" w:styleId="Commentaire">
    <w:name w:val="annotation text"/>
    <w:basedOn w:val="Normal"/>
    <w:link w:val="CommentaireCar"/>
    <w:uiPriority w:val="99"/>
    <w:semiHidden/>
    <w:rsid w:val="008E27E7"/>
    <w:pPr>
      <w:spacing w:line="240" w:lineRule="auto"/>
    </w:pPr>
    <w:rPr>
      <w:sz w:val="20"/>
      <w:szCs w:val="20"/>
    </w:rPr>
  </w:style>
  <w:style w:type="character" w:customStyle="1" w:styleId="CommentaireCar">
    <w:name w:val="Commentaire Car"/>
    <w:basedOn w:val="Policepardfaut"/>
    <w:link w:val="Commentaire"/>
    <w:uiPriority w:val="99"/>
    <w:semiHidden/>
    <w:rsid w:val="008E27E7"/>
    <w:rPr>
      <w:lang w:eastAsia="en-US"/>
    </w:rPr>
  </w:style>
  <w:style w:type="paragraph" w:styleId="Objetducommentaire">
    <w:name w:val="annotation subject"/>
    <w:basedOn w:val="Commentaire"/>
    <w:next w:val="Commentaire"/>
    <w:link w:val="ObjetducommentaireCar"/>
    <w:uiPriority w:val="99"/>
    <w:semiHidden/>
    <w:rsid w:val="008E27E7"/>
    <w:rPr>
      <w:b/>
      <w:bCs/>
    </w:rPr>
  </w:style>
  <w:style w:type="character" w:customStyle="1" w:styleId="ObjetducommentaireCar">
    <w:name w:val="Objet du commentaire Car"/>
    <w:basedOn w:val="CommentaireCar"/>
    <w:link w:val="Objetducommentaire"/>
    <w:uiPriority w:val="99"/>
    <w:semiHidden/>
    <w:rsid w:val="008E27E7"/>
    <w:rPr>
      <w:b/>
      <w:bCs/>
      <w:lang w:eastAsia="en-US"/>
    </w:rPr>
  </w:style>
  <w:style w:type="paragraph" w:styleId="Rvision">
    <w:name w:val="Revision"/>
    <w:hidden/>
    <w:uiPriority w:val="71"/>
    <w:rsid w:val="008E27E7"/>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C94BA-98FE-4CE7-9359-8A5998C8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1509</Words>
  <Characters>8303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24</cp:revision>
  <cp:lastPrinted>2015-10-02T12:55:00Z</cp:lastPrinted>
  <dcterms:created xsi:type="dcterms:W3CDTF">2015-09-17T10:18:00Z</dcterms:created>
  <dcterms:modified xsi:type="dcterms:W3CDTF">2015-11-11T17:50:00Z</dcterms:modified>
</cp:coreProperties>
</file>