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E" w:rsidRPr="003E76DE" w:rsidRDefault="00BA4F93">
      <w:pPr>
        <w:rPr>
          <w:rFonts w:cs="Arial"/>
        </w:rPr>
      </w:pPr>
      <w:r w:rsidRPr="003E76DE">
        <w:rPr>
          <w:rFonts w:cs="Arial"/>
          <w:noProof/>
          <w:lang w:eastAsia="fr-FR"/>
        </w:rPr>
        <w:drawing>
          <wp:anchor distT="0" distB="0" distL="114300" distR="114300" simplePos="0" relativeHeight="251659264" behindDoc="0" locked="0" layoutInCell="1" allowOverlap="1" wp14:anchorId="1863ADB4" wp14:editId="430B85DE">
            <wp:simplePos x="0" y="0"/>
            <wp:positionH relativeFrom="column">
              <wp:posOffset>-728345</wp:posOffset>
            </wp:positionH>
            <wp:positionV relativeFrom="paragraph">
              <wp:posOffset>-562610</wp:posOffset>
            </wp:positionV>
            <wp:extent cx="7559040" cy="1258570"/>
            <wp:effectExtent l="19050" t="0" r="3810" b="0"/>
            <wp:wrapTopAndBottom/>
            <wp:docPr id="468008388" name="32355592449e9555b"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79945" name="N_COUR_BANDEAU-ENTETE.jpg"/>
                    <pic:cNvPicPr/>
                  </pic:nvPicPr>
                  <pic:blipFill>
                    <a:blip r:embed="rId9"/>
                    <a:stretch>
                      <a:fillRect/>
                    </a:stretch>
                  </pic:blipFill>
                  <pic:spPr>
                    <a:xfrm>
                      <a:off x="0" y="0"/>
                      <a:ext cx="7559040" cy="1258570"/>
                    </a:xfrm>
                    <a:prstGeom prst="rect">
                      <a:avLst/>
                    </a:prstGeom>
                  </pic:spPr>
                </pic:pic>
              </a:graphicData>
            </a:graphic>
          </wp:anchor>
        </w:drawing>
      </w:r>
    </w:p>
    <w:tbl>
      <w:tblPr>
        <w:tblW w:w="9889" w:type="dxa"/>
        <w:tblLook w:val="00A0" w:firstRow="1" w:lastRow="0" w:firstColumn="1" w:lastColumn="0" w:noHBand="0" w:noVBand="0"/>
      </w:tblPr>
      <w:tblGrid>
        <w:gridCol w:w="5103"/>
        <w:gridCol w:w="4786"/>
      </w:tblGrid>
      <w:tr w:rsidR="009F58BA" w:rsidRPr="003E76DE" w:rsidTr="00F942D7">
        <w:tc>
          <w:tcPr>
            <w:tcW w:w="5103" w:type="dxa"/>
          </w:tcPr>
          <w:p w:rsidR="009F58BA" w:rsidRPr="00954238" w:rsidRDefault="00BA4F93" w:rsidP="007F3DB6">
            <w:pPr>
              <w:spacing w:line="240" w:lineRule="auto"/>
              <w:ind w:right="776" w:firstLine="34"/>
              <w:jc w:val="center"/>
              <w:rPr>
                <w:rFonts w:eastAsia="Times New Roman" w:cs="Arial"/>
                <w:sz w:val="22"/>
                <w:lang w:eastAsia="fr-FR"/>
              </w:rPr>
            </w:pPr>
            <w:r w:rsidRPr="00954238">
              <w:rPr>
                <w:rFonts w:eastAsia="Times New Roman" w:cs="Arial"/>
                <w:sz w:val="22"/>
                <w:lang w:eastAsia="fr-FR"/>
              </w:rPr>
              <w:t>QUATRIÈME CHAMBRE</w:t>
            </w:r>
          </w:p>
          <w:p w:rsidR="009F58BA" w:rsidRPr="00954238" w:rsidRDefault="00BA4F93" w:rsidP="007F3DB6">
            <w:pPr>
              <w:spacing w:line="240" w:lineRule="auto"/>
              <w:ind w:right="776" w:firstLine="34"/>
              <w:jc w:val="center"/>
              <w:rPr>
                <w:rFonts w:eastAsia="Times New Roman" w:cs="Arial"/>
                <w:b/>
                <w:sz w:val="22"/>
                <w:lang w:eastAsia="fr-FR"/>
              </w:rPr>
            </w:pPr>
            <w:r w:rsidRPr="00954238">
              <w:rPr>
                <w:rFonts w:eastAsia="Times New Roman" w:cs="Arial"/>
                <w:b/>
                <w:sz w:val="22"/>
                <w:lang w:eastAsia="fr-FR"/>
              </w:rPr>
              <w:t>-------</w:t>
            </w:r>
          </w:p>
          <w:p w:rsidR="009F58BA" w:rsidRPr="00954238" w:rsidRDefault="00BA4F93" w:rsidP="007F3DB6">
            <w:pPr>
              <w:spacing w:line="240" w:lineRule="auto"/>
              <w:ind w:right="776" w:firstLine="34"/>
              <w:jc w:val="center"/>
              <w:rPr>
                <w:rFonts w:eastAsia="Times New Roman" w:cs="Arial"/>
                <w:sz w:val="22"/>
                <w:lang w:eastAsia="fr-FR"/>
              </w:rPr>
            </w:pPr>
            <w:r w:rsidRPr="00954238">
              <w:rPr>
                <w:rFonts w:eastAsia="Times New Roman" w:cs="Arial"/>
                <w:sz w:val="22"/>
                <w:lang w:eastAsia="fr-FR"/>
              </w:rPr>
              <w:t>Première section</w:t>
            </w:r>
          </w:p>
          <w:p w:rsidR="009F58BA" w:rsidRPr="00954238" w:rsidRDefault="00BA4F93" w:rsidP="007F3DB6">
            <w:pPr>
              <w:spacing w:line="240" w:lineRule="auto"/>
              <w:ind w:right="776" w:firstLine="34"/>
              <w:jc w:val="center"/>
              <w:rPr>
                <w:rFonts w:eastAsia="Times New Roman" w:cs="Arial"/>
                <w:b/>
                <w:sz w:val="22"/>
                <w:lang w:eastAsia="fr-FR"/>
              </w:rPr>
            </w:pPr>
            <w:r w:rsidRPr="00954238">
              <w:rPr>
                <w:rFonts w:eastAsia="Times New Roman" w:cs="Arial"/>
                <w:b/>
                <w:sz w:val="22"/>
                <w:lang w:eastAsia="fr-FR"/>
              </w:rPr>
              <w:t>-------</w:t>
            </w:r>
          </w:p>
          <w:p w:rsidR="009F58BA" w:rsidRPr="00954238" w:rsidRDefault="00BA4F93" w:rsidP="007F3DB6">
            <w:pPr>
              <w:spacing w:line="240" w:lineRule="auto"/>
              <w:ind w:right="776" w:firstLine="34"/>
              <w:jc w:val="center"/>
              <w:rPr>
                <w:rFonts w:eastAsia="Times New Roman" w:cs="Arial"/>
                <w:sz w:val="22"/>
                <w:lang w:eastAsia="fr-FR"/>
              </w:rPr>
            </w:pPr>
            <w:r w:rsidRPr="00954238">
              <w:rPr>
                <w:rFonts w:eastAsia="Times New Roman" w:cs="Arial"/>
                <w:sz w:val="22"/>
                <w:lang w:eastAsia="fr-FR"/>
              </w:rPr>
              <w:t xml:space="preserve">Arrêt n° </w:t>
            </w:r>
            <w:r w:rsidR="00AE0636">
              <w:rPr>
                <w:rFonts w:eastAsia="Times New Roman" w:cs="Arial"/>
                <w:sz w:val="22"/>
                <w:lang w:eastAsia="fr-FR"/>
              </w:rPr>
              <w:t>S 2015-1460</w:t>
            </w:r>
          </w:p>
          <w:p w:rsidR="009F58BA" w:rsidRPr="00954238" w:rsidRDefault="00CC0AA9" w:rsidP="007F3DB6">
            <w:pPr>
              <w:spacing w:line="240" w:lineRule="auto"/>
              <w:ind w:right="776" w:firstLine="34"/>
              <w:jc w:val="center"/>
              <w:rPr>
                <w:rFonts w:eastAsia="Times New Roman" w:cs="Arial"/>
                <w:sz w:val="22"/>
                <w:lang w:eastAsia="fr-FR"/>
              </w:rPr>
            </w:pPr>
          </w:p>
          <w:p w:rsidR="00511ACF" w:rsidRPr="00954238" w:rsidRDefault="00BA4F93" w:rsidP="007F3DB6">
            <w:pPr>
              <w:spacing w:line="240" w:lineRule="auto"/>
              <w:ind w:right="776" w:firstLine="34"/>
              <w:jc w:val="center"/>
              <w:rPr>
                <w:rFonts w:eastAsia="Times New Roman" w:cs="Arial"/>
                <w:sz w:val="22"/>
                <w:lang w:eastAsia="fr-FR"/>
              </w:rPr>
            </w:pPr>
            <w:r w:rsidRPr="00954238">
              <w:rPr>
                <w:rFonts w:eastAsia="Times New Roman" w:cs="Arial"/>
                <w:sz w:val="22"/>
                <w:lang w:eastAsia="fr-FR"/>
              </w:rPr>
              <w:t>Audience publique du</w:t>
            </w:r>
            <w:r w:rsidR="00511ACF" w:rsidRPr="00954238">
              <w:rPr>
                <w:rFonts w:eastAsia="Times New Roman" w:cs="Arial"/>
                <w:sz w:val="22"/>
                <w:lang w:eastAsia="fr-FR"/>
              </w:rPr>
              <w:t xml:space="preserve"> 19 novembre 2015</w:t>
            </w:r>
          </w:p>
          <w:p w:rsidR="00511ACF" w:rsidRPr="00954238" w:rsidRDefault="00511ACF" w:rsidP="007F3DB6">
            <w:pPr>
              <w:spacing w:line="240" w:lineRule="auto"/>
              <w:ind w:right="776" w:firstLine="34"/>
              <w:jc w:val="center"/>
              <w:rPr>
                <w:rFonts w:eastAsia="Times New Roman" w:cs="Arial"/>
                <w:sz w:val="22"/>
                <w:lang w:eastAsia="fr-FR"/>
              </w:rPr>
            </w:pPr>
          </w:p>
          <w:p w:rsidR="009F58BA" w:rsidRPr="007F3DB6" w:rsidRDefault="00BA4F93" w:rsidP="007F3DB6">
            <w:pPr>
              <w:spacing w:line="240" w:lineRule="auto"/>
              <w:ind w:right="776" w:firstLine="34"/>
              <w:jc w:val="center"/>
              <w:rPr>
                <w:rFonts w:eastAsia="Times New Roman" w:cs="Arial"/>
                <w:i/>
                <w:sz w:val="22"/>
                <w:lang w:eastAsia="fr-FR"/>
              </w:rPr>
            </w:pPr>
            <w:r w:rsidRPr="00954238">
              <w:rPr>
                <w:rFonts w:eastAsia="Times New Roman" w:cs="Arial"/>
                <w:sz w:val="22"/>
                <w:lang w:eastAsia="fr-FR"/>
              </w:rPr>
              <w:t xml:space="preserve">Prononcé du </w:t>
            </w:r>
            <w:r w:rsidR="00511ACF" w:rsidRPr="00954238">
              <w:rPr>
                <w:rFonts w:eastAsia="Times New Roman" w:cs="Arial"/>
                <w:sz w:val="22"/>
                <w:lang w:eastAsia="fr-FR"/>
              </w:rPr>
              <w:t>10 décembre 2015</w:t>
            </w:r>
          </w:p>
        </w:tc>
        <w:tc>
          <w:tcPr>
            <w:tcW w:w="4786" w:type="dxa"/>
          </w:tcPr>
          <w:p w:rsidR="00511ACF" w:rsidRPr="00954238" w:rsidRDefault="00511ACF" w:rsidP="00511ACF">
            <w:pPr>
              <w:spacing w:line="240" w:lineRule="auto"/>
              <w:rPr>
                <w:rFonts w:eastAsia="Times New Roman" w:cs="Arial"/>
                <w:sz w:val="22"/>
                <w:lang w:eastAsia="fr-FR"/>
              </w:rPr>
            </w:pPr>
            <w:r w:rsidRPr="00954238">
              <w:rPr>
                <w:rFonts w:eastAsia="Times New Roman" w:cs="Arial"/>
                <w:sz w:val="22"/>
                <w:lang w:eastAsia="fr-FR"/>
              </w:rPr>
              <w:t>ARRET</w:t>
            </w:r>
            <w:r w:rsidR="00DA2B0A">
              <w:rPr>
                <w:rFonts w:eastAsia="Times New Roman" w:cs="Arial"/>
                <w:sz w:val="22"/>
                <w:lang w:eastAsia="fr-FR"/>
              </w:rPr>
              <w:t>É</w:t>
            </w:r>
            <w:r w:rsidRPr="00954238">
              <w:rPr>
                <w:rFonts w:eastAsia="Times New Roman" w:cs="Arial"/>
                <w:sz w:val="22"/>
                <w:lang w:eastAsia="fr-FR"/>
              </w:rPr>
              <w:t xml:space="preserve"> CONSERVATOIRE DE D</w:t>
            </w:r>
            <w:r w:rsidR="00DA2B0A">
              <w:rPr>
                <w:rFonts w:eastAsia="Times New Roman" w:cs="Arial"/>
                <w:sz w:val="22"/>
                <w:lang w:eastAsia="fr-FR"/>
              </w:rPr>
              <w:t>É</w:t>
            </w:r>
            <w:r w:rsidRPr="00954238">
              <w:rPr>
                <w:rFonts w:eastAsia="Times New Roman" w:cs="Arial"/>
                <w:sz w:val="22"/>
                <w:lang w:eastAsia="fr-FR"/>
              </w:rPr>
              <w:t>BET</w:t>
            </w:r>
          </w:p>
          <w:p w:rsidR="00511ACF" w:rsidRPr="00954238" w:rsidRDefault="00511ACF" w:rsidP="00511ACF">
            <w:pPr>
              <w:spacing w:line="240" w:lineRule="auto"/>
              <w:rPr>
                <w:rFonts w:eastAsia="Times New Roman" w:cs="Arial"/>
                <w:sz w:val="22"/>
                <w:lang w:eastAsia="fr-FR"/>
              </w:rPr>
            </w:pPr>
            <w:r w:rsidRPr="00954238">
              <w:rPr>
                <w:rFonts w:eastAsia="Times New Roman" w:cs="Arial"/>
                <w:sz w:val="22"/>
                <w:lang w:eastAsia="fr-FR"/>
              </w:rPr>
              <w:t>INSTITUT FRANÇAIS DE TEL-AVIV (ISRA</w:t>
            </w:r>
            <w:r w:rsidR="00DA2B0A">
              <w:rPr>
                <w:rFonts w:eastAsia="Times New Roman" w:cs="Arial"/>
                <w:sz w:val="22"/>
                <w:lang w:eastAsia="fr-FR"/>
              </w:rPr>
              <w:t>Ë</w:t>
            </w:r>
            <w:r w:rsidRPr="00954238">
              <w:rPr>
                <w:rFonts w:eastAsia="Times New Roman" w:cs="Arial"/>
                <w:sz w:val="22"/>
                <w:lang w:eastAsia="fr-FR"/>
              </w:rPr>
              <w:t>L)</w:t>
            </w:r>
          </w:p>
          <w:p w:rsidR="00511ACF" w:rsidRPr="00954238" w:rsidRDefault="00511ACF" w:rsidP="00511ACF">
            <w:pPr>
              <w:spacing w:line="240" w:lineRule="auto"/>
              <w:rPr>
                <w:rFonts w:eastAsia="Times New Roman" w:cs="Arial"/>
                <w:sz w:val="22"/>
                <w:lang w:eastAsia="fr-FR"/>
              </w:rPr>
            </w:pPr>
          </w:p>
          <w:p w:rsidR="00511ACF" w:rsidRPr="00954238" w:rsidRDefault="00511ACF" w:rsidP="00511ACF">
            <w:pPr>
              <w:spacing w:line="240" w:lineRule="auto"/>
              <w:rPr>
                <w:rFonts w:eastAsia="Times New Roman" w:cs="Arial"/>
                <w:sz w:val="22"/>
                <w:lang w:eastAsia="fr-FR"/>
              </w:rPr>
            </w:pPr>
            <w:r w:rsidRPr="00954238">
              <w:rPr>
                <w:rFonts w:eastAsia="Times New Roman" w:cs="Arial"/>
                <w:sz w:val="22"/>
                <w:lang w:eastAsia="fr-FR"/>
              </w:rPr>
              <w:t>Exercice 1998</w:t>
            </w:r>
          </w:p>
          <w:p w:rsidR="00511ACF" w:rsidRPr="00954238" w:rsidRDefault="00511ACF" w:rsidP="00511ACF">
            <w:pPr>
              <w:spacing w:line="240" w:lineRule="auto"/>
              <w:rPr>
                <w:rFonts w:eastAsia="Times New Roman" w:cs="Arial"/>
                <w:sz w:val="22"/>
                <w:lang w:eastAsia="fr-FR"/>
              </w:rPr>
            </w:pPr>
          </w:p>
          <w:p w:rsidR="00511ACF" w:rsidRPr="00954238" w:rsidRDefault="00511ACF" w:rsidP="00511ACF">
            <w:pPr>
              <w:spacing w:line="240" w:lineRule="auto"/>
              <w:rPr>
                <w:rFonts w:eastAsia="Times New Roman" w:cs="Arial"/>
                <w:sz w:val="22"/>
                <w:lang w:eastAsia="fr-FR"/>
              </w:rPr>
            </w:pPr>
          </w:p>
          <w:p w:rsidR="00511ACF" w:rsidRPr="007F3DB6" w:rsidRDefault="00511ACF" w:rsidP="00511ACF">
            <w:pPr>
              <w:spacing w:line="240" w:lineRule="auto"/>
              <w:rPr>
                <w:rFonts w:eastAsia="Times New Roman" w:cs="Arial"/>
                <w:sz w:val="22"/>
                <w:lang w:eastAsia="fr-FR"/>
              </w:rPr>
            </w:pPr>
            <w:r w:rsidRPr="00954238">
              <w:rPr>
                <w:rFonts w:eastAsia="Times New Roman" w:cs="Arial"/>
                <w:noProof/>
                <w:color w:val="000000"/>
                <w:sz w:val="22"/>
                <w:lang w:eastAsia="fr-FR"/>
              </w:rPr>
              <w:t>Rapport n° 2015-286-0</w:t>
            </w:r>
          </w:p>
          <w:p w:rsidR="009F58BA" w:rsidRDefault="00CC0AA9">
            <w:pPr>
              <w:spacing w:line="240" w:lineRule="auto"/>
              <w:rPr>
                <w:rFonts w:eastAsia="Times New Roman" w:cs="Arial"/>
                <w:lang w:eastAsia="fr-FR"/>
              </w:rPr>
            </w:pPr>
          </w:p>
          <w:p w:rsidR="009F58BA" w:rsidRDefault="00CC0AA9">
            <w:pPr>
              <w:spacing w:line="240" w:lineRule="auto"/>
              <w:rPr>
                <w:rFonts w:eastAsia="Times New Roman" w:cs="Arial"/>
                <w:lang w:eastAsia="fr-FR"/>
              </w:rPr>
            </w:pPr>
          </w:p>
        </w:tc>
      </w:tr>
    </w:tbl>
    <w:p w:rsidR="00C744AF" w:rsidRDefault="00CC0AA9" w:rsidP="007F3DB6">
      <w:pPr>
        <w:spacing w:line="240" w:lineRule="auto"/>
        <w:jc w:val="center"/>
        <w:rPr>
          <w:rFonts w:eastAsia="Times New Roman" w:cs="Arial"/>
          <w:lang w:eastAsia="fr-FR"/>
        </w:rPr>
      </w:pPr>
    </w:p>
    <w:p w:rsidR="007F3DB6" w:rsidRDefault="007F3DB6" w:rsidP="007F3DB6">
      <w:pPr>
        <w:spacing w:line="240" w:lineRule="auto"/>
        <w:jc w:val="center"/>
        <w:rPr>
          <w:rFonts w:eastAsia="Times New Roman" w:cs="Arial"/>
          <w:lang w:eastAsia="fr-FR"/>
        </w:rPr>
      </w:pPr>
    </w:p>
    <w:p w:rsidR="00954238" w:rsidRPr="003E76DE" w:rsidRDefault="00954238" w:rsidP="007F3DB6">
      <w:pPr>
        <w:spacing w:line="240" w:lineRule="auto"/>
        <w:jc w:val="center"/>
        <w:rPr>
          <w:rFonts w:eastAsia="Times New Roman" w:cs="Arial"/>
          <w:lang w:eastAsia="fr-FR"/>
        </w:rPr>
      </w:pPr>
    </w:p>
    <w:p w:rsidR="00C744AF" w:rsidRDefault="00BA4F93" w:rsidP="00C744AF">
      <w:pPr>
        <w:tabs>
          <w:tab w:val="center" w:pos="9072"/>
        </w:tabs>
        <w:spacing w:line="240" w:lineRule="auto"/>
        <w:jc w:val="center"/>
        <w:rPr>
          <w:rFonts w:eastAsia="Times New Roman" w:cs="Arial"/>
          <w:sz w:val="22"/>
          <w:lang w:eastAsia="fr-FR"/>
        </w:rPr>
      </w:pPr>
      <w:r w:rsidRPr="00954238">
        <w:rPr>
          <w:rFonts w:eastAsia="Times New Roman" w:cs="Arial"/>
          <w:sz w:val="22"/>
          <w:lang w:eastAsia="fr-FR"/>
        </w:rPr>
        <w:t>République Française,</w:t>
      </w:r>
    </w:p>
    <w:p w:rsidR="00954238" w:rsidRPr="00954238" w:rsidRDefault="00954238" w:rsidP="00C744AF">
      <w:pPr>
        <w:tabs>
          <w:tab w:val="center" w:pos="9072"/>
        </w:tabs>
        <w:spacing w:line="240" w:lineRule="auto"/>
        <w:jc w:val="center"/>
        <w:rPr>
          <w:rFonts w:eastAsia="Times New Roman" w:cs="Arial"/>
          <w:sz w:val="22"/>
          <w:lang w:eastAsia="fr-FR"/>
        </w:rPr>
      </w:pPr>
    </w:p>
    <w:p w:rsidR="00C744AF" w:rsidRPr="00954238" w:rsidRDefault="00BA4F93" w:rsidP="00C744AF">
      <w:pPr>
        <w:tabs>
          <w:tab w:val="center" w:pos="9072"/>
        </w:tabs>
        <w:spacing w:line="240" w:lineRule="auto"/>
        <w:jc w:val="center"/>
        <w:rPr>
          <w:rFonts w:eastAsia="Times New Roman" w:cs="Arial"/>
          <w:sz w:val="22"/>
          <w:lang w:eastAsia="fr-FR"/>
        </w:rPr>
      </w:pPr>
      <w:r w:rsidRPr="00954238">
        <w:rPr>
          <w:rFonts w:eastAsia="Times New Roman" w:cs="Arial"/>
          <w:sz w:val="22"/>
          <w:lang w:eastAsia="fr-FR"/>
        </w:rPr>
        <w:t>Au nom du peuple français,</w:t>
      </w:r>
    </w:p>
    <w:p w:rsidR="00C744AF" w:rsidRPr="00954238" w:rsidRDefault="00CC0AA9" w:rsidP="00C744AF">
      <w:pPr>
        <w:tabs>
          <w:tab w:val="center" w:pos="9072"/>
        </w:tabs>
        <w:spacing w:line="240" w:lineRule="auto"/>
        <w:jc w:val="center"/>
        <w:rPr>
          <w:rFonts w:eastAsia="Times New Roman" w:cs="Arial"/>
          <w:sz w:val="22"/>
          <w:lang w:eastAsia="fr-FR"/>
        </w:rPr>
      </w:pPr>
    </w:p>
    <w:p w:rsidR="00C744AF" w:rsidRPr="00954238" w:rsidRDefault="00BA4F93" w:rsidP="00C744AF">
      <w:pPr>
        <w:tabs>
          <w:tab w:val="center" w:pos="9072"/>
        </w:tabs>
        <w:spacing w:before="120" w:after="360" w:line="240" w:lineRule="auto"/>
        <w:jc w:val="center"/>
        <w:rPr>
          <w:rFonts w:eastAsia="Times New Roman" w:cs="Arial"/>
          <w:sz w:val="22"/>
          <w:lang w:eastAsia="fr-FR"/>
        </w:rPr>
      </w:pPr>
      <w:r w:rsidRPr="00954238">
        <w:rPr>
          <w:rFonts w:eastAsia="Times New Roman" w:cs="Arial"/>
          <w:sz w:val="22"/>
          <w:lang w:eastAsia="fr-FR"/>
        </w:rPr>
        <w:t>La Cour,</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 réquisitoire à fin d’instruction de charges du Procureur général n° 2009-12 RQ-DB du 12 janvier 2009 et son rectificatif du même jour</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la notification dudit réquisitoire et de son rectificatif, au trésorier payeur général pour l’étranger qui en a accusé réception respectivement les 15 avril et 19 juin 2009, à M. </w:t>
      </w:r>
      <w:r w:rsidR="00526D04">
        <w:rPr>
          <w:rFonts w:eastAsia="Times New Roman" w:cs="Arial"/>
          <w:sz w:val="22"/>
          <w:lang w:eastAsia="fr-FR"/>
        </w:rPr>
        <w:t>X</w:t>
      </w:r>
      <w:r w:rsidRPr="00954238">
        <w:rPr>
          <w:rFonts w:eastAsia="Times New Roman" w:cs="Arial"/>
          <w:sz w:val="22"/>
          <w:lang w:eastAsia="fr-FR"/>
        </w:rPr>
        <w:t>, agent comptable de l’Institut français de Tel-Aviv, qui a accusé réception du réquisitoire le 2 mai 2009 mais non du réquisitoire rectificatif ainsi qu’au secrétaire général du ministère des affaires étrangères et européennes qui en a accusé réception les 14 avril et 18 juin 2009</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l’arrêté conservatoire de débet en date 8 juillet 2005,</w:t>
      </w:r>
      <w:r w:rsidRPr="00954238">
        <w:rPr>
          <w:sz w:val="22"/>
        </w:rPr>
        <w:t xml:space="preserve"> </w:t>
      </w:r>
      <w:r w:rsidRPr="00954238">
        <w:rPr>
          <w:rFonts w:eastAsia="Times New Roman" w:cs="Arial"/>
          <w:sz w:val="22"/>
          <w:lang w:eastAsia="fr-FR"/>
        </w:rPr>
        <w:t>corrigé par une lettre du 12 janvier 2006, transmis à la Cour le 15 décembre 2008, par lequel le trésorier-payeur général pour l'étranger,</w:t>
      </w:r>
      <w:r w:rsidRPr="00954238">
        <w:rPr>
          <w:sz w:val="22"/>
        </w:rPr>
        <w:t xml:space="preserve"> </w:t>
      </w:r>
      <w:r w:rsidRPr="00954238">
        <w:rPr>
          <w:rFonts w:eastAsia="Times New Roman" w:cs="Arial"/>
          <w:sz w:val="22"/>
          <w:lang w:eastAsia="fr-FR"/>
        </w:rPr>
        <w:t>chargé de l’apurement des comptes des établissements de diffusion culturelle à l’étranger, a mis en jeu la responsabilité de M. </w:t>
      </w:r>
      <w:r w:rsidR="00526D04">
        <w:rPr>
          <w:rFonts w:eastAsia="Times New Roman" w:cs="Arial"/>
          <w:sz w:val="22"/>
          <w:lang w:eastAsia="fr-FR"/>
        </w:rPr>
        <w:t>X</w:t>
      </w:r>
      <w:r w:rsidRPr="00954238">
        <w:rPr>
          <w:rFonts w:eastAsia="Times New Roman" w:cs="Arial"/>
          <w:sz w:val="22"/>
          <w:lang w:eastAsia="fr-FR"/>
        </w:rPr>
        <w:t xml:space="preserve"> au titre de l’exercice 1998</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 bordereau d’observations puis celui d’injonctions, du 17 mai 2005, du trésorier payeur général pour l’étranger, ensemble les réponses du comptable et leurs pièces justificatives, visés au réquisitoire du 12 janvier 2009 et son rectificatif précités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 xml:space="preserve">Vu le mémoire de M. </w:t>
      </w:r>
      <w:r w:rsidR="00526D04">
        <w:rPr>
          <w:rFonts w:eastAsia="Times New Roman" w:cs="Arial"/>
          <w:sz w:val="22"/>
          <w:lang w:eastAsia="fr-FR"/>
        </w:rPr>
        <w:t>X</w:t>
      </w:r>
      <w:r w:rsidRPr="00954238">
        <w:rPr>
          <w:rFonts w:eastAsia="Times New Roman" w:cs="Arial"/>
          <w:sz w:val="22"/>
          <w:lang w:eastAsia="fr-FR"/>
        </w:rPr>
        <w:t xml:space="preserve"> du 9 mai 2015</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 code des juridictions financières</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l’article 60 de la loi de finances n° 63-156 du 23 février 1963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l’article 125 de la loi n° 2004-1485 du 30 décembre 2004 de finances rectificative pour</w:t>
      </w:r>
      <w:r w:rsidR="007F3DB6">
        <w:rPr>
          <w:rFonts w:eastAsia="Times New Roman" w:cs="Arial"/>
          <w:sz w:val="22"/>
          <w:lang w:eastAsia="fr-FR"/>
        </w:rPr>
        <w:t xml:space="preserve"> </w:t>
      </w:r>
      <w:r w:rsidRPr="00954238">
        <w:rPr>
          <w:rFonts w:eastAsia="Times New Roman" w:cs="Arial"/>
          <w:sz w:val="22"/>
          <w:lang w:eastAsia="fr-FR"/>
        </w:rPr>
        <w:t>2004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l’article 146 de la loi n° 2006-1771 du 30 décembre 2006 de finances rectificative pour</w:t>
      </w:r>
      <w:r w:rsidR="007F3DB6">
        <w:rPr>
          <w:rFonts w:eastAsia="Times New Roman" w:cs="Arial"/>
          <w:sz w:val="22"/>
          <w:lang w:eastAsia="fr-FR"/>
        </w:rPr>
        <w:t xml:space="preserve"> </w:t>
      </w:r>
      <w:r w:rsidRPr="00954238">
        <w:rPr>
          <w:rFonts w:eastAsia="Times New Roman" w:cs="Arial"/>
          <w:sz w:val="22"/>
          <w:lang w:eastAsia="fr-FR"/>
        </w:rPr>
        <w:t>2006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les articles 32 à 34 de la loi n° 2008-191 du 28 octobre 2008 relative à la Cour des comptes et aux chambres régionales des comptes</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lastRenderedPageBreak/>
        <w:t>Vu l’article 109 de la loi n°</w:t>
      </w:r>
      <w:r w:rsidR="00954238">
        <w:rPr>
          <w:rFonts w:eastAsia="Times New Roman" w:cs="Arial"/>
          <w:sz w:val="22"/>
          <w:lang w:eastAsia="fr-FR"/>
        </w:rPr>
        <w:t> </w:t>
      </w:r>
      <w:r w:rsidRPr="00954238">
        <w:rPr>
          <w:rFonts w:eastAsia="Times New Roman" w:cs="Arial"/>
          <w:sz w:val="22"/>
          <w:lang w:eastAsia="fr-FR"/>
        </w:rPr>
        <w:t>2009-1674 du 30 décembre 2009 de finances rectificative pour</w:t>
      </w:r>
      <w:r w:rsidR="007F3DB6">
        <w:rPr>
          <w:rFonts w:eastAsia="Times New Roman" w:cs="Arial"/>
          <w:sz w:val="22"/>
          <w:lang w:eastAsia="fr-FR"/>
        </w:rPr>
        <w:t xml:space="preserve"> </w:t>
      </w:r>
      <w:r w:rsidRPr="00954238">
        <w:rPr>
          <w:rFonts w:eastAsia="Times New Roman" w:cs="Arial"/>
          <w:sz w:val="22"/>
          <w:lang w:eastAsia="fr-FR"/>
        </w:rPr>
        <w:t>2009</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 décret n° 2008-228 du 5 mars 2008 relatif à la constatation et à l'apurement des débets des comptables publics et assimilés</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les lois et règlements applicables aux établissements de diffusion culturelle à l'étranger dotés de l'autonomie financière, notamment le décret n° 76-832 du 24 août 1976 relatif à l'organisation financière de certains établissements ou organismes de diffusion culturelle dépendant du ministère des affaires étrangères et du ministère de la coopération modifié, ainsi que ses textes d'application</w:t>
      </w:r>
      <w:r w:rsidR="007F3DB6">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 rapport de M</w:t>
      </w:r>
      <w:r w:rsidRPr="007F3DB6">
        <w:rPr>
          <w:rFonts w:eastAsia="Times New Roman" w:cs="Arial"/>
          <w:sz w:val="22"/>
          <w:vertAlign w:val="superscript"/>
          <w:lang w:eastAsia="fr-FR"/>
        </w:rPr>
        <w:t>me</w:t>
      </w:r>
      <w:r w:rsidRPr="00954238">
        <w:rPr>
          <w:rFonts w:eastAsia="Times New Roman" w:cs="Arial"/>
          <w:sz w:val="22"/>
          <w:lang w:eastAsia="fr-FR"/>
        </w:rPr>
        <w:t xml:space="preserve"> Marie-Aimée GASPARI, conseillère référendaire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Vu les conclusions du Procureur général près la Cour des comptes n° 734 du 16 novembre 2015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Entendu, lors de l'audience de ce jour, M</w:t>
      </w:r>
      <w:r w:rsidRPr="007F3DB6">
        <w:rPr>
          <w:rFonts w:eastAsia="Times New Roman" w:cs="Arial"/>
          <w:sz w:val="22"/>
          <w:vertAlign w:val="superscript"/>
          <w:lang w:eastAsia="fr-FR"/>
        </w:rPr>
        <w:t>me</w:t>
      </w:r>
      <w:r w:rsidRPr="00954238">
        <w:rPr>
          <w:rFonts w:eastAsia="Times New Roman" w:cs="Arial"/>
          <w:sz w:val="22"/>
          <w:lang w:eastAsia="fr-FR"/>
        </w:rPr>
        <w:t xml:space="preserve"> GASPARI, en son rapport, M.</w:t>
      </w:r>
      <w:r w:rsidR="007F3DB6">
        <w:rPr>
          <w:rFonts w:eastAsia="Times New Roman" w:cs="Arial"/>
          <w:sz w:val="22"/>
          <w:lang w:eastAsia="fr-FR"/>
        </w:rPr>
        <w:t xml:space="preserve"> </w:t>
      </w:r>
      <w:r w:rsidRPr="00954238">
        <w:rPr>
          <w:rFonts w:eastAsia="Times New Roman" w:cs="Arial"/>
          <w:sz w:val="22"/>
          <w:lang w:eastAsia="fr-FR"/>
        </w:rPr>
        <w:t>Christian</w:t>
      </w:r>
      <w:r w:rsidR="007F3DB6">
        <w:rPr>
          <w:rFonts w:eastAsia="Times New Roman" w:cs="Arial"/>
          <w:sz w:val="22"/>
          <w:lang w:eastAsia="fr-FR"/>
        </w:rPr>
        <w:t xml:space="preserve"> </w:t>
      </w:r>
      <w:r w:rsidRPr="00954238">
        <w:rPr>
          <w:rFonts w:eastAsia="Times New Roman" w:cs="Arial"/>
          <w:sz w:val="22"/>
          <w:lang w:eastAsia="fr-FR"/>
        </w:rPr>
        <w:t>MICHAUT, avocat général, en les conclusions du ministère public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Entendu en délibéré M.</w:t>
      </w:r>
      <w:r w:rsidR="00954238">
        <w:rPr>
          <w:rFonts w:eastAsia="Times New Roman" w:cs="Arial"/>
          <w:sz w:val="22"/>
          <w:lang w:eastAsia="fr-FR"/>
        </w:rPr>
        <w:t> </w:t>
      </w:r>
      <w:r w:rsidRPr="00954238">
        <w:rPr>
          <w:rFonts w:eastAsia="Times New Roman" w:cs="Arial"/>
          <w:sz w:val="22"/>
          <w:lang w:eastAsia="fr-FR"/>
        </w:rPr>
        <w:t>Gérard GANSER, conseiller maître, en ses observations ;</w:t>
      </w:r>
    </w:p>
    <w:p w:rsidR="00511ACF" w:rsidRPr="007F3DB6" w:rsidRDefault="00511ACF" w:rsidP="00511ACF">
      <w:pPr>
        <w:spacing w:before="240" w:after="240" w:line="240" w:lineRule="auto"/>
        <w:jc w:val="center"/>
        <w:rPr>
          <w:rFonts w:eastAsia="Times New Roman" w:cs="Arial"/>
          <w:b/>
          <w:i/>
          <w:sz w:val="22"/>
          <w:lang w:eastAsia="fr-FR"/>
        </w:rPr>
      </w:pPr>
    </w:p>
    <w:p w:rsidR="00511ACF" w:rsidRPr="00954238" w:rsidRDefault="00511ACF" w:rsidP="00511ACF">
      <w:pPr>
        <w:spacing w:before="240" w:after="240" w:line="240" w:lineRule="auto"/>
        <w:jc w:val="both"/>
        <w:rPr>
          <w:rFonts w:eastAsia="Times New Roman" w:cs="Arial"/>
          <w:b/>
          <w:i/>
          <w:sz w:val="22"/>
          <w:lang w:eastAsia="fr-FR"/>
        </w:rPr>
      </w:pPr>
      <w:r w:rsidRPr="00954238">
        <w:rPr>
          <w:rFonts w:eastAsia="Times New Roman" w:cs="Arial"/>
          <w:b/>
          <w:i/>
          <w:sz w:val="22"/>
          <w:lang w:eastAsia="fr-FR"/>
        </w:rPr>
        <w:t xml:space="preserve">Sur les présomptions de charges soulevées à l’encontre de M. </w:t>
      </w:r>
      <w:r w:rsidR="00526D04">
        <w:rPr>
          <w:rFonts w:eastAsia="Times New Roman" w:cs="Arial"/>
          <w:b/>
          <w:i/>
          <w:sz w:val="22"/>
          <w:lang w:eastAsia="fr-FR"/>
        </w:rPr>
        <w:t>X</w:t>
      </w:r>
      <w:r w:rsidRPr="00954238">
        <w:rPr>
          <w:rFonts w:eastAsia="Times New Roman" w:cs="Arial"/>
          <w:b/>
          <w:i/>
          <w:sz w:val="22"/>
          <w:lang w:eastAsia="fr-FR"/>
        </w:rPr>
        <w:t xml:space="preserve"> au titre de l’exercice 1998</w:t>
      </w:r>
    </w:p>
    <w:p w:rsidR="00511ACF" w:rsidRPr="00954238" w:rsidRDefault="00511ACF" w:rsidP="00511ACF">
      <w:pPr>
        <w:spacing w:before="240" w:after="240" w:line="240" w:lineRule="auto"/>
        <w:jc w:val="both"/>
        <w:rPr>
          <w:rFonts w:eastAsia="Times New Roman" w:cs="Arial"/>
          <w:b/>
          <w:i/>
          <w:sz w:val="22"/>
          <w:lang w:eastAsia="fr-FR"/>
        </w:rPr>
      </w:pPr>
      <w:r w:rsidRPr="00954238">
        <w:rPr>
          <w:rFonts w:eastAsia="Times New Roman" w:cs="Arial"/>
          <w:sz w:val="22"/>
          <w:lang w:eastAsia="fr-FR"/>
        </w:rPr>
        <w:t>Attendu que la Cour est saisie à l’encontre de M. </w:t>
      </w:r>
      <w:r w:rsidR="00526D04">
        <w:rPr>
          <w:rFonts w:eastAsia="Times New Roman" w:cs="Arial"/>
          <w:sz w:val="22"/>
          <w:lang w:eastAsia="fr-FR"/>
        </w:rPr>
        <w:t>X</w:t>
      </w:r>
      <w:r w:rsidRPr="00954238">
        <w:rPr>
          <w:rFonts w:eastAsia="Times New Roman" w:cs="Arial"/>
          <w:sz w:val="22"/>
          <w:lang w:eastAsia="fr-FR"/>
        </w:rPr>
        <w:t xml:space="preserve"> de six présomptions de charges, au titre de l’exercice 1998, portant sur un montant total de 55 753,06 € et relatives à des ordres de recettes non recouvrés et dépourvus de références, au paiement, sans pièces justificatives, de diverses dépenses et aux conditions d’admission en non-valeur de créances ;</w:t>
      </w:r>
    </w:p>
    <w:p w:rsidR="00511ACF" w:rsidRPr="00954238" w:rsidRDefault="00511ACF" w:rsidP="00511ACF">
      <w:pPr>
        <w:spacing w:before="240" w:after="240" w:line="240" w:lineRule="auto"/>
        <w:jc w:val="both"/>
        <w:rPr>
          <w:rFonts w:eastAsia="Times New Roman" w:cs="Arial"/>
          <w:b/>
          <w:i/>
          <w:sz w:val="22"/>
          <w:lang w:eastAsia="fr-FR"/>
        </w:rPr>
      </w:pPr>
      <w:r w:rsidRPr="00954238">
        <w:rPr>
          <w:rFonts w:eastAsia="Times New Roman" w:cs="Arial"/>
          <w:b/>
          <w:i/>
          <w:sz w:val="22"/>
          <w:lang w:eastAsia="fr-FR"/>
        </w:rPr>
        <w:t>Sur la prescription de la mise en jeu de la responsabilité pécuniaire et personnelle du comptable</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dans son réquisitoire susvisé du 12 janvier 2009, le procureur général considère que l’arrêté conservatoire de débet en date 8 juillet 2005 susvisé a eu pour effet « </w:t>
      </w:r>
      <w:r w:rsidRPr="00954238">
        <w:rPr>
          <w:rFonts w:eastAsia="Times New Roman" w:cs="Arial"/>
          <w:i/>
          <w:sz w:val="22"/>
          <w:lang w:eastAsia="fr-FR"/>
        </w:rPr>
        <w:t>d’interrompre la prescription de six ans alors en vigueur pour la responsabilité des comptables publics, en application de l’article 125 de la loi de finances rectificative du 30</w:t>
      </w:r>
      <w:r w:rsidR="007F3DB6">
        <w:rPr>
          <w:rFonts w:eastAsia="Times New Roman" w:cs="Arial"/>
          <w:i/>
          <w:sz w:val="22"/>
          <w:lang w:eastAsia="fr-FR"/>
        </w:rPr>
        <w:t xml:space="preserve"> </w:t>
      </w:r>
      <w:r w:rsidRPr="00954238">
        <w:rPr>
          <w:rFonts w:eastAsia="Times New Roman" w:cs="Arial"/>
          <w:i/>
          <w:sz w:val="22"/>
          <w:lang w:eastAsia="fr-FR"/>
        </w:rPr>
        <w:t>décembre</w:t>
      </w:r>
      <w:r w:rsidR="007F3DB6">
        <w:rPr>
          <w:rFonts w:eastAsia="Times New Roman" w:cs="Arial"/>
          <w:i/>
          <w:sz w:val="22"/>
          <w:lang w:eastAsia="fr-FR"/>
        </w:rPr>
        <w:t xml:space="preserve"> </w:t>
      </w:r>
      <w:r w:rsidRPr="00954238">
        <w:rPr>
          <w:rFonts w:eastAsia="Times New Roman" w:cs="Arial"/>
          <w:i/>
          <w:sz w:val="22"/>
          <w:lang w:eastAsia="fr-FR"/>
        </w:rPr>
        <w:t>2004</w:t>
      </w:r>
      <w:r w:rsidRPr="00954238">
        <w:rPr>
          <w:rFonts w:eastAsia="Times New Roman" w:cs="Arial"/>
          <w:sz w:val="22"/>
          <w:lang w:eastAsia="fr-FR"/>
        </w:rPr>
        <w:t> »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la question de la prescription est ainsi soumise au débat contradictoire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l’article 125 de la loi du 30 décembre 2004 susvisée a modifié le V de l’article 60 de la loi du 23 février 1963 ; que les 2</w:t>
      </w:r>
      <w:r w:rsidRPr="00954238">
        <w:rPr>
          <w:rFonts w:eastAsia="Times New Roman" w:cs="Arial"/>
          <w:sz w:val="22"/>
          <w:vertAlign w:val="superscript"/>
          <w:lang w:eastAsia="fr-FR"/>
        </w:rPr>
        <w:t>ème</w:t>
      </w:r>
      <w:r w:rsidRPr="00954238">
        <w:rPr>
          <w:rFonts w:eastAsia="Times New Roman" w:cs="Arial"/>
          <w:sz w:val="22"/>
          <w:lang w:eastAsia="fr-FR"/>
        </w:rPr>
        <w:t xml:space="preserve"> et 3</w:t>
      </w:r>
      <w:r w:rsidRPr="00954238">
        <w:rPr>
          <w:rFonts w:eastAsia="Times New Roman" w:cs="Arial"/>
          <w:sz w:val="22"/>
          <w:vertAlign w:val="superscript"/>
          <w:lang w:eastAsia="fr-FR"/>
        </w:rPr>
        <w:t>ème</w:t>
      </w:r>
      <w:r w:rsidRPr="00954238">
        <w:rPr>
          <w:rFonts w:eastAsia="Times New Roman" w:cs="Arial"/>
          <w:sz w:val="22"/>
          <w:lang w:eastAsia="fr-FR"/>
        </w:rPr>
        <w:t xml:space="preserve"> alinéa de ce V, applicables à compter du 1</w:t>
      </w:r>
      <w:r w:rsidRPr="00954238">
        <w:rPr>
          <w:rFonts w:eastAsia="Times New Roman" w:cs="Arial"/>
          <w:sz w:val="22"/>
          <w:vertAlign w:val="superscript"/>
          <w:lang w:eastAsia="fr-FR"/>
        </w:rPr>
        <w:t>er</w:t>
      </w:r>
      <w:r w:rsidR="007F3DB6">
        <w:rPr>
          <w:rFonts w:eastAsia="Times New Roman" w:cs="Arial"/>
          <w:sz w:val="22"/>
          <w:lang w:eastAsia="fr-FR"/>
        </w:rPr>
        <w:t xml:space="preserve"> </w:t>
      </w:r>
      <w:r w:rsidRPr="00954238">
        <w:rPr>
          <w:rFonts w:eastAsia="Times New Roman" w:cs="Arial"/>
          <w:sz w:val="22"/>
          <w:lang w:eastAsia="fr-FR"/>
        </w:rPr>
        <w:t>janvier</w:t>
      </w:r>
      <w:r w:rsidR="007F3DB6">
        <w:rPr>
          <w:rFonts w:eastAsia="Times New Roman" w:cs="Arial"/>
          <w:sz w:val="22"/>
          <w:lang w:eastAsia="fr-FR"/>
        </w:rPr>
        <w:t xml:space="preserve"> </w:t>
      </w:r>
      <w:r w:rsidRPr="00954238">
        <w:rPr>
          <w:rFonts w:eastAsia="Times New Roman" w:cs="Arial"/>
          <w:sz w:val="22"/>
          <w:lang w:eastAsia="fr-FR"/>
        </w:rPr>
        <w:t>2005, ont été désormais les suivants :</w:t>
      </w:r>
      <w:r w:rsidRPr="00954238">
        <w:rPr>
          <w:rFonts w:eastAsia="Times New Roman" w:cs="Arial"/>
          <w:i/>
          <w:sz w:val="22"/>
          <w:lang w:eastAsia="fr-FR"/>
        </w:rPr>
        <w:t xml:space="preserve"> </w:t>
      </w:r>
      <w:r w:rsidRPr="007F3DB6">
        <w:rPr>
          <w:rFonts w:eastAsia="Times New Roman" w:cs="Arial"/>
          <w:sz w:val="22"/>
          <w:lang w:eastAsia="fr-FR"/>
        </w:rPr>
        <w:t>« </w:t>
      </w:r>
      <w:r w:rsidRPr="00954238">
        <w:rPr>
          <w:rFonts w:eastAsia="Times New Roman" w:cs="Arial"/>
          <w:i/>
          <w:sz w:val="22"/>
          <w:lang w:eastAsia="fr-FR"/>
        </w:rPr>
        <w:t>Le premier acte de la mise en jeu de la responsabilité ne peut plus intervenir au-delà du 31 décembre de la sixième année suivant celle au cours de laquelle le comptable a produit ses comptes au juge des comptes ou, lorsqu'il n'est pas tenu à cette obligation, celle au cours de laquelle il a produit les justifications de ses opérations</w:t>
      </w:r>
      <w:r w:rsidRPr="007F3DB6">
        <w:rPr>
          <w:rFonts w:eastAsia="Times New Roman" w:cs="Arial"/>
          <w:sz w:val="22"/>
          <w:lang w:eastAsia="fr-FR"/>
        </w:rPr>
        <w:t> »</w:t>
      </w:r>
      <w:r w:rsidRPr="00954238">
        <w:rPr>
          <w:rFonts w:eastAsia="Times New Roman" w:cs="Arial"/>
          <w:i/>
          <w:sz w:val="22"/>
          <w:lang w:eastAsia="fr-FR"/>
        </w:rPr>
        <w:t xml:space="preserve"> ; </w:t>
      </w:r>
      <w:r w:rsidRPr="007F3DB6">
        <w:rPr>
          <w:rFonts w:eastAsia="Times New Roman" w:cs="Arial"/>
          <w:sz w:val="22"/>
          <w:lang w:eastAsia="fr-FR"/>
        </w:rPr>
        <w:t>« </w:t>
      </w:r>
      <w:r w:rsidRPr="00954238">
        <w:rPr>
          <w:rFonts w:eastAsia="Times New Roman" w:cs="Arial"/>
          <w:i/>
          <w:sz w:val="22"/>
          <w:lang w:eastAsia="fr-FR"/>
        </w:rPr>
        <w:t>Dès lors qu'aucune charge provisoire n'a été notifiée dans ce délai à son encontre, le comptable est déchargé de sa gestion au titre de l'exercice concerné</w:t>
      </w:r>
      <w:r w:rsidRPr="00954238">
        <w:rPr>
          <w:rFonts w:eastAsia="Times New Roman" w:cs="Arial"/>
          <w:sz w:val="22"/>
          <w:lang w:eastAsia="fr-FR"/>
        </w:rPr>
        <w:t>… » ;</w:t>
      </w:r>
      <w:r w:rsidRPr="00954238">
        <w:rPr>
          <w:sz w:val="22"/>
        </w:rPr>
        <w:t xml:space="preserve"> </w:t>
      </w:r>
      <w:r w:rsidRPr="00954238">
        <w:rPr>
          <w:rFonts w:cs="Arial"/>
          <w:sz w:val="22"/>
        </w:rPr>
        <w:t>que le III de ce même article 125 précisait que « </w:t>
      </w:r>
      <w:r w:rsidRPr="00954238">
        <w:rPr>
          <w:rFonts w:eastAsia="Times New Roman" w:cs="Arial"/>
          <w:i/>
          <w:sz w:val="22"/>
          <w:lang w:eastAsia="fr-FR"/>
        </w:rPr>
        <w:t>Pour les comptes et les justifications des opérations qui ont été produits avant l'entrée en vigueur de la présente loi, le délai résultant du I est décompté à partir de la production de ces comptes ou de ces justifications</w:t>
      </w:r>
      <w:r w:rsidRPr="00954238">
        <w:rPr>
          <w:rFonts w:eastAsia="Times New Roman" w:cs="Arial"/>
          <w:sz w:val="22"/>
          <w:lang w:eastAsia="fr-FR"/>
        </w:rPr>
        <w:t> » ; qu’ainsi le législateur a explicitement donné, en 2004, une portée rétroactive à ce nouveau délai de prescription de six ans qui s’est substitué au précédent délai qui était de dix ans ;</w:t>
      </w:r>
    </w:p>
    <w:p w:rsidR="00511ACF" w:rsidRPr="00954238" w:rsidRDefault="00511ACF" w:rsidP="00511ACF">
      <w:pPr>
        <w:spacing w:line="23" w:lineRule="atLeast"/>
        <w:jc w:val="both"/>
        <w:rPr>
          <w:rFonts w:eastAsia="Times New Roman" w:cs="Arial"/>
          <w:i/>
          <w:sz w:val="22"/>
          <w:lang w:eastAsia="fr-FR"/>
        </w:rPr>
      </w:pPr>
      <w:r w:rsidRPr="00954238">
        <w:rPr>
          <w:rFonts w:eastAsia="Times New Roman" w:cs="Arial"/>
          <w:sz w:val="22"/>
          <w:lang w:eastAsia="fr-FR"/>
        </w:rPr>
        <w:lastRenderedPageBreak/>
        <w:t>Attendu que l’article 146 de la loi du 30 décembre 2006 susvisée a modifié la structure de l’article 60 de la loi du 23 février 1963, le V devenant IV ; que ce même article a complété ce</w:t>
      </w:r>
      <w:r w:rsidR="007F3DB6">
        <w:rPr>
          <w:rFonts w:eastAsia="Times New Roman" w:cs="Arial"/>
          <w:sz w:val="22"/>
          <w:lang w:eastAsia="fr-FR"/>
        </w:rPr>
        <w:t xml:space="preserve"> </w:t>
      </w:r>
      <w:r w:rsidRPr="00954238">
        <w:rPr>
          <w:rFonts w:eastAsia="Times New Roman" w:cs="Arial"/>
          <w:sz w:val="22"/>
          <w:lang w:eastAsia="fr-FR"/>
        </w:rPr>
        <w:t xml:space="preserve">IV en y introduisant un nouvel alinéa ainsi rédigé : </w:t>
      </w:r>
      <w:r w:rsidRPr="007F3DB6">
        <w:rPr>
          <w:rFonts w:eastAsia="Times New Roman" w:cs="Arial"/>
          <w:sz w:val="22"/>
          <w:lang w:eastAsia="fr-FR"/>
        </w:rPr>
        <w:t>« </w:t>
      </w:r>
      <w:r w:rsidRPr="00954238">
        <w:rPr>
          <w:rFonts w:eastAsia="Times New Roman" w:cs="Arial"/>
          <w:i/>
          <w:sz w:val="22"/>
          <w:lang w:eastAsia="fr-FR"/>
        </w:rPr>
        <w:t xml:space="preserve">Pour les comptes et les justifications des opérations qui ont été produits au plus tard le 31 décembre 2004, le délai prévu à l’alinéa précédent </w:t>
      </w:r>
      <w:r w:rsidRPr="00954238">
        <w:rPr>
          <w:rFonts w:eastAsia="Times New Roman" w:cs="Arial"/>
          <w:sz w:val="22"/>
          <w:lang w:eastAsia="fr-FR"/>
        </w:rPr>
        <w:t>[six ans]</w:t>
      </w:r>
      <w:r w:rsidRPr="00954238">
        <w:rPr>
          <w:rFonts w:eastAsia="Times New Roman" w:cs="Arial"/>
          <w:i/>
          <w:sz w:val="22"/>
          <w:lang w:eastAsia="fr-FR"/>
        </w:rPr>
        <w:t xml:space="preserve"> est décompté à partir de la production de ces comptes ou justifications</w:t>
      </w:r>
      <w:r w:rsidRPr="007F3DB6">
        <w:rPr>
          <w:rFonts w:eastAsia="Times New Roman" w:cs="Arial"/>
          <w:sz w:val="22"/>
          <w:lang w:eastAsia="fr-FR"/>
        </w:rPr>
        <w:t> »</w:t>
      </w:r>
      <w:r w:rsidRPr="00954238">
        <w:rPr>
          <w:rFonts w:eastAsia="Times New Roman" w:cs="Arial"/>
          <w:i/>
          <w:sz w:val="22"/>
          <w:lang w:eastAsia="fr-FR"/>
        </w:rPr>
        <w:t xml:space="preserve"> ; </w:t>
      </w:r>
      <w:r w:rsidRPr="00954238">
        <w:rPr>
          <w:rFonts w:eastAsia="Times New Roman" w:cs="Arial"/>
          <w:sz w:val="22"/>
          <w:lang w:eastAsia="fr-FR"/>
        </w:rPr>
        <w:t>qu’en insérant ainsi le III de l’article 125 de la loi du 30 décembre 2004 dans l’article 60 de la loi du 23 février 1963, le législateur a confirmé la portée rétroactive du nouveau délai de prescription de six ans qu’il avait institué en 2004</w:t>
      </w:r>
      <w:r w:rsidRPr="00954238">
        <w:rPr>
          <w:rFonts w:eastAsia="Times New Roman" w:cs="Arial"/>
          <w:i/>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les comptes de l’exercice 1998 ont été produits en 1999 au trésorie</w:t>
      </w:r>
      <w:r w:rsidR="00B91F0F">
        <w:rPr>
          <w:rFonts w:eastAsia="Times New Roman" w:cs="Arial"/>
          <w:sz w:val="22"/>
          <w:lang w:eastAsia="fr-FR"/>
        </w:rPr>
        <w:t>r-</w:t>
      </w:r>
      <w:r w:rsidRPr="00954238">
        <w:rPr>
          <w:rFonts w:eastAsia="Times New Roman" w:cs="Arial"/>
          <w:sz w:val="22"/>
          <w:lang w:eastAsia="fr-FR"/>
        </w:rPr>
        <w:t xml:space="preserve">payeur général pour l’étranger chargé de les apurer qui en a accusé réception le 19 novembre 1999 ;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le bordereau d’injonctions daté du 17 mai 2005 susvisé est le premier acte qui a mis en cause la responsabilité pécuniaire et personnelle de M.</w:t>
      </w:r>
      <w:r w:rsidR="00954238">
        <w:rPr>
          <w:rFonts w:eastAsia="Times New Roman" w:cs="Arial"/>
          <w:sz w:val="22"/>
          <w:lang w:eastAsia="fr-FR"/>
        </w:rPr>
        <w:t> </w:t>
      </w:r>
      <w:r w:rsidR="00526D04">
        <w:rPr>
          <w:rFonts w:eastAsia="Times New Roman" w:cs="Arial"/>
          <w:sz w:val="22"/>
          <w:lang w:eastAsia="fr-FR"/>
        </w:rPr>
        <w:t>X</w:t>
      </w:r>
      <w:r w:rsidRPr="00954238">
        <w:rPr>
          <w:rFonts w:eastAsia="Times New Roman" w:cs="Arial"/>
          <w:sz w:val="22"/>
          <w:lang w:eastAsia="fr-FR"/>
        </w:rPr>
        <w:t>, agent comptable de l’Institut français de Tel-Aviv, au titre de l’exercice 1998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le ministère public soutient, dans son réquisitoire comme dans ses conclusions, que l’arrêté conservatoire de débet daté du 8 juillet 2005, qui a suivi le bordereau d’injonctions daté du 17 mai 2005, est antérieur au 31 décembre 2005 ; qu’il est donc valablement intervenu avant la fin de la sixième année suivant celle où le comptable avait produit ses comptes, soit avant l’expiration du délai de prescription alors en vigueur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les articles 32 à 34 de la loi n° 2008-191 du 28 octobre 2008 susvisée, entrée en vigueur au 1</w:t>
      </w:r>
      <w:r w:rsidRPr="00954238">
        <w:rPr>
          <w:rFonts w:eastAsia="Times New Roman" w:cs="Arial"/>
          <w:sz w:val="22"/>
          <w:vertAlign w:val="superscript"/>
          <w:lang w:eastAsia="fr-FR"/>
        </w:rPr>
        <w:t>er</w:t>
      </w:r>
      <w:r w:rsidRPr="00954238">
        <w:rPr>
          <w:rFonts w:eastAsia="Times New Roman" w:cs="Arial"/>
          <w:sz w:val="22"/>
          <w:lang w:eastAsia="fr-FR"/>
        </w:rPr>
        <w:t xml:space="preserve"> janvier 2009, ont réduit le délai de prescription de six ans à cinq ans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qu’en application du I de l’article 109 de la loi du 30 décembre 2009 susvisée, les 2</w:t>
      </w:r>
      <w:r w:rsidRPr="00954238">
        <w:rPr>
          <w:rFonts w:eastAsia="Times New Roman" w:cs="Arial"/>
          <w:sz w:val="22"/>
          <w:vertAlign w:val="superscript"/>
          <w:lang w:eastAsia="fr-FR"/>
        </w:rPr>
        <w:t>ème</w:t>
      </w:r>
      <w:r w:rsidRPr="00954238">
        <w:rPr>
          <w:rFonts w:eastAsia="Times New Roman" w:cs="Arial"/>
          <w:sz w:val="22"/>
          <w:lang w:eastAsia="fr-FR"/>
        </w:rPr>
        <w:t xml:space="preserve"> et 3</w:t>
      </w:r>
      <w:r w:rsidRPr="00954238">
        <w:rPr>
          <w:rFonts w:eastAsia="Times New Roman" w:cs="Arial"/>
          <w:sz w:val="22"/>
          <w:vertAlign w:val="superscript"/>
          <w:lang w:eastAsia="fr-FR"/>
        </w:rPr>
        <w:t>ème</w:t>
      </w:r>
      <w:r w:rsidRPr="00954238">
        <w:rPr>
          <w:rFonts w:eastAsia="Times New Roman" w:cs="Arial"/>
          <w:sz w:val="22"/>
          <w:lang w:eastAsia="fr-FR"/>
        </w:rPr>
        <w:t xml:space="preserve"> alinéa du IV de l’article 60 de la loi de 1963 en vigueur à compter du 1</w:t>
      </w:r>
      <w:r w:rsidRPr="00954238">
        <w:rPr>
          <w:rFonts w:eastAsia="Times New Roman" w:cs="Arial"/>
          <w:sz w:val="22"/>
          <w:vertAlign w:val="superscript"/>
          <w:lang w:eastAsia="fr-FR"/>
        </w:rPr>
        <w:t>er</w:t>
      </w:r>
      <w:r w:rsidRPr="00954238">
        <w:rPr>
          <w:rFonts w:eastAsia="Times New Roman" w:cs="Arial"/>
          <w:sz w:val="22"/>
          <w:lang w:eastAsia="fr-FR"/>
        </w:rPr>
        <w:t xml:space="preserve"> janvier 2010 sont devenus les suivants : « </w:t>
      </w:r>
      <w:r w:rsidRPr="00954238">
        <w:rPr>
          <w:rFonts w:eastAsia="Times New Roman" w:cs="Arial"/>
          <w:i/>
          <w:sz w:val="22"/>
          <w:lang w:eastAsia="fr-FR"/>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sidRPr="00954238">
        <w:rPr>
          <w:rFonts w:eastAsia="Times New Roman" w:cs="Arial"/>
          <w:sz w:val="22"/>
          <w:lang w:eastAsia="fr-FR"/>
        </w:rPr>
        <w:t> », « </w:t>
      </w:r>
      <w:r w:rsidRPr="00954238">
        <w:rPr>
          <w:rFonts w:eastAsia="Times New Roman" w:cs="Arial"/>
          <w:i/>
          <w:sz w:val="22"/>
          <w:lang w:eastAsia="fr-FR"/>
        </w:rPr>
        <w:t>Dès lors qu'aucune charge n'a été notifiée dans ce délai à son encontre, le comptable est déchargé de sa gestion au titre de l'exercice concerné. Dans le cas où le comptable est sorti de fonction au cours de cet exercice et si aucune charge n'existe ou ne subsiste à son encontre pour l'ensemble de sa gestion, il est quitte de cette gestion</w:t>
      </w:r>
      <w:r w:rsidR="007F3DB6">
        <w:rPr>
          <w:rFonts w:eastAsia="Times New Roman" w:cs="Arial"/>
          <w:sz w:val="22"/>
          <w:lang w:eastAsia="fr-FR"/>
        </w:rPr>
        <w:t> »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selon le II de ce même article 109, « </w:t>
      </w:r>
      <w:r w:rsidRPr="00954238">
        <w:rPr>
          <w:rFonts w:eastAsia="Times New Roman" w:cs="Arial"/>
          <w:i/>
          <w:sz w:val="22"/>
          <w:lang w:eastAsia="fr-FR"/>
        </w:rPr>
        <w:t>Le délai prévu au deuxième alinéa du IV de l'article 60 de la loi de finances pour 1963 précitée s'applique aux comptes produits avant l'entrée en vigueur de la loi n° 2008-1091 du 28 octobre 2008 relative à la Cour des comptes et aux chambres régionales des comptes</w:t>
      </w:r>
      <w:r w:rsidRPr="00954238">
        <w:rPr>
          <w:rFonts w:eastAsia="Times New Roman" w:cs="Arial"/>
          <w:sz w:val="22"/>
          <w:lang w:eastAsia="fr-FR"/>
        </w:rPr>
        <w:t> » ; que, cette disposition vise, selon son exposé des motifs, à corriger l’omission du législateur [en 2008]</w:t>
      </w:r>
      <w:r w:rsidRPr="00954238">
        <w:rPr>
          <w:rFonts w:eastAsia="Times New Roman" w:cs="Arial"/>
          <w:i/>
          <w:sz w:val="22"/>
          <w:lang w:eastAsia="fr-FR"/>
        </w:rPr>
        <w:t xml:space="preserve"> </w:t>
      </w:r>
      <w:r w:rsidRPr="007F3DB6">
        <w:rPr>
          <w:rFonts w:eastAsia="Times New Roman" w:cs="Arial"/>
          <w:sz w:val="22"/>
          <w:lang w:eastAsia="fr-FR"/>
        </w:rPr>
        <w:t>« </w:t>
      </w:r>
      <w:r w:rsidRPr="00954238">
        <w:rPr>
          <w:rFonts w:eastAsia="Times New Roman" w:cs="Arial"/>
          <w:i/>
          <w:sz w:val="22"/>
          <w:lang w:eastAsia="fr-FR"/>
        </w:rPr>
        <w:t xml:space="preserve">de préciser le caractère rétroactif de la réduction de ce délai pour les comptes déposés avant l’entrée en vigueur de cette loi </w:t>
      </w:r>
      <w:r w:rsidRPr="00954238">
        <w:rPr>
          <w:rFonts w:eastAsia="Times New Roman" w:cs="Arial"/>
          <w:sz w:val="22"/>
          <w:lang w:eastAsia="fr-FR"/>
        </w:rPr>
        <w:t xml:space="preserve">[la loi du 28 octobre 2008], </w:t>
      </w:r>
      <w:r w:rsidRPr="00954238">
        <w:rPr>
          <w:rFonts w:eastAsia="Times New Roman" w:cs="Arial"/>
          <w:i/>
          <w:sz w:val="22"/>
          <w:lang w:eastAsia="fr-FR"/>
        </w:rPr>
        <w:t xml:space="preserve">alors que cette rétroactivité avait été reconnue lors de la précédente réduction, de six à dix ans </w:t>
      </w:r>
      <w:r w:rsidRPr="00954238">
        <w:rPr>
          <w:rFonts w:eastAsia="Times New Roman" w:cs="Arial"/>
          <w:sz w:val="22"/>
          <w:lang w:eastAsia="fr-FR"/>
        </w:rPr>
        <w:t>[en 2004]</w:t>
      </w:r>
      <w:r w:rsidRPr="00954238">
        <w:rPr>
          <w:rFonts w:eastAsia="Times New Roman" w:cs="Arial"/>
          <w:i/>
          <w:sz w:val="22"/>
          <w:lang w:eastAsia="fr-FR"/>
        </w:rPr>
        <w:t>, du délai de prescription</w:t>
      </w:r>
      <w:r w:rsidRPr="007F3DB6">
        <w:rPr>
          <w:rFonts w:eastAsia="Times New Roman" w:cs="Arial"/>
          <w:sz w:val="22"/>
          <w:lang w:eastAsia="fr-FR"/>
        </w:rPr>
        <w:t> »</w:t>
      </w:r>
      <w:r w:rsidRPr="00954238">
        <w:rPr>
          <w:rFonts w:eastAsia="Times New Roman" w:cs="Arial"/>
          <w:i/>
          <w:sz w:val="22"/>
          <w:lang w:eastAsia="fr-FR"/>
        </w:rPr>
        <w:t xml:space="preserve">, afin de </w:t>
      </w:r>
      <w:r w:rsidRPr="007F3DB6">
        <w:rPr>
          <w:rFonts w:eastAsia="Times New Roman" w:cs="Arial"/>
          <w:sz w:val="22"/>
          <w:lang w:eastAsia="fr-FR"/>
        </w:rPr>
        <w:t>« </w:t>
      </w:r>
      <w:r w:rsidR="007F3DB6">
        <w:rPr>
          <w:rFonts w:eastAsia="Times New Roman" w:cs="Arial"/>
          <w:i/>
          <w:sz w:val="22"/>
          <w:lang w:eastAsia="fr-FR"/>
        </w:rPr>
        <w:t>lever toute ambiguïté</w:t>
      </w:r>
      <w:r w:rsidRPr="00954238">
        <w:rPr>
          <w:rFonts w:eastAsia="Times New Roman" w:cs="Arial"/>
          <w:sz w:val="22"/>
          <w:lang w:eastAsia="fr-FR"/>
        </w:rPr>
        <w:t> » en prévoyant « </w:t>
      </w:r>
      <w:r w:rsidRPr="00954238">
        <w:rPr>
          <w:rFonts w:eastAsia="Times New Roman" w:cs="Arial"/>
          <w:i/>
          <w:sz w:val="22"/>
          <w:lang w:eastAsia="fr-FR"/>
        </w:rPr>
        <w:t>l’applicabilité immédiate de ce nouveau délai</w:t>
      </w:r>
      <w:r w:rsidRPr="00954238">
        <w:rPr>
          <w:rFonts w:eastAsia="Times New Roman" w:cs="Arial"/>
          <w:sz w:val="22"/>
          <w:lang w:eastAsia="fr-FR"/>
        </w:rPr>
        <w:t xml:space="preserve"> [de cinq ans] </w:t>
      </w:r>
      <w:r w:rsidRPr="00954238">
        <w:rPr>
          <w:rFonts w:eastAsia="Times New Roman" w:cs="Arial"/>
          <w:i/>
          <w:sz w:val="22"/>
          <w:lang w:eastAsia="fr-FR"/>
        </w:rPr>
        <w:t>aux comptes et justifications produits avant l’entrée en vigueur de la loi du 28</w:t>
      </w:r>
      <w:r w:rsidR="007F3DB6">
        <w:rPr>
          <w:rFonts w:eastAsia="Times New Roman" w:cs="Arial"/>
          <w:i/>
          <w:sz w:val="22"/>
          <w:lang w:eastAsia="fr-FR"/>
        </w:rPr>
        <w:t xml:space="preserve"> </w:t>
      </w:r>
      <w:r w:rsidRPr="00954238">
        <w:rPr>
          <w:rFonts w:eastAsia="Times New Roman" w:cs="Arial"/>
          <w:i/>
          <w:sz w:val="22"/>
          <w:lang w:eastAsia="fr-FR"/>
        </w:rPr>
        <w:t>octobre</w:t>
      </w:r>
      <w:r w:rsidR="007F3DB6">
        <w:rPr>
          <w:rFonts w:eastAsia="Times New Roman" w:cs="Arial"/>
          <w:i/>
          <w:sz w:val="22"/>
          <w:lang w:eastAsia="fr-FR"/>
        </w:rPr>
        <w:t xml:space="preserve"> </w:t>
      </w:r>
      <w:r w:rsidRPr="00954238">
        <w:rPr>
          <w:rFonts w:eastAsia="Times New Roman" w:cs="Arial"/>
          <w:i/>
          <w:sz w:val="22"/>
          <w:lang w:eastAsia="fr-FR"/>
        </w:rPr>
        <w:t>2008</w:t>
      </w:r>
      <w:r w:rsidRPr="00954238">
        <w:rPr>
          <w:rFonts w:eastAsia="Times New Roman" w:cs="Arial"/>
          <w:sz w:val="22"/>
          <w:lang w:eastAsia="fr-FR"/>
        </w:rPr>
        <w:t> »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le ministère public soutient dans ses conclusions que « </w:t>
      </w:r>
      <w:r w:rsidRPr="00954238">
        <w:rPr>
          <w:rFonts w:eastAsia="Times New Roman" w:cs="Arial"/>
          <w:i/>
          <w:sz w:val="22"/>
          <w:lang w:eastAsia="fr-FR"/>
        </w:rPr>
        <w:t>la nouvelle rédaction de l’article 60</w:t>
      </w:r>
      <w:r w:rsidRPr="00954238">
        <w:rPr>
          <w:rFonts w:eastAsia="Times New Roman" w:cs="Arial"/>
          <w:sz w:val="22"/>
          <w:lang w:eastAsia="fr-FR"/>
        </w:rPr>
        <w:t xml:space="preserve"> […] </w:t>
      </w:r>
      <w:r w:rsidRPr="00954238">
        <w:rPr>
          <w:rFonts w:eastAsia="Times New Roman" w:cs="Arial"/>
          <w:i/>
          <w:sz w:val="22"/>
          <w:lang w:eastAsia="fr-FR"/>
        </w:rPr>
        <w:t>conduit à apprécier la validité d’un acte au regard du droit applicable au moment où il a été pris et non par référence à des règles qui ont pu être modifiées depuis</w:t>
      </w:r>
      <w:r w:rsidRPr="00954238">
        <w:rPr>
          <w:rFonts w:eastAsia="Times New Roman" w:cs="Arial"/>
          <w:sz w:val="22"/>
          <w:lang w:eastAsia="fr-FR"/>
        </w:rPr>
        <w:t> » ;</w:t>
      </w:r>
    </w:p>
    <w:p w:rsidR="00051360" w:rsidRDefault="00051360">
      <w:pPr>
        <w:spacing w:line="240" w:lineRule="auto"/>
        <w:rPr>
          <w:rFonts w:eastAsia="Times New Roman" w:cs="Arial"/>
          <w:sz w:val="22"/>
          <w:lang w:eastAsia="fr-FR"/>
        </w:rPr>
      </w:pPr>
      <w:r>
        <w:rPr>
          <w:rFonts w:eastAsia="Times New Roman" w:cs="Arial"/>
          <w:sz w:val="22"/>
          <w:lang w:eastAsia="fr-FR"/>
        </w:rPr>
        <w:br w:type="page"/>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lastRenderedPageBreak/>
        <w:t xml:space="preserve">Attendu qu’il n’est pas contestable que, dans le cadre juridique défini par l’article 125 de la loi du 30 décembre 2004, la responsabilité de M. </w:t>
      </w:r>
      <w:r w:rsidR="00526D04">
        <w:rPr>
          <w:rFonts w:eastAsia="Times New Roman" w:cs="Arial"/>
          <w:sz w:val="22"/>
          <w:lang w:eastAsia="fr-FR"/>
        </w:rPr>
        <w:t>X</w:t>
      </w:r>
      <w:r w:rsidRPr="00954238">
        <w:rPr>
          <w:rFonts w:eastAsia="Times New Roman" w:cs="Arial"/>
          <w:sz w:val="22"/>
          <w:lang w:eastAsia="fr-FR"/>
        </w:rPr>
        <w:t xml:space="preserve"> pouvait être mise en jeu jusqu’au 31 décembre 2005, sur les comptes de 1998, 2005 étant la sixième année suivant l’année</w:t>
      </w:r>
      <w:r w:rsidR="007F3DB6">
        <w:rPr>
          <w:rFonts w:eastAsia="Times New Roman" w:cs="Arial"/>
          <w:sz w:val="22"/>
          <w:lang w:eastAsia="fr-FR"/>
        </w:rPr>
        <w:t xml:space="preserve"> </w:t>
      </w:r>
      <w:r w:rsidRPr="00954238">
        <w:rPr>
          <w:rFonts w:eastAsia="Times New Roman" w:cs="Arial"/>
          <w:sz w:val="22"/>
          <w:lang w:eastAsia="fr-FR"/>
        </w:rPr>
        <w:t>1999 au cours de laquelle ont été produits lesdits comptes ; qu’elle a alors été valablement mise en jeu, dans ce cadre juridique, par le bordereau d’injonctions daté du 17</w:t>
      </w:r>
      <w:r w:rsidR="007F3DB6">
        <w:rPr>
          <w:rFonts w:eastAsia="Times New Roman" w:cs="Arial"/>
          <w:sz w:val="22"/>
          <w:lang w:eastAsia="fr-FR"/>
        </w:rPr>
        <w:t xml:space="preserve"> </w:t>
      </w:r>
      <w:r w:rsidRPr="00954238">
        <w:rPr>
          <w:rFonts w:eastAsia="Times New Roman" w:cs="Arial"/>
          <w:sz w:val="22"/>
          <w:lang w:eastAsia="fr-FR"/>
        </w:rPr>
        <w:t>mai</w:t>
      </w:r>
      <w:r w:rsidR="007F3DB6">
        <w:rPr>
          <w:rFonts w:eastAsia="Times New Roman" w:cs="Arial"/>
          <w:sz w:val="22"/>
          <w:lang w:eastAsia="fr-FR"/>
        </w:rPr>
        <w:t xml:space="preserve"> </w:t>
      </w:r>
      <w:r w:rsidRPr="00954238">
        <w:rPr>
          <w:rFonts w:eastAsia="Times New Roman" w:cs="Arial"/>
          <w:sz w:val="22"/>
          <w:lang w:eastAsia="fr-FR"/>
        </w:rPr>
        <w:t>2005 ;</w:t>
      </w:r>
    </w:p>
    <w:p w:rsidR="00511ACF" w:rsidRPr="00954238" w:rsidRDefault="00511ACF" w:rsidP="00511ACF">
      <w:pPr>
        <w:spacing w:before="240" w:after="240" w:line="240" w:lineRule="auto"/>
        <w:jc w:val="both"/>
        <w:rPr>
          <w:rFonts w:cs="Arial"/>
          <w:sz w:val="22"/>
        </w:rPr>
      </w:pPr>
      <w:r w:rsidRPr="00954238">
        <w:rPr>
          <w:rFonts w:eastAsia="Times New Roman" w:cs="Arial"/>
          <w:sz w:val="22"/>
          <w:lang w:eastAsia="fr-FR"/>
        </w:rPr>
        <w:t>Attendu toutefois que depuis l’entrée en vigueur de la loi du 30 décembre 2009 susvisée, le délai de prescription pour mettre en jeu la responsabilité pécuniaire et personnelle d’un comptable public au titre d’un compte produit avant l’entrée en vigueur de la loi du 28</w:t>
      </w:r>
      <w:r w:rsidR="007F3DB6">
        <w:rPr>
          <w:rFonts w:eastAsia="Times New Roman" w:cs="Arial"/>
          <w:sz w:val="22"/>
          <w:lang w:eastAsia="fr-FR"/>
        </w:rPr>
        <w:t xml:space="preserve"> </w:t>
      </w:r>
      <w:r w:rsidRPr="00954238">
        <w:rPr>
          <w:rFonts w:eastAsia="Times New Roman" w:cs="Arial"/>
          <w:sz w:val="22"/>
          <w:lang w:eastAsia="fr-FR"/>
        </w:rPr>
        <w:t>octobre</w:t>
      </w:r>
      <w:r w:rsidR="007F3DB6">
        <w:rPr>
          <w:rFonts w:eastAsia="Times New Roman" w:cs="Arial"/>
          <w:sz w:val="22"/>
          <w:lang w:eastAsia="fr-FR"/>
        </w:rPr>
        <w:t xml:space="preserve"> </w:t>
      </w:r>
      <w:r w:rsidRPr="00954238">
        <w:rPr>
          <w:rFonts w:eastAsia="Times New Roman" w:cs="Arial"/>
          <w:sz w:val="22"/>
          <w:lang w:eastAsia="fr-FR"/>
        </w:rPr>
        <w:t>2008 susvisée expire le 31 décembre de la cinquième année suivant celle de la production dudit compte ; que, par conséquent, la mise en jeu de la responsabilité de M. </w:t>
      </w:r>
      <w:r w:rsidR="00526D04">
        <w:rPr>
          <w:rFonts w:eastAsia="Times New Roman" w:cs="Arial"/>
          <w:sz w:val="22"/>
          <w:lang w:eastAsia="fr-FR"/>
        </w:rPr>
        <w:t>X</w:t>
      </w:r>
      <w:r w:rsidRPr="00954238">
        <w:rPr>
          <w:rFonts w:eastAsia="Times New Roman" w:cs="Arial"/>
          <w:sz w:val="22"/>
          <w:lang w:eastAsia="fr-FR"/>
        </w:rPr>
        <w:t xml:space="preserve"> à une date postérieure au 31</w:t>
      </w:r>
      <w:r w:rsidR="007F3DB6">
        <w:rPr>
          <w:rFonts w:eastAsia="Times New Roman" w:cs="Arial"/>
          <w:sz w:val="22"/>
          <w:lang w:eastAsia="fr-FR"/>
        </w:rPr>
        <w:t xml:space="preserve"> </w:t>
      </w:r>
      <w:r w:rsidRPr="00954238">
        <w:rPr>
          <w:rFonts w:eastAsia="Times New Roman" w:cs="Arial"/>
          <w:sz w:val="22"/>
          <w:lang w:eastAsia="fr-FR"/>
        </w:rPr>
        <w:t>décembre</w:t>
      </w:r>
      <w:r w:rsidR="007F3DB6">
        <w:rPr>
          <w:rFonts w:eastAsia="Times New Roman" w:cs="Arial"/>
          <w:sz w:val="22"/>
          <w:lang w:eastAsia="fr-FR"/>
        </w:rPr>
        <w:t xml:space="preserve"> </w:t>
      </w:r>
      <w:r w:rsidRPr="00954238">
        <w:rPr>
          <w:rFonts w:eastAsia="Times New Roman" w:cs="Arial"/>
          <w:sz w:val="22"/>
          <w:lang w:eastAsia="fr-FR"/>
        </w:rPr>
        <w:t>2004,</w:t>
      </w:r>
      <w:r w:rsidRPr="00954238">
        <w:rPr>
          <w:sz w:val="22"/>
        </w:rPr>
        <w:t xml:space="preserve"> </w:t>
      </w:r>
      <w:r w:rsidRPr="00954238">
        <w:rPr>
          <w:rFonts w:cs="Arial"/>
          <w:sz w:val="22"/>
        </w:rPr>
        <w:t>2004 étant la cinquième année suivant 1999, année de production dudit</w:t>
      </w:r>
      <w:r w:rsidRPr="00954238">
        <w:rPr>
          <w:rFonts w:eastAsia="Times New Roman" w:cs="Arial"/>
          <w:sz w:val="22"/>
          <w:lang w:eastAsia="fr-FR"/>
        </w:rPr>
        <w:t xml:space="preserve"> compte, ne peut plus être considérée comme valable ;</w:t>
      </w:r>
      <w:r w:rsidRPr="00954238">
        <w:rPr>
          <w:rFonts w:cs="Arial"/>
          <w:sz w:val="22"/>
        </w:rPr>
        <w:t xml:space="preserve"> qu’il y a lieu dès lors de considérer qu’aucune suite ne peut être régulièrement donnée par la Cour à l’arrêté conservatoire de débet susvisé dans le cadre juridique désormais en vigueur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Attendu que selon le 2</w:t>
      </w:r>
      <w:r w:rsidRPr="00954238">
        <w:rPr>
          <w:rFonts w:eastAsia="Times New Roman" w:cs="Arial"/>
          <w:sz w:val="22"/>
          <w:vertAlign w:val="superscript"/>
          <w:lang w:eastAsia="fr-FR"/>
        </w:rPr>
        <w:t>ème</w:t>
      </w:r>
      <w:r w:rsidRPr="00954238">
        <w:rPr>
          <w:rFonts w:eastAsia="Times New Roman" w:cs="Arial"/>
          <w:sz w:val="22"/>
          <w:lang w:eastAsia="fr-FR"/>
        </w:rPr>
        <w:t xml:space="preserve"> alinéa du IV de l’article 60 de la loi de 1963, « </w:t>
      </w:r>
      <w:r w:rsidRPr="00954238">
        <w:rPr>
          <w:rFonts w:eastAsia="Times New Roman" w:cs="Arial"/>
          <w:i/>
          <w:sz w:val="22"/>
          <w:lang w:eastAsia="fr-FR"/>
        </w:rPr>
        <w:t>dès lors qu'aucune charge n'a été notifiée dans ce délai</w:t>
      </w:r>
      <w:r w:rsidRPr="00954238">
        <w:rPr>
          <w:rFonts w:eastAsia="Times New Roman" w:cs="Arial"/>
          <w:sz w:val="22"/>
          <w:lang w:eastAsia="fr-FR"/>
        </w:rPr>
        <w:t xml:space="preserve"> [de cinq ans] </w:t>
      </w:r>
      <w:r w:rsidRPr="00954238">
        <w:rPr>
          <w:rFonts w:eastAsia="Times New Roman" w:cs="Arial"/>
          <w:i/>
          <w:sz w:val="22"/>
          <w:lang w:eastAsia="fr-FR"/>
        </w:rPr>
        <w:t>à son encontre, le comptable est déchargé de sa gestion au titre de l'exercice concerné</w:t>
      </w:r>
      <w:r w:rsidRPr="00954238">
        <w:rPr>
          <w:rFonts w:eastAsia="Times New Roman" w:cs="Arial"/>
          <w:sz w:val="22"/>
          <w:lang w:eastAsia="fr-FR"/>
        </w:rPr>
        <w:t xml:space="preserve"> » ; que, par conséquent, M. </w:t>
      </w:r>
      <w:r w:rsidR="00526D04">
        <w:rPr>
          <w:rFonts w:eastAsia="Times New Roman" w:cs="Arial"/>
          <w:sz w:val="22"/>
          <w:lang w:eastAsia="fr-FR"/>
        </w:rPr>
        <w:t>X</w:t>
      </w:r>
      <w:r w:rsidRPr="00954238">
        <w:rPr>
          <w:rFonts w:eastAsia="Times New Roman" w:cs="Arial"/>
          <w:sz w:val="22"/>
          <w:lang w:eastAsia="fr-FR"/>
        </w:rPr>
        <w:t xml:space="preserve"> se trouve déchargé de sa gestion au titre de l’exercice 1998 par l’effet de la loi ;</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sz w:val="22"/>
          <w:lang w:eastAsia="fr-FR"/>
        </w:rPr>
        <w:t>Par ces motifs,</w:t>
      </w:r>
    </w:p>
    <w:p w:rsidR="00511ACF" w:rsidRPr="00954238" w:rsidRDefault="00511ACF" w:rsidP="00511ACF">
      <w:pPr>
        <w:spacing w:before="240" w:after="240" w:line="240" w:lineRule="auto"/>
        <w:jc w:val="center"/>
        <w:rPr>
          <w:rFonts w:eastAsia="Times New Roman" w:cs="Arial"/>
          <w:sz w:val="22"/>
          <w:lang w:eastAsia="fr-FR"/>
        </w:rPr>
      </w:pPr>
      <w:r w:rsidRPr="00954238">
        <w:rPr>
          <w:rFonts w:eastAsia="Times New Roman" w:cs="Arial"/>
          <w:b/>
          <w:sz w:val="22"/>
          <w:lang w:eastAsia="fr-FR"/>
        </w:rPr>
        <w:t>DECIDE</w:t>
      </w:r>
      <w:r w:rsidRPr="00954238">
        <w:rPr>
          <w:rFonts w:eastAsia="Times New Roman" w:cs="Arial"/>
          <w:sz w:val="22"/>
          <w:lang w:eastAsia="fr-FR"/>
        </w:rPr>
        <w:t> :</w:t>
      </w:r>
    </w:p>
    <w:p w:rsidR="00511ACF" w:rsidRPr="00954238" w:rsidRDefault="00511ACF" w:rsidP="00511ACF">
      <w:pPr>
        <w:spacing w:before="240" w:after="240" w:line="240" w:lineRule="auto"/>
        <w:jc w:val="both"/>
        <w:rPr>
          <w:rFonts w:eastAsia="Times New Roman" w:cs="Arial"/>
          <w:sz w:val="22"/>
          <w:lang w:eastAsia="fr-FR"/>
        </w:rPr>
      </w:pP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b/>
          <w:sz w:val="22"/>
          <w:lang w:eastAsia="fr-FR"/>
        </w:rPr>
        <w:t xml:space="preserve">Article </w:t>
      </w:r>
      <w:r w:rsidR="00954238">
        <w:rPr>
          <w:rFonts w:eastAsia="Times New Roman" w:cs="Arial"/>
          <w:b/>
          <w:sz w:val="22"/>
          <w:lang w:eastAsia="fr-FR"/>
        </w:rPr>
        <w:t>1er  </w:t>
      </w:r>
      <w:r w:rsidRPr="00954238">
        <w:rPr>
          <w:rFonts w:eastAsia="Times New Roman" w:cs="Arial"/>
          <w:b/>
          <w:sz w:val="22"/>
          <w:lang w:eastAsia="fr-FR"/>
        </w:rPr>
        <w:t>–</w:t>
      </w:r>
      <w:r w:rsidRPr="00954238">
        <w:rPr>
          <w:rFonts w:eastAsia="Times New Roman" w:cs="Arial"/>
          <w:sz w:val="22"/>
          <w:lang w:eastAsia="fr-FR"/>
        </w:rPr>
        <w:t xml:space="preserve"> M.</w:t>
      </w:r>
      <w:r w:rsidR="00954238">
        <w:rPr>
          <w:rFonts w:eastAsia="Times New Roman" w:cs="Arial"/>
          <w:sz w:val="22"/>
          <w:lang w:eastAsia="fr-FR"/>
        </w:rPr>
        <w:t> </w:t>
      </w:r>
      <w:r w:rsidR="00526D04">
        <w:rPr>
          <w:rFonts w:eastAsia="Times New Roman" w:cs="Arial"/>
          <w:sz w:val="22"/>
          <w:lang w:eastAsia="fr-FR"/>
        </w:rPr>
        <w:t>X</w:t>
      </w:r>
      <w:r w:rsidRPr="00954238">
        <w:rPr>
          <w:rFonts w:eastAsia="Times New Roman" w:cs="Arial"/>
          <w:sz w:val="22"/>
          <w:lang w:eastAsia="fr-FR"/>
        </w:rPr>
        <w:t>, agent comptable de l’Institut français de</w:t>
      </w:r>
      <w:r w:rsidR="00954238">
        <w:rPr>
          <w:rFonts w:eastAsia="Times New Roman" w:cs="Arial"/>
          <w:sz w:val="22"/>
          <w:lang w:eastAsia="fr-FR"/>
        </w:rPr>
        <w:t> </w:t>
      </w:r>
      <w:r w:rsidRPr="00954238">
        <w:rPr>
          <w:rFonts w:eastAsia="Times New Roman" w:cs="Arial"/>
          <w:sz w:val="22"/>
          <w:lang w:eastAsia="fr-FR"/>
        </w:rPr>
        <w:t>Tel- Aviv, est réputé déchargé de sa gestion de l’exercice 1998.</w:t>
      </w:r>
    </w:p>
    <w:p w:rsidR="00511ACF" w:rsidRPr="00954238" w:rsidRDefault="00511ACF" w:rsidP="00511ACF">
      <w:pPr>
        <w:spacing w:before="240" w:after="240" w:line="240" w:lineRule="auto"/>
        <w:jc w:val="both"/>
        <w:rPr>
          <w:rFonts w:eastAsia="Times New Roman" w:cs="Arial"/>
          <w:sz w:val="22"/>
          <w:lang w:eastAsia="fr-FR"/>
        </w:rPr>
      </w:pPr>
      <w:r w:rsidRPr="00954238">
        <w:rPr>
          <w:rFonts w:eastAsia="Times New Roman" w:cs="Arial"/>
          <w:b/>
          <w:sz w:val="22"/>
          <w:lang w:eastAsia="fr-FR"/>
        </w:rPr>
        <w:t>Article 2</w:t>
      </w:r>
      <w:r w:rsidR="00954238">
        <w:rPr>
          <w:rFonts w:eastAsia="Times New Roman" w:cs="Arial"/>
          <w:b/>
          <w:sz w:val="22"/>
          <w:lang w:eastAsia="fr-FR"/>
        </w:rPr>
        <w:t> </w:t>
      </w:r>
      <w:r w:rsidR="00A009C2">
        <w:rPr>
          <w:rFonts w:eastAsia="Times New Roman" w:cs="Arial"/>
          <w:sz w:val="22"/>
          <w:lang w:eastAsia="fr-FR"/>
        </w:rPr>
        <w:t>-</w:t>
      </w:r>
      <w:r w:rsidR="00954238">
        <w:rPr>
          <w:rFonts w:eastAsia="Times New Roman" w:cs="Arial"/>
          <w:sz w:val="22"/>
          <w:lang w:eastAsia="fr-FR"/>
        </w:rPr>
        <w:t> </w:t>
      </w:r>
      <w:r w:rsidRPr="00954238">
        <w:rPr>
          <w:rFonts w:eastAsia="Times New Roman" w:cs="Arial"/>
          <w:sz w:val="22"/>
          <w:lang w:eastAsia="fr-FR"/>
        </w:rPr>
        <w:t>Il n’y a pas lieu à statuer sur les charges prononcées à l’encontre de M.</w:t>
      </w:r>
      <w:r w:rsidR="00954238">
        <w:rPr>
          <w:rFonts w:eastAsia="Times New Roman" w:cs="Arial"/>
          <w:sz w:val="22"/>
          <w:lang w:eastAsia="fr-FR"/>
        </w:rPr>
        <w:t> </w:t>
      </w:r>
      <w:r w:rsidR="00526D04">
        <w:rPr>
          <w:rFonts w:eastAsia="Times New Roman" w:cs="Arial"/>
          <w:sz w:val="22"/>
          <w:lang w:eastAsia="fr-FR"/>
        </w:rPr>
        <w:t>X</w:t>
      </w:r>
      <w:r w:rsidRPr="00954238">
        <w:rPr>
          <w:rFonts w:eastAsia="Times New Roman" w:cs="Arial"/>
          <w:sz w:val="22"/>
          <w:lang w:eastAsia="fr-FR"/>
        </w:rPr>
        <w:t xml:space="preserve"> dans l’arrêté conservatoire de débet du 8</w:t>
      </w:r>
      <w:r w:rsidR="007F3DB6">
        <w:rPr>
          <w:rFonts w:eastAsia="Times New Roman" w:cs="Arial"/>
          <w:sz w:val="22"/>
          <w:lang w:eastAsia="fr-FR"/>
        </w:rPr>
        <w:t xml:space="preserve"> </w:t>
      </w:r>
      <w:r w:rsidRPr="00954238">
        <w:rPr>
          <w:rFonts w:eastAsia="Times New Roman" w:cs="Arial"/>
          <w:sz w:val="22"/>
          <w:lang w:eastAsia="fr-FR"/>
        </w:rPr>
        <w:t>juillet</w:t>
      </w:r>
      <w:r w:rsidR="007F3DB6">
        <w:rPr>
          <w:rFonts w:eastAsia="Times New Roman" w:cs="Arial"/>
          <w:sz w:val="22"/>
          <w:lang w:eastAsia="fr-FR"/>
        </w:rPr>
        <w:t xml:space="preserve"> </w:t>
      </w:r>
      <w:r w:rsidRPr="00954238">
        <w:rPr>
          <w:rFonts w:eastAsia="Times New Roman" w:cs="Arial"/>
          <w:sz w:val="22"/>
          <w:lang w:eastAsia="fr-FR"/>
        </w:rPr>
        <w:t>2005.</w:t>
      </w:r>
    </w:p>
    <w:p w:rsidR="00511ACF" w:rsidRPr="00954238" w:rsidRDefault="00511ACF" w:rsidP="00511ACF">
      <w:pPr>
        <w:tabs>
          <w:tab w:val="center" w:pos="5245"/>
        </w:tabs>
        <w:spacing w:before="120" w:after="360" w:line="240" w:lineRule="auto"/>
        <w:jc w:val="center"/>
        <w:rPr>
          <w:rFonts w:eastAsia="Times New Roman" w:cs="Arial"/>
          <w:sz w:val="22"/>
          <w:lang w:eastAsia="fr-FR"/>
        </w:rPr>
      </w:pPr>
      <w:r w:rsidRPr="00954238">
        <w:rPr>
          <w:rFonts w:eastAsia="Times New Roman" w:cs="Arial"/>
          <w:sz w:val="22"/>
          <w:lang w:eastAsia="fr-FR"/>
        </w:rPr>
        <w:t>------------</w:t>
      </w:r>
    </w:p>
    <w:p w:rsidR="00511ACF" w:rsidRPr="00954238" w:rsidRDefault="00511ACF" w:rsidP="00511ACF">
      <w:pPr>
        <w:spacing w:before="120" w:after="360" w:line="240" w:lineRule="auto"/>
        <w:jc w:val="both"/>
        <w:rPr>
          <w:rFonts w:eastAsia="Times New Roman" w:cs="Arial"/>
          <w:sz w:val="22"/>
          <w:lang w:eastAsia="fr-FR"/>
        </w:rPr>
      </w:pPr>
      <w:r w:rsidRPr="00954238">
        <w:rPr>
          <w:rFonts w:eastAsia="Times New Roman" w:cs="Arial"/>
          <w:sz w:val="22"/>
          <w:lang w:eastAsia="fr-FR"/>
        </w:rPr>
        <w:t>Fait et jugé en la Cour des comptes, quatrième chambre, première section. Présents : M. Yves ROLLAND, conseiller maître, président de section, président de la formation, M</w:t>
      </w:r>
      <w:r w:rsidRPr="005016DF">
        <w:rPr>
          <w:rFonts w:eastAsia="Times New Roman" w:cs="Arial"/>
          <w:sz w:val="22"/>
          <w:vertAlign w:val="superscript"/>
          <w:lang w:eastAsia="fr-FR"/>
        </w:rPr>
        <w:t>me</w:t>
      </w:r>
      <w:r w:rsidR="0035552F">
        <w:rPr>
          <w:rFonts w:eastAsia="Times New Roman" w:cs="Arial"/>
          <w:sz w:val="22"/>
          <w:lang w:eastAsia="fr-FR"/>
        </w:rPr>
        <w:t> </w:t>
      </w:r>
      <w:r w:rsidRPr="00954238">
        <w:rPr>
          <w:rFonts w:eastAsia="Times New Roman" w:cs="Arial"/>
          <w:sz w:val="22"/>
          <w:lang w:eastAsia="fr-FR"/>
        </w:rPr>
        <w:t xml:space="preserve">Anne FROMENT-MEURICE, présidente de chambre maintenue en activité, MM. Gérard GANSER, Jean-Pierre LAFAURE, Jean-Yves BERTUCCI, conseillers maîtres, </w:t>
      </w:r>
      <w:proofErr w:type="spellStart"/>
      <w:r w:rsidRPr="00954238">
        <w:rPr>
          <w:rFonts w:eastAsia="Times New Roman" w:cs="Arial"/>
          <w:sz w:val="22"/>
          <w:lang w:eastAsia="fr-FR"/>
        </w:rPr>
        <w:t>M</w:t>
      </w:r>
      <w:r w:rsidRPr="005016DF">
        <w:rPr>
          <w:rFonts w:eastAsia="Times New Roman" w:cs="Arial"/>
          <w:sz w:val="22"/>
          <w:vertAlign w:val="superscript"/>
          <w:lang w:eastAsia="fr-FR"/>
        </w:rPr>
        <w:t>mes</w:t>
      </w:r>
      <w:r w:rsidRPr="00954238">
        <w:rPr>
          <w:rFonts w:eastAsia="Times New Roman" w:cs="Arial"/>
          <w:sz w:val="22"/>
          <w:lang w:eastAsia="fr-FR"/>
        </w:rPr>
        <w:t>Laurence</w:t>
      </w:r>
      <w:proofErr w:type="spellEnd"/>
      <w:r w:rsidRPr="00954238">
        <w:rPr>
          <w:rFonts w:eastAsia="Times New Roman" w:cs="Arial"/>
          <w:sz w:val="22"/>
          <w:lang w:eastAsia="fr-FR"/>
        </w:rPr>
        <w:t xml:space="preserve"> ENGEL et Isabelle LATOURNARIE-WILLEMS</w:t>
      </w:r>
      <w:r w:rsidR="00103FFB">
        <w:rPr>
          <w:rFonts w:eastAsia="Times New Roman" w:cs="Arial"/>
          <w:sz w:val="22"/>
          <w:lang w:eastAsia="fr-FR"/>
        </w:rPr>
        <w:t>,</w:t>
      </w:r>
      <w:r w:rsidRPr="00954238">
        <w:rPr>
          <w:rFonts w:eastAsia="Times New Roman" w:cs="Arial"/>
          <w:sz w:val="22"/>
          <w:lang w:eastAsia="fr-FR"/>
        </w:rPr>
        <w:t xml:space="preserve"> conseillères maître</w:t>
      </w:r>
      <w:r w:rsidR="00103FFB">
        <w:rPr>
          <w:rFonts w:eastAsia="Times New Roman" w:cs="Arial"/>
          <w:sz w:val="22"/>
          <w:lang w:eastAsia="fr-FR"/>
        </w:rPr>
        <w:t>s</w:t>
      </w:r>
      <w:r w:rsidRPr="00954238">
        <w:rPr>
          <w:rFonts w:eastAsia="Times New Roman" w:cs="Arial"/>
          <w:sz w:val="22"/>
          <w:lang w:eastAsia="fr-FR"/>
        </w:rPr>
        <w:t xml:space="preserve">. </w:t>
      </w:r>
    </w:p>
    <w:p w:rsidR="00511ACF" w:rsidRPr="00954238" w:rsidRDefault="00511ACF" w:rsidP="00511ACF">
      <w:pPr>
        <w:tabs>
          <w:tab w:val="center" w:pos="4536"/>
          <w:tab w:val="right" w:pos="9072"/>
        </w:tabs>
        <w:spacing w:before="120" w:after="360" w:line="240" w:lineRule="auto"/>
        <w:jc w:val="both"/>
        <w:rPr>
          <w:rFonts w:eastAsia="Times New Roman" w:cs="Arial"/>
          <w:sz w:val="22"/>
          <w:lang w:eastAsia="fr-FR"/>
        </w:rPr>
      </w:pPr>
      <w:r w:rsidRPr="00954238">
        <w:rPr>
          <w:rFonts w:eastAsia="Times New Roman" w:cs="Arial"/>
          <w:sz w:val="22"/>
          <w:lang w:eastAsia="fr-FR"/>
        </w:rPr>
        <w:t>En présence de M</w:t>
      </w:r>
      <w:bookmarkStart w:id="0" w:name="_GoBack"/>
      <w:r w:rsidRPr="005016DF">
        <w:rPr>
          <w:rFonts w:eastAsia="Times New Roman" w:cs="Arial"/>
          <w:sz w:val="22"/>
          <w:vertAlign w:val="superscript"/>
          <w:lang w:eastAsia="fr-FR"/>
        </w:rPr>
        <w:t>me</w:t>
      </w:r>
      <w:bookmarkEnd w:id="0"/>
      <w:r w:rsidRPr="00954238">
        <w:rPr>
          <w:rFonts w:eastAsia="Times New Roman" w:cs="Arial"/>
          <w:sz w:val="22"/>
          <w:lang w:eastAsia="fr-FR"/>
        </w:rPr>
        <w:t xml:space="preserve"> </w:t>
      </w:r>
      <w:r w:rsidR="00103FFB" w:rsidRPr="00A368C8">
        <w:rPr>
          <w:rFonts w:eastAsia="Times New Roman" w:cs="Arial"/>
          <w:sz w:val="22"/>
          <w:lang w:eastAsia="fr-FR"/>
        </w:rPr>
        <w:t>Annie LE BARON</w:t>
      </w:r>
      <w:r w:rsidRPr="0035552F">
        <w:rPr>
          <w:rFonts w:eastAsia="Times New Roman" w:cs="Arial"/>
          <w:sz w:val="22"/>
          <w:lang w:eastAsia="fr-FR"/>
        </w:rPr>
        <w:t xml:space="preserve">, greffière </w:t>
      </w:r>
      <w:r w:rsidRPr="00954238">
        <w:rPr>
          <w:rFonts w:eastAsia="Times New Roman" w:cs="Arial"/>
          <w:sz w:val="22"/>
          <w:lang w:eastAsia="fr-FR"/>
        </w:rPr>
        <w:t>de séance.</w:t>
      </w:r>
    </w:p>
    <w:p w:rsidR="00511ACF" w:rsidRPr="00954238" w:rsidRDefault="00511ACF" w:rsidP="00511ACF">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11"/>
        <w:gridCol w:w="4641"/>
      </w:tblGrid>
      <w:tr w:rsidR="00511ACF" w:rsidRPr="00954238" w:rsidTr="00BE0452">
        <w:tc>
          <w:tcPr>
            <w:tcW w:w="5413" w:type="dxa"/>
          </w:tcPr>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Default="00511ACF" w:rsidP="00BE0452">
            <w:pPr>
              <w:tabs>
                <w:tab w:val="center" w:pos="4536"/>
                <w:tab w:val="right" w:pos="9072"/>
              </w:tabs>
              <w:spacing w:line="240" w:lineRule="auto"/>
              <w:jc w:val="center"/>
              <w:rPr>
                <w:rFonts w:eastAsia="Times New Roman" w:cs="Arial"/>
                <w:b/>
                <w:sz w:val="22"/>
                <w:lang w:eastAsia="fr-FR"/>
              </w:rPr>
            </w:pPr>
          </w:p>
          <w:p w:rsidR="00103FFB" w:rsidRDefault="00103FFB" w:rsidP="00BE0452">
            <w:pPr>
              <w:tabs>
                <w:tab w:val="center" w:pos="4536"/>
                <w:tab w:val="right" w:pos="9072"/>
              </w:tabs>
              <w:spacing w:line="240" w:lineRule="auto"/>
              <w:jc w:val="center"/>
              <w:rPr>
                <w:rFonts w:eastAsia="Times New Roman" w:cs="Arial"/>
                <w:b/>
                <w:sz w:val="22"/>
                <w:lang w:eastAsia="fr-FR"/>
              </w:rPr>
            </w:pPr>
          </w:p>
          <w:p w:rsidR="00103FFB" w:rsidRPr="00954238" w:rsidRDefault="00103FFB" w:rsidP="00BE0452">
            <w:pPr>
              <w:tabs>
                <w:tab w:val="center" w:pos="4536"/>
                <w:tab w:val="right" w:pos="9072"/>
              </w:tabs>
              <w:spacing w:line="240" w:lineRule="auto"/>
              <w:jc w:val="center"/>
              <w:rPr>
                <w:rFonts w:eastAsia="Times New Roman" w:cs="Arial"/>
                <w:b/>
                <w:sz w:val="22"/>
                <w:lang w:eastAsia="fr-FR"/>
              </w:rPr>
            </w:pPr>
          </w:p>
          <w:p w:rsidR="00103FFB" w:rsidRDefault="00103FFB" w:rsidP="00BE0452">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511ACF" w:rsidRPr="00954238" w:rsidRDefault="00103FFB" w:rsidP="00BE0452">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Greffière de séance</w:t>
            </w:r>
            <w:r w:rsidR="00511ACF" w:rsidRPr="00954238">
              <w:rPr>
                <w:rFonts w:eastAsia="Times New Roman" w:cs="Arial"/>
                <w:b/>
                <w:sz w:val="22"/>
                <w:lang w:eastAsia="fr-FR"/>
              </w:rPr>
              <w:t xml:space="preserve"> </w:t>
            </w:r>
          </w:p>
        </w:tc>
        <w:tc>
          <w:tcPr>
            <w:tcW w:w="5414" w:type="dxa"/>
          </w:tcPr>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Pr="00954238" w:rsidRDefault="00511ACF" w:rsidP="00BE0452">
            <w:pPr>
              <w:tabs>
                <w:tab w:val="center" w:pos="4536"/>
                <w:tab w:val="right" w:pos="9072"/>
              </w:tabs>
              <w:spacing w:line="240" w:lineRule="auto"/>
              <w:jc w:val="center"/>
              <w:rPr>
                <w:rFonts w:eastAsia="Times New Roman" w:cs="Arial"/>
                <w:b/>
                <w:sz w:val="22"/>
                <w:lang w:eastAsia="fr-FR"/>
              </w:rPr>
            </w:pPr>
          </w:p>
          <w:p w:rsidR="00511ACF" w:rsidRDefault="00511ACF" w:rsidP="00BE0452">
            <w:pPr>
              <w:tabs>
                <w:tab w:val="center" w:pos="4536"/>
                <w:tab w:val="right" w:pos="9072"/>
              </w:tabs>
              <w:spacing w:line="240" w:lineRule="auto"/>
              <w:jc w:val="center"/>
              <w:rPr>
                <w:rFonts w:eastAsia="Times New Roman" w:cs="Arial"/>
                <w:b/>
                <w:sz w:val="22"/>
                <w:lang w:eastAsia="fr-FR"/>
              </w:rPr>
            </w:pPr>
          </w:p>
          <w:p w:rsidR="00103FFB" w:rsidRPr="00954238" w:rsidRDefault="00103FFB" w:rsidP="00BE0452">
            <w:pPr>
              <w:tabs>
                <w:tab w:val="center" w:pos="4536"/>
                <w:tab w:val="right" w:pos="9072"/>
              </w:tabs>
              <w:spacing w:line="240" w:lineRule="auto"/>
              <w:jc w:val="center"/>
              <w:rPr>
                <w:rFonts w:eastAsia="Times New Roman" w:cs="Arial"/>
                <w:b/>
                <w:sz w:val="22"/>
                <w:lang w:eastAsia="fr-FR"/>
              </w:rPr>
            </w:pPr>
          </w:p>
          <w:p w:rsidR="00103FFB" w:rsidRPr="0035552F" w:rsidRDefault="00103FFB" w:rsidP="00103FFB">
            <w:pPr>
              <w:tabs>
                <w:tab w:val="center" w:pos="4536"/>
                <w:tab w:val="right" w:pos="9072"/>
              </w:tabs>
              <w:spacing w:line="240" w:lineRule="auto"/>
              <w:jc w:val="center"/>
              <w:rPr>
                <w:rFonts w:eastAsia="Times New Roman" w:cs="Arial"/>
                <w:b/>
                <w:sz w:val="22"/>
                <w:lang w:eastAsia="fr-FR"/>
              </w:rPr>
            </w:pPr>
            <w:r w:rsidRPr="0035552F">
              <w:rPr>
                <w:rFonts w:eastAsia="Times New Roman" w:cs="Arial"/>
                <w:b/>
                <w:sz w:val="22"/>
                <w:lang w:eastAsia="fr-FR"/>
              </w:rPr>
              <w:t>Yves ROLLAND</w:t>
            </w:r>
          </w:p>
          <w:p w:rsidR="00511ACF" w:rsidRPr="00954238" w:rsidRDefault="00103FFB" w:rsidP="00BE0452">
            <w:pPr>
              <w:tabs>
                <w:tab w:val="center" w:pos="4536"/>
                <w:tab w:val="right" w:pos="9072"/>
              </w:tabs>
              <w:spacing w:line="240" w:lineRule="auto"/>
              <w:jc w:val="center"/>
              <w:rPr>
                <w:rFonts w:eastAsia="Times New Roman" w:cs="Arial"/>
                <w:b/>
                <w:sz w:val="22"/>
                <w:lang w:eastAsia="fr-FR"/>
              </w:rPr>
            </w:pPr>
            <w:r w:rsidRPr="00954238">
              <w:rPr>
                <w:rFonts w:eastAsia="Times New Roman" w:cs="Arial"/>
                <w:b/>
                <w:sz w:val="22"/>
                <w:lang w:eastAsia="fr-FR"/>
              </w:rPr>
              <w:t>Président de séance</w:t>
            </w:r>
          </w:p>
        </w:tc>
      </w:tr>
    </w:tbl>
    <w:p w:rsidR="0035552F" w:rsidRDefault="0035552F" w:rsidP="00511ACF">
      <w:pPr>
        <w:tabs>
          <w:tab w:val="center" w:pos="4536"/>
          <w:tab w:val="right" w:pos="9072"/>
        </w:tabs>
        <w:spacing w:line="240" w:lineRule="auto"/>
        <w:jc w:val="both"/>
        <w:rPr>
          <w:rFonts w:eastAsia="Times New Roman" w:cs="Arial"/>
          <w:sz w:val="22"/>
          <w:lang w:eastAsia="fr-FR"/>
        </w:rPr>
      </w:pPr>
    </w:p>
    <w:p w:rsidR="00F942D7" w:rsidRPr="00954238" w:rsidRDefault="00CC0AA9" w:rsidP="00F942D7">
      <w:pPr>
        <w:tabs>
          <w:tab w:val="center" w:pos="4536"/>
        </w:tabs>
        <w:spacing w:line="240" w:lineRule="auto"/>
        <w:jc w:val="both"/>
        <w:rPr>
          <w:rFonts w:eastAsia="Times New Roman" w:cs="Arial"/>
          <w:sz w:val="22"/>
          <w:lang w:eastAsia="fr-FR"/>
        </w:rPr>
      </w:pPr>
    </w:p>
    <w:p w:rsidR="008F197D" w:rsidRPr="00954238" w:rsidRDefault="00BA4F93" w:rsidP="00F35882">
      <w:pPr>
        <w:tabs>
          <w:tab w:val="center" w:pos="4536"/>
        </w:tabs>
        <w:spacing w:line="240" w:lineRule="auto"/>
        <w:jc w:val="both"/>
        <w:rPr>
          <w:rFonts w:cs="Arial"/>
          <w:sz w:val="22"/>
        </w:rPr>
      </w:pPr>
      <w:r w:rsidRPr="00954238">
        <w:rPr>
          <w:rFonts w:eastAsia="Times New Roman" w:cs="Arial"/>
          <w:sz w:val="22"/>
          <w:lang w:eastAsia="fr-FR"/>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d’État dans le </w:t>
      </w:r>
      <w:r w:rsidRPr="00954238">
        <w:rPr>
          <w:rFonts w:eastAsia="Times New Roman" w:cs="Arial"/>
          <w:sz w:val="22"/>
          <w:lang w:eastAsia="fr-FR"/>
        </w:rPr>
        <w:lastRenderedPageBreak/>
        <w:t>délai de deux mois à compter de la notification de l’acte. La révision d’un arrêt ou d’une ordonnance peut être demandée après expiration des délais de pourvoi en cassation, et ce dans les conditions prévues à l’article R. 142-15-I du même code.</w:t>
      </w:r>
    </w:p>
    <w:p w:rsidR="008F197D" w:rsidRPr="00954238" w:rsidRDefault="00CC0AA9" w:rsidP="00F35882">
      <w:pPr>
        <w:spacing w:before="240" w:after="240" w:line="240" w:lineRule="auto"/>
        <w:jc w:val="both"/>
        <w:rPr>
          <w:rFonts w:cs="Arial"/>
          <w:sz w:val="22"/>
        </w:rPr>
      </w:pPr>
    </w:p>
    <w:sectPr w:rsidR="008F197D" w:rsidRPr="00954238" w:rsidSect="007F2707">
      <w:headerReference w:type="default" r:id="rId10"/>
      <w:footerReference w:type="default" r:id="rId11"/>
      <w:headerReference w:type="first" r:id="rId12"/>
      <w:footerReference w:type="first" r:id="rId13"/>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A9" w:rsidRDefault="00CC0AA9" w:rsidP="00B41656">
      <w:pPr>
        <w:spacing w:line="240" w:lineRule="auto"/>
      </w:pPr>
      <w:r>
        <w:separator/>
      </w:r>
    </w:p>
  </w:endnote>
  <w:endnote w:type="continuationSeparator" w:id="0">
    <w:p w:rsidR="00CC0AA9" w:rsidRDefault="00CC0AA9"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954238" w:rsidP="00954238">
          <w:pPr>
            <w:pStyle w:val="Pieddepage"/>
            <w:tabs>
              <w:tab w:val="left" w:pos="3935"/>
              <w:tab w:val="center" w:pos="4498"/>
            </w:tabs>
            <w:rPr>
              <w:rFonts w:cs="Arial"/>
            </w:rPr>
          </w:pPr>
          <w:r>
            <w:rPr>
              <w:rFonts w:cs="Arial"/>
            </w:rPr>
            <w:tab/>
          </w: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A9" w:rsidRDefault="00CC0AA9" w:rsidP="00B41656">
      <w:pPr>
        <w:spacing w:line="240" w:lineRule="auto"/>
      </w:pPr>
      <w:r>
        <w:separator/>
      </w:r>
    </w:p>
  </w:footnote>
  <w:footnote w:type="continuationSeparator" w:id="0">
    <w:p w:rsidR="00CC0AA9" w:rsidRDefault="00CC0AA9"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CC0AA9"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5016DF">
                <w:rPr>
                  <w:b/>
                  <w:noProof/>
                </w:rPr>
                <w:t>5</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5016DF">
                <w:rPr>
                  <w:b/>
                  <w:noProof/>
                </w:rPr>
                <w:t>5</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193E021A" wp14:editId="7AE36DBE">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5D7133"/>
    <w:multiLevelType w:val="hybridMultilevel"/>
    <w:tmpl w:val="1E2CE224"/>
    <w:lvl w:ilvl="0" w:tplc="297616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9C50DE"/>
    <w:multiLevelType w:val="hybridMultilevel"/>
    <w:tmpl w:val="16806C4E"/>
    <w:lvl w:ilvl="0" w:tplc="21ECB0E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1360"/>
    <w:rsid w:val="00057C1C"/>
    <w:rsid w:val="00060466"/>
    <w:rsid w:val="00067EA3"/>
    <w:rsid w:val="000F5299"/>
    <w:rsid w:val="000F53CA"/>
    <w:rsid w:val="00103FFB"/>
    <w:rsid w:val="00110640"/>
    <w:rsid w:val="001248F5"/>
    <w:rsid w:val="0013115F"/>
    <w:rsid w:val="00131A38"/>
    <w:rsid w:val="001440E9"/>
    <w:rsid w:val="0016783F"/>
    <w:rsid w:val="001733C8"/>
    <w:rsid w:val="00177B90"/>
    <w:rsid w:val="001D11BE"/>
    <w:rsid w:val="002040C2"/>
    <w:rsid w:val="002304DE"/>
    <w:rsid w:val="00231C67"/>
    <w:rsid w:val="00240C13"/>
    <w:rsid w:val="00244453"/>
    <w:rsid w:val="00265091"/>
    <w:rsid w:val="00283473"/>
    <w:rsid w:val="002878B1"/>
    <w:rsid w:val="002B492E"/>
    <w:rsid w:val="002B74C3"/>
    <w:rsid w:val="002C0B4C"/>
    <w:rsid w:val="002D0DA9"/>
    <w:rsid w:val="002E75B7"/>
    <w:rsid w:val="0035552F"/>
    <w:rsid w:val="00376FD6"/>
    <w:rsid w:val="003955D7"/>
    <w:rsid w:val="003A09FE"/>
    <w:rsid w:val="003B7BA2"/>
    <w:rsid w:val="003C582D"/>
    <w:rsid w:val="003C729C"/>
    <w:rsid w:val="003D7655"/>
    <w:rsid w:val="004022CB"/>
    <w:rsid w:val="004507C2"/>
    <w:rsid w:val="00466852"/>
    <w:rsid w:val="0047092C"/>
    <w:rsid w:val="00477C3D"/>
    <w:rsid w:val="004A1A11"/>
    <w:rsid w:val="004A49F1"/>
    <w:rsid w:val="005016DF"/>
    <w:rsid w:val="00511ACF"/>
    <w:rsid w:val="00526D04"/>
    <w:rsid w:val="005369EE"/>
    <w:rsid w:val="0054781F"/>
    <w:rsid w:val="005B4CA5"/>
    <w:rsid w:val="005C5994"/>
    <w:rsid w:val="005F61B5"/>
    <w:rsid w:val="00604974"/>
    <w:rsid w:val="006344B0"/>
    <w:rsid w:val="00647807"/>
    <w:rsid w:val="00662166"/>
    <w:rsid w:val="00662E7F"/>
    <w:rsid w:val="00676091"/>
    <w:rsid w:val="006774B5"/>
    <w:rsid w:val="00687F6F"/>
    <w:rsid w:val="006A49D9"/>
    <w:rsid w:val="006A4EB5"/>
    <w:rsid w:val="006A568B"/>
    <w:rsid w:val="006A7750"/>
    <w:rsid w:val="006C72CB"/>
    <w:rsid w:val="006E170E"/>
    <w:rsid w:val="006E3A7F"/>
    <w:rsid w:val="00707BD1"/>
    <w:rsid w:val="00724014"/>
    <w:rsid w:val="007252C5"/>
    <w:rsid w:val="007410AA"/>
    <w:rsid w:val="00764F62"/>
    <w:rsid w:val="00765A21"/>
    <w:rsid w:val="0077703E"/>
    <w:rsid w:val="007A448C"/>
    <w:rsid w:val="007B06F6"/>
    <w:rsid w:val="007E06F2"/>
    <w:rsid w:val="007F2707"/>
    <w:rsid w:val="007F3DB6"/>
    <w:rsid w:val="00813725"/>
    <w:rsid w:val="0081551A"/>
    <w:rsid w:val="008256E2"/>
    <w:rsid w:val="008340BC"/>
    <w:rsid w:val="0085194D"/>
    <w:rsid w:val="00863D04"/>
    <w:rsid w:val="0086760B"/>
    <w:rsid w:val="00875AE9"/>
    <w:rsid w:val="008844EF"/>
    <w:rsid w:val="008A34BF"/>
    <w:rsid w:val="008A6ACF"/>
    <w:rsid w:val="008C244D"/>
    <w:rsid w:val="008E360F"/>
    <w:rsid w:val="008E5EE8"/>
    <w:rsid w:val="008E6349"/>
    <w:rsid w:val="009405CE"/>
    <w:rsid w:val="00950441"/>
    <w:rsid w:val="00954238"/>
    <w:rsid w:val="00966697"/>
    <w:rsid w:val="009802E3"/>
    <w:rsid w:val="009B22BF"/>
    <w:rsid w:val="00A009C2"/>
    <w:rsid w:val="00A02CF7"/>
    <w:rsid w:val="00A02D30"/>
    <w:rsid w:val="00A32C49"/>
    <w:rsid w:val="00A368C8"/>
    <w:rsid w:val="00A4059D"/>
    <w:rsid w:val="00A56A52"/>
    <w:rsid w:val="00A755A3"/>
    <w:rsid w:val="00A83FC9"/>
    <w:rsid w:val="00A9735F"/>
    <w:rsid w:val="00AE0636"/>
    <w:rsid w:val="00AE774F"/>
    <w:rsid w:val="00B128E3"/>
    <w:rsid w:val="00B41656"/>
    <w:rsid w:val="00B645D1"/>
    <w:rsid w:val="00B91F0F"/>
    <w:rsid w:val="00B967C8"/>
    <w:rsid w:val="00BA4F93"/>
    <w:rsid w:val="00BA60D8"/>
    <w:rsid w:val="00BB2920"/>
    <w:rsid w:val="00BB7176"/>
    <w:rsid w:val="00BC40A5"/>
    <w:rsid w:val="00BD40C9"/>
    <w:rsid w:val="00C04525"/>
    <w:rsid w:val="00C17123"/>
    <w:rsid w:val="00C22187"/>
    <w:rsid w:val="00C23B89"/>
    <w:rsid w:val="00C32D50"/>
    <w:rsid w:val="00C470E9"/>
    <w:rsid w:val="00C77CA2"/>
    <w:rsid w:val="00CA1BD5"/>
    <w:rsid w:val="00CC0AA9"/>
    <w:rsid w:val="00CC39B0"/>
    <w:rsid w:val="00CD3E02"/>
    <w:rsid w:val="00CE1BD7"/>
    <w:rsid w:val="00CE4F79"/>
    <w:rsid w:val="00CF6809"/>
    <w:rsid w:val="00D20718"/>
    <w:rsid w:val="00D21CDB"/>
    <w:rsid w:val="00D500EF"/>
    <w:rsid w:val="00D51C43"/>
    <w:rsid w:val="00D62649"/>
    <w:rsid w:val="00D817B5"/>
    <w:rsid w:val="00DA2B0A"/>
    <w:rsid w:val="00DA6392"/>
    <w:rsid w:val="00DB393C"/>
    <w:rsid w:val="00DE48AF"/>
    <w:rsid w:val="00DE6999"/>
    <w:rsid w:val="00E01266"/>
    <w:rsid w:val="00E03E5C"/>
    <w:rsid w:val="00E234E7"/>
    <w:rsid w:val="00E25406"/>
    <w:rsid w:val="00E35B8A"/>
    <w:rsid w:val="00E430FB"/>
    <w:rsid w:val="00E55D24"/>
    <w:rsid w:val="00E86FB6"/>
    <w:rsid w:val="00E87137"/>
    <w:rsid w:val="00ED3235"/>
    <w:rsid w:val="00ED3BBB"/>
    <w:rsid w:val="00EE3AA4"/>
    <w:rsid w:val="00EE4F42"/>
    <w:rsid w:val="00F02D0A"/>
    <w:rsid w:val="00F34BAC"/>
    <w:rsid w:val="00F63CE2"/>
    <w:rsid w:val="00F73ABC"/>
    <w:rsid w:val="00F82FC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D20718"/>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paragraph" w:styleId="Rvision">
    <w:name w:val="Revision"/>
    <w:hidden/>
    <w:uiPriority w:val="71"/>
    <w:rsid w:val="00D20718"/>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156A5-706D-4822-BBFB-3A636F17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1867</Words>
  <Characters>10272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21</cp:revision>
  <cp:lastPrinted>2015-12-07T16:03:00Z</cp:lastPrinted>
  <dcterms:created xsi:type="dcterms:W3CDTF">2015-12-01T13:05:00Z</dcterms:created>
  <dcterms:modified xsi:type="dcterms:W3CDTF">2016-03-11T15:02:00Z</dcterms:modified>
</cp:coreProperties>
</file>