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51" w:rsidRDefault="00785B51" w:rsidP="002774CC">
      <w:pPr>
        <w:pStyle w:val="ET"/>
      </w:pPr>
      <w:r>
        <w:t>COUR DES COMPTES</w:t>
      </w:r>
    </w:p>
    <w:p w:rsidR="00785B51" w:rsidRDefault="00785B51" w:rsidP="00513576">
      <w:pPr>
        <w:pStyle w:val="ET"/>
      </w:pPr>
      <w:r>
        <w:t xml:space="preserve">                 ----------</w:t>
      </w:r>
    </w:p>
    <w:p w:rsidR="00785B51" w:rsidRDefault="00785B51" w:rsidP="00513576">
      <w:pPr>
        <w:pStyle w:val="ET"/>
      </w:pPr>
      <w:r>
        <w:t>QUATRIEME CHAMBRE</w:t>
      </w:r>
    </w:p>
    <w:p w:rsidR="00785B51" w:rsidRDefault="00785B51" w:rsidP="00513576">
      <w:pPr>
        <w:pStyle w:val="ET"/>
      </w:pPr>
      <w:r>
        <w:t xml:space="preserve">                 ----------</w:t>
      </w:r>
    </w:p>
    <w:p w:rsidR="00785B51" w:rsidRDefault="00785B51" w:rsidP="00513576">
      <w:pPr>
        <w:pStyle w:val="ET"/>
      </w:pPr>
      <w:r>
        <w:t>PREMIERE SECTION</w:t>
      </w:r>
    </w:p>
    <w:p w:rsidR="00785B51" w:rsidRDefault="00785B51" w:rsidP="00513576">
      <w:pPr>
        <w:pStyle w:val="ET"/>
      </w:pPr>
      <w:r>
        <w:t xml:space="preserve">                 ---------- </w:t>
      </w:r>
    </w:p>
    <w:p w:rsidR="00785B51" w:rsidRDefault="00785B51" w:rsidP="00513576">
      <w:pPr>
        <w:pStyle w:val="ET"/>
      </w:pPr>
    </w:p>
    <w:p w:rsidR="00785B51" w:rsidRPr="000108F8" w:rsidRDefault="00785B51" w:rsidP="000108F8">
      <w:pPr>
        <w:pStyle w:val="ET"/>
        <w:rPr>
          <w:bCs w:val="0"/>
          <w:i/>
          <w:sz w:val="22"/>
          <w:szCs w:val="22"/>
        </w:rPr>
      </w:pPr>
      <w:r>
        <w:rPr>
          <w:b w:val="0"/>
          <w:i/>
        </w:rPr>
        <w:t xml:space="preserve">           </w:t>
      </w:r>
      <w:r w:rsidRPr="000108F8">
        <w:rPr>
          <w:bCs w:val="0"/>
          <w:i/>
          <w:caps w:val="0"/>
          <w:sz w:val="22"/>
          <w:szCs w:val="22"/>
        </w:rPr>
        <w:t>Arrêt n</w:t>
      </w:r>
      <w:r w:rsidRPr="000108F8">
        <w:rPr>
          <w:bCs w:val="0"/>
          <w:i/>
          <w:sz w:val="22"/>
          <w:szCs w:val="22"/>
        </w:rPr>
        <w:t>° 44698</w:t>
      </w:r>
    </w:p>
    <w:p w:rsidR="00785B51" w:rsidRDefault="00785B51" w:rsidP="000108F8">
      <w:pPr>
        <w:pStyle w:val="OR"/>
      </w:pPr>
      <w:r w:rsidRPr="000108F8">
        <w:t xml:space="preserve">UNIVERSITÉ JEAN MONNET </w:t>
      </w:r>
    </w:p>
    <w:p w:rsidR="00785B51" w:rsidRPr="000108F8" w:rsidRDefault="00785B51" w:rsidP="000108F8">
      <w:pPr>
        <w:pStyle w:val="OR"/>
        <w:spacing w:after="120"/>
      </w:pPr>
      <w:r w:rsidRPr="000108F8">
        <w:t>DE SAINT</w:t>
      </w:r>
      <w:r>
        <w:t>-</w:t>
      </w:r>
      <w:r w:rsidRPr="000108F8">
        <w:t>ETIENNE</w:t>
      </w:r>
    </w:p>
    <w:p w:rsidR="00785B51" w:rsidRPr="000108F8" w:rsidRDefault="00785B51" w:rsidP="000108F8">
      <w:pPr>
        <w:pStyle w:val="OR"/>
        <w:spacing w:after="120"/>
      </w:pPr>
      <w:r w:rsidRPr="000108F8">
        <w:rPr>
          <w:caps/>
        </w:rPr>
        <w:t>Association</w:t>
      </w:r>
      <w:r w:rsidRPr="000108F8">
        <w:t xml:space="preserve"> « INSTITUT DES SCIENCES ET DE LA VISION » </w:t>
      </w:r>
    </w:p>
    <w:p w:rsidR="00785B51" w:rsidRPr="000108F8" w:rsidRDefault="00785B51" w:rsidP="000108F8">
      <w:pPr>
        <w:pStyle w:val="OR"/>
        <w:spacing w:after="120"/>
      </w:pPr>
      <w:r w:rsidRPr="000108F8">
        <w:t>(Gestion de fait)</w:t>
      </w:r>
    </w:p>
    <w:p w:rsidR="00785B51" w:rsidRPr="000108F8" w:rsidRDefault="00785B51" w:rsidP="000108F8">
      <w:pPr>
        <w:pStyle w:val="OR"/>
        <w:spacing w:after="120"/>
      </w:pPr>
      <w:r w:rsidRPr="000108F8">
        <w:t xml:space="preserve">Appel d’un jugement de la chambre </w:t>
      </w:r>
      <w:r>
        <w:t>régionale des comptes de Rhône-</w:t>
      </w:r>
      <w:r w:rsidRPr="000108F8">
        <w:t>Alpes</w:t>
      </w:r>
    </w:p>
    <w:p w:rsidR="00785B51" w:rsidRPr="000108F8" w:rsidRDefault="00785B51" w:rsidP="002774CC">
      <w:pPr>
        <w:pStyle w:val="OR"/>
        <w:spacing w:after="120"/>
      </w:pPr>
      <w:r w:rsidRPr="000108F8">
        <w:t>Rapport n°</w:t>
      </w:r>
      <w:r>
        <w:t> </w:t>
      </w:r>
      <w:r w:rsidRPr="000108F8">
        <w:t>2006-17-0</w:t>
      </w:r>
    </w:p>
    <w:p w:rsidR="00785B51" w:rsidRPr="000108F8" w:rsidRDefault="00785B51" w:rsidP="000108F8">
      <w:pPr>
        <w:pStyle w:val="OR"/>
        <w:spacing w:after="120"/>
      </w:pPr>
      <w:r w:rsidRPr="000108F8">
        <w:t>Audience publique du 23 février 2006</w:t>
      </w:r>
    </w:p>
    <w:p w:rsidR="00785B51" w:rsidRPr="000108F8" w:rsidRDefault="00785B51" w:rsidP="000108F8">
      <w:pPr>
        <w:pStyle w:val="OR"/>
      </w:pPr>
      <w:r w:rsidRPr="000108F8">
        <w:t xml:space="preserve">Lecture publique du </w:t>
      </w:r>
      <w:r>
        <w:t xml:space="preserve">23 </w:t>
      </w:r>
      <w:r w:rsidRPr="000108F8">
        <w:t>mars 2006</w:t>
      </w:r>
    </w:p>
    <w:p w:rsidR="00785B51" w:rsidRDefault="00785B51" w:rsidP="00513576">
      <w:pPr>
        <w:pStyle w:val="AR"/>
        <w:spacing w:before="120" w:after="120"/>
        <w:ind w:left="567"/>
        <w:jc w:val="center"/>
        <w:rPr>
          <w:u w:val="none"/>
        </w:rPr>
      </w:pPr>
    </w:p>
    <w:p w:rsidR="00785B51" w:rsidRDefault="00785B51" w:rsidP="000108F8">
      <w:pPr>
        <w:pStyle w:val="PS"/>
      </w:pPr>
    </w:p>
    <w:p w:rsidR="00785B51" w:rsidRPr="00AA19D6" w:rsidRDefault="00785B51" w:rsidP="000108F8">
      <w:pPr>
        <w:pStyle w:val="PS"/>
      </w:pPr>
      <w:r w:rsidRPr="00AA19D6">
        <w:t>LA COUR DES COMPTES, siégeant en audience publique,</w:t>
      </w:r>
      <w:r>
        <w:t xml:space="preserve"> a rendu l’arrêt suivant :</w:t>
      </w:r>
    </w:p>
    <w:p w:rsidR="00785B51" w:rsidRPr="00AA19D6" w:rsidRDefault="00785B51" w:rsidP="000108F8">
      <w:pPr>
        <w:pStyle w:val="PS"/>
      </w:pPr>
      <w:r w:rsidRPr="00AA19D6">
        <w:t>LA COUR,</w:t>
      </w:r>
    </w:p>
    <w:p w:rsidR="00785B51" w:rsidRPr="00C007FC" w:rsidRDefault="00785B51" w:rsidP="000108F8">
      <w:pPr>
        <w:pStyle w:val="PS"/>
        <w:rPr>
          <w:color w:val="000000"/>
        </w:rPr>
      </w:pPr>
      <w:r w:rsidRPr="00C007FC">
        <w:rPr>
          <w:color w:val="000000"/>
        </w:rPr>
        <w:t xml:space="preserve">Vu les requêtes enregistrées les </w:t>
      </w:r>
      <w:r>
        <w:rPr>
          <w:color w:val="000000"/>
        </w:rPr>
        <w:t>18, 23</w:t>
      </w:r>
      <w:r w:rsidRPr="00C007FC">
        <w:rPr>
          <w:color w:val="000000"/>
        </w:rPr>
        <w:t xml:space="preserve"> et </w:t>
      </w:r>
      <w:r>
        <w:rPr>
          <w:color w:val="000000"/>
        </w:rPr>
        <w:t>29 juillet 2005</w:t>
      </w:r>
      <w:r w:rsidRPr="00C007FC">
        <w:rPr>
          <w:color w:val="000000"/>
        </w:rPr>
        <w:t xml:space="preserve"> au greffe de la chambre régionale des comptes de Rhône-Alpes, par lesquelles MM.</w:t>
      </w:r>
      <w:r>
        <w:rPr>
          <w:color w:val="000000"/>
        </w:rPr>
        <w:t> Bernard X</w:t>
      </w:r>
      <w:r w:rsidRPr="00C007FC">
        <w:rPr>
          <w:color w:val="000000"/>
        </w:rPr>
        <w:t xml:space="preserve"> et </w:t>
      </w:r>
      <w:r>
        <w:rPr>
          <w:color w:val="000000"/>
        </w:rPr>
        <w:t>Bernard Y</w:t>
      </w:r>
      <w:r w:rsidRPr="00C007FC">
        <w:rPr>
          <w:color w:val="000000"/>
        </w:rPr>
        <w:t xml:space="preserve">, </w:t>
      </w:r>
      <w:r>
        <w:rPr>
          <w:color w:val="000000"/>
        </w:rPr>
        <w:t xml:space="preserve">ainsi que l’association « INSTITUT DES SCIENCES DE LA VISION », </w:t>
      </w:r>
      <w:r w:rsidRPr="00C007FC">
        <w:rPr>
          <w:color w:val="000000"/>
        </w:rPr>
        <w:t xml:space="preserve">ont interjeté appel d’un jugement </w:t>
      </w:r>
      <w:r w:rsidRPr="00AF4A16">
        <w:t>n°</w:t>
      </w:r>
      <w:r>
        <w:t> </w:t>
      </w:r>
      <w:r w:rsidRPr="00AF4A16">
        <w:t>2005</w:t>
      </w:r>
      <w:r>
        <w:t xml:space="preserve">-03-GF rendu le </w:t>
      </w:r>
      <w:r w:rsidRPr="00AF4A16">
        <w:t>11</w:t>
      </w:r>
      <w:r>
        <w:t> </w:t>
      </w:r>
      <w:r w:rsidRPr="00AF4A16">
        <w:t>mai</w:t>
      </w:r>
      <w:r>
        <w:t> </w:t>
      </w:r>
      <w:r w:rsidRPr="00AF4A16">
        <w:t>2005</w:t>
      </w:r>
      <w:r>
        <w:rPr>
          <w:color w:val="000000"/>
        </w:rPr>
        <w:t xml:space="preserve"> </w:t>
      </w:r>
      <w:r w:rsidRPr="00C007FC">
        <w:rPr>
          <w:color w:val="000000"/>
        </w:rPr>
        <w:t>par ladite chambre</w:t>
      </w:r>
      <w:r>
        <w:rPr>
          <w:color w:val="000000"/>
        </w:rPr>
        <w:t>,</w:t>
      </w:r>
      <w:r w:rsidRPr="00C007FC">
        <w:rPr>
          <w:color w:val="000000"/>
        </w:rPr>
        <w:t xml:space="preserve"> les </w:t>
      </w:r>
      <w:r>
        <w:rPr>
          <w:color w:val="000000"/>
        </w:rPr>
        <w:t xml:space="preserve">constituant </w:t>
      </w:r>
      <w:r w:rsidRPr="00C007FC">
        <w:rPr>
          <w:color w:val="000000"/>
        </w:rPr>
        <w:t xml:space="preserve">conjointement et solidairement comptables de fait des deniers </w:t>
      </w:r>
      <w:r>
        <w:rPr>
          <w:color w:val="000000"/>
        </w:rPr>
        <w:t>de l’Université JEAN MONNET de SAINT-ETIENNE (Loire) ;</w:t>
      </w:r>
    </w:p>
    <w:p w:rsidR="00785B51" w:rsidRDefault="00785B51" w:rsidP="000108F8">
      <w:pPr>
        <w:pStyle w:val="PS"/>
      </w:pPr>
      <w:r w:rsidRPr="00AA19D6">
        <w:t>Vu les avis de réception faisant preuve de la notification de</w:t>
      </w:r>
      <w:r>
        <w:t>sdites</w:t>
      </w:r>
      <w:r w:rsidRPr="00AA19D6">
        <w:t xml:space="preserve"> requête</w:t>
      </w:r>
      <w:r>
        <w:t>s</w:t>
      </w:r>
      <w:r w:rsidRPr="00AA19D6">
        <w:t xml:space="preserve"> aux parties intéressées ;</w:t>
      </w:r>
    </w:p>
    <w:p w:rsidR="00785B51" w:rsidRDefault="00785B51" w:rsidP="000108F8">
      <w:pPr>
        <w:pStyle w:val="PS"/>
      </w:pPr>
      <w:r>
        <w:t>Vu le réquisitoire du procureur général de la République en date du 16 septembre </w:t>
      </w:r>
      <w:r w:rsidRPr="00AA19D6">
        <w:t xml:space="preserve">2005, </w:t>
      </w:r>
      <w:r>
        <w:t>saisissant la Cour d’une demande de sursis à exécution</w:t>
      </w:r>
      <w:r w:rsidRPr="00AA19D6">
        <w:t> ;</w:t>
      </w:r>
    </w:p>
    <w:p w:rsidR="00785B51" w:rsidRPr="00AA19D6" w:rsidRDefault="00785B51" w:rsidP="000108F8">
      <w:pPr>
        <w:pStyle w:val="PS"/>
      </w:pPr>
      <w:r w:rsidRPr="00AA19D6">
        <w:t>Vu le réquisitoire du procureur général de la République en date du</w:t>
      </w:r>
      <w:r>
        <w:t xml:space="preserve"> 17 novembre 2005</w:t>
      </w:r>
      <w:r w:rsidRPr="00AA19D6">
        <w:t>, appuyant la transmission de</w:t>
      </w:r>
      <w:r>
        <w:t xml:space="preserve"> la</w:t>
      </w:r>
      <w:r w:rsidRPr="00AA19D6">
        <w:t xml:space="preserve"> requête précitée</w:t>
      </w:r>
      <w:r>
        <w:t> ;</w:t>
      </w:r>
    </w:p>
    <w:p w:rsidR="00785B51" w:rsidRDefault="00785B51" w:rsidP="000108F8">
      <w:pPr>
        <w:pStyle w:val="PS"/>
      </w:pPr>
      <w:r w:rsidRPr="00AA19D6">
        <w:t>Vu les pièces de la procédure suivie en première instance, ensemble le jugement</w:t>
      </w:r>
      <w:r w:rsidRPr="00DD0470">
        <w:t xml:space="preserve"> </w:t>
      </w:r>
      <w:r>
        <w:t>provisoire du 13 novembre 2003</w:t>
      </w:r>
      <w:r w:rsidRPr="00AA19D6">
        <w:t xml:space="preserve"> </w:t>
      </w:r>
      <w:r>
        <w:t xml:space="preserve">et </w:t>
      </w:r>
      <w:r w:rsidRPr="00AA19D6">
        <w:t xml:space="preserve">le jugement définitif du </w:t>
      </w:r>
      <w:r>
        <w:t xml:space="preserve">11 mai 2005 </w:t>
      </w:r>
      <w:r w:rsidRPr="00AA19D6">
        <w:t xml:space="preserve">dont </w:t>
      </w:r>
      <w:r>
        <w:t>est</w:t>
      </w:r>
      <w:r w:rsidRPr="00AA19D6">
        <w:t xml:space="preserve"> appel ;</w:t>
      </w:r>
    </w:p>
    <w:p w:rsidR="00785B51" w:rsidRPr="00DD0470" w:rsidRDefault="00785B51" w:rsidP="000108F8">
      <w:pPr>
        <w:pStyle w:val="PS"/>
      </w:pPr>
      <w:r w:rsidRPr="00DD0470">
        <w:t>Vu la lettre en date du 7</w:t>
      </w:r>
      <w:r>
        <w:t> </w:t>
      </w:r>
      <w:r w:rsidRPr="00DD0470">
        <w:t>février</w:t>
      </w:r>
      <w:r>
        <w:t> </w:t>
      </w:r>
      <w:r w:rsidRPr="00DD0470">
        <w:t>2006 informant les appelants et leurs conseils de la tenue d’une audience publique et de la possibilité pour eux d’y présenter leurs observations ;</w:t>
      </w:r>
    </w:p>
    <w:p w:rsidR="00785B51" w:rsidRPr="00AA19D6" w:rsidRDefault="00785B51" w:rsidP="000108F8">
      <w:pPr>
        <w:pStyle w:val="PS"/>
      </w:pPr>
      <w:r w:rsidRPr="00AA19D6">
        <w:t>Vu le code des juridictions financières ;</w:t>
      </w:r>
    </w:p>
    <w:p w:rsidR="00785B51" w:rsidRPr="00AA19D6" w:rsidRDefault="00785B51" w:rsidP="000108F8">
      <w:pPr>
        <w:pStyle w:val="PS"/>
      </w:pPr>
      <w:r w:rsidRPr="00AA19D6">
        <w:t>Vu l’article 60-XI de la loi de finances du 23</w:t>
      </w:r>
      <w:r>
        <w:t> </w:t>
      </w:r>
      <w:r w:rsidRPr="00AA19D6">
        <w:t>février</w:t>
      </w:r>
      <w:r>
        <w:t> </w:t>
      </w:r>
      <w:r w:rsidRPr="00AA19D6">
        <w:t>1963 </w:t>
      </w:r>
      <w:r>
        <w:t xml:space="preserve">modifiée </w:t>
      </w:r>
      <w:r w:rsidRPr="00AA19D6">
        <w:t>;</w:t>
      </w:r>
    </w:p>
    <w:p w:rsidR="00785B51" w:rsidRDefault="00785B51" w:rsidP="000108F8">
      <w:pPr>
        <w:pStyle w:val="PS"/>
      </w:pPr>
      <w:r w:rsidRPr="00AA19D6">
        <w:t>Vu le décret du 29</w:t>
      </w:r>
      <w:r>
        <w:t> </w:t>
      </w:r>
      <w:r w:rsidRPr="00AA19D6">
        <w:t>décembre</w:t>
      </w:r>
      <w:r>
        <w:t> </w:t>
      </w:r>
      <w:r w:rsidRPr="00AA19D6">
        <w:t>1962 portant règlement général sur la comptabilité publique ;</w:t>
      </w:r>
    </w:p>
    <w:p w:rsidR="00785B51" w:rsidRDefault="00785B51" w:rsidP="000108F8">
      <w:pPr>
        <w:pStyle w:val="PS"/>
      </w:pPr>
      <w:r>
        <w:t>Vu les articles L. 115-1 et suivants du code du travail ;</w:t>
      </w:r>
    </w:p>
    <w:p w:rsidR="00785B51" w:rsidRDefault="00785B51" w:rsidP="000108F8">
      <w:pPr>
        <w:pStyle w:val="PS"/>
      </w:pPr>
      <w:r>
        <w:t>Vu le décret n° 72-283 du 12 avril 1972 modifié ;</w:t>
      </w:r>
    </w:p>
    <w:p w:rsidR="00785B51" w:rsidRPr="00AA19D6" w:rsidRDefault="00785B51" w:rsidP="002774CC">
      <w:pPr>
        <w:pStyle w:val="PS"/>
      </w:pPr>
      <w:r>
        <w:t>Sur le rapport de M. Sitbon, conseiller référendaire</w:t>
      </w:r>
      <w:r w:rsidRPr="00AA19D6">
        <w:t> ;</w:t>
      </w:r>
    </w:p>
    <w:p w:rsidR="00785B51" w:rsidRPr="00AA19D6" w:rsidRDefault="00785B51" w:rsidP="000108F8">
      <w:pPr>
        <w:pStyle w:val="PS"/>
      </w:pPr>
      <w:r w:rsidRPr="00AA19D6">
        <w:t>Vu les conclusions du procureur général de la République ;</w:t>
      </w:r>
    </w:p>
    <w:p w:rsidR="00785B51" w:rsidRPr="00AA19D6" w:rsidRDefault="00785B51" w:rsidP="0075074B">
      <w:pPr>
        <w:pStyle w:val="PS"/>
      </w:pPr>
      <w:r w:rsidRPr="00AA19D6">
        <w:t>Après avoir entendu</w:t>
      </w:r>
      <w:r>
        <w:t>,</w:t>
      </w:r>
      <w:r w:rsidRPr="00AA19D6">
        <w:t xml:space="preserve"> </w:t>
      </w:r>
      <w:r>
        <w:t>lors de</w:t>
      </w:r>
      <w:r w:rsidRPr="00AA19D6">
        <w:t xml:space="preserve"> l’audience publique </w:t>
      </w:r>
      <w:r>
        <w:t>de ce jour,</w:t>
      </w:r>
      <w:r w:rsidRPr="00AA19D6">
        <w:t xml:space="preserve"> le</w:t>
      </w:r>
      <w:r>
        <w:t xml:space="preserve"> </w:t>
      </w:r>
      <w:r w:rsidRPr="00AA19D6">
        <w:t>rapporteur</w:t>
      </w:r>
      <w:r>
        <w:t xml:space="preserve"> dans son exposé</w:t>
      </w:r>
      <w:r w:rsidRPr="00AA19D6">
        <w:t>, M.</w:t>
      </w:r>
      <w:r>
        <w:t xml:space="preserve"> Frentz, </w:t>
      </w:r>
      <w:r w:rsidRPr="00AA19D6">
        <w:t>avocat général</w:t>
      </w:r>
      <w:r>
        <w:t xml:space="preserve">, en ses conclusions orales, M. Y ainsi que </w:t>
      </w:r>
      <w:r w:rsidRPr="00F53874">
        <w:t>Maître</w:t>
      </w:r>
      <w:r w:rsidRPr="00BF2A27">
        <w:t xml:space="preserve"> </w:t>
      </w:r>
      <w:r>
        <w:t>Mouseghian, représentant l’association ISV, l’</w:t>
      </w:r>
      <w:r w:rsidRPr="00AA19D6">
        <w:t xml:space="preserve">appelant et </w:t>
      </w:r>
      <w:r>
        <w:t>le</w:t>
      </w:r>
      <w:r w:rsidRPr="00AA19D6">
        <w:t xml:space="preserve"> conseil</w:t>
      </w:r>
      <w:r>
        <w:t xml:space="preserve"> de l’association requérante </w:t>
      </w:r>
      <w:r w:rsidRPr="00AA19D6">
        <w:t>ayant eu la parole en dernier ;</w:t>
      </w:r>
    </w:p>
    <w:p w:rsidR="00785B51" w:rsidRPr="00AA19D6" w:rsidRDefault="00785B51" w:rsidP="00183B15">
      <w:pPr>
        <w:pStyle w:val="PS"/>
      </w:pPr>
      <w:r w:rsidRPr="00AA19D6">
        <w:t>Après avoir entendu, les parties, le ministère public et le rappor</w:t>
      </w:r>
      <w:r>
        <w:t>teur s’étant retirés, M. Collinet,</w:t>
      </w:r>
      <w:r w:rsidRPr="00AA19D6">
        <w:t xml:space="preserve"> </w:t>
      </w:r>
      <w:r>
        <w:t>président de chambre maintenu en activité</w:t>
      </w:r>
      <w:r w:rsidRPr="00AA19D6">
        <w:t>, en ses observations ;</w:t>
      </w:r>
    </w:p>
    <w:p w:rsidR="00785B51" w:rsidRPr="002125C6" w:rsidRDefault="00785B51" w:rsidP="000108F8">
      <w:pPr>
        <w:pStyle w:val="PS"/>
        <w:rPr>
          <w:b/>
          <w:bCs/>
          <w:i/>
          <w:iCs/>
        </w:rPr>
      </w:pPr>
      <w:r w:rsidRPr="002125C6">
        <w:rPr>
          <w:b/>
          <w:bCs/>
          <w:i/>
          <w:iCs/>
        </w:rPr>
        <w:t xml:space="preserve">Sur la </w:t>
      </w:r>
      <w:r>
        <w:rPr>
          <w:b/>
          <w:bCs/>
          <w:i/>
          <w:iCs/>
        </w:rPr>
        <w:t>recevabilité</w:t>
      </w:r>
    </w:p>
    <w:p w:rsidR="00785B51" w:rsidRPr="005F644B" w:rsidRDefault="00785B51" w:rsidP="002774CC">
      <w:pPr>
        <w:pStyle w:val="PS"/>
      </w:pPr>
      <w:r w:rsidRPr="005F644B">
        <w:t xml:space="preserve">Attendu que </w:t>
      </w:r>
      <w:r>
        <w:t>les requérants ont qualité et intérêt pour élever appel contre les dispositions définitives du jugement susvisé du 11 mai 2005 ; que les requêtes contiennent un exposé des faits, ainsi que les moyens et conclusions des demandeurs ; qu’elles ont été enregistrées dans les délais réglementaires ; que les requêtes de MM. X et Y et de l’association « Institut des sciences et de la vision » sont donc recevables ;</w:t>
      </w:r>
    </w:p>
    <w:p w:rsidR="00785B51" w:rsidRDefault="00785B51" w:rsidP="000108F8">
      <w:pPr>
        <w:pStyle w:val="PS"/>
      </w:pPr>
      <w:r w:rsidRPr="00F07621">
        <w:t xml:space="preserve">Attendu par ailleurs </w:t>
      </w:r>
      <w:r w:rsidRPr="00F07621">
        <w:rPr>
          <w:color w:val="000000"/>
        </w:rPr>
        <w:t xml:space="preserve">que les </w:t>
      </w:r>
      <w:r w:rsidRPr="00F07621">
        <w:t>requêtes</w:t>
      </w:r>
      <w:r w:rsidRPr="00F07621">
        <w:rPr>
          <w:color w:val="000000"/>
        </w:rPr>
        <w:t xml:space="preserve"> sont dirigées contre le même jugement </w:t>
      </w:r>
      <w:r w:rsidRPr="00F07621">
        <w:t>concernant la même cause</w:t>
      </w:r>
      <w:r>
        <w:t> ; qu’</w:t>
      </w:r>
      <w:r w:rsidRPr="00F07621">
        <w:t>il y a lieu de les joindre pour qu’il y soit statué par un seul et même arrêt ;</w:t>
      </w:r>
    </w:p>
    <w:p w:rsidR="00785B51" w:rsidRPr="00346E0D" w:rsidRDefault="00785B51" w:rsidP="000108F8">
      <w:pPr>
        <w:pStyle w:val="PS"/>
        <w:rPr>
          <w:b/>
          <w:bCs/>
        </w:rPr>
      </w:pPr>
      <w:r w:rsidRPr="00346E0D">
        <w:rPr>
          <w:b/>
          <w:bCs/>
          <w:i/>
          <w:iCs/>
        </w:rPr>
        <w:t xml:space="preserve">Sur la demande de </w:t>
      </w:r>
      <w:bookmarkStart w:id="0" w:name="SPIINFOPAGE_23_0"/>
      <w:bookmarkEnd w:id="0"/>
      <w:r w:rsidRPr="00346E0D">
        <w:rPr>
          <w:b/>
          <w:bCs/>
          <w:i/>
          <w:iCs/>
        </w:rPr>
        <w:t xml:space="preserve">sursis à exécution </w:t>
      </w:r>
    </w:p>
    <w:p w:rsidR="00785B51" w:rsidRPr="00346E0D" w:rsidRDefault="00785B51" w:rsidP="000108F8">
      <w:pPr>
        <w:pStyle w:val="PS"/>
      </w:pPr>
      <w:r w:rsidRPr="00346E0D">
        <w:t>Attendu que le dossier est en état d’examen, que l</w:t>
      </w:r>
      <w:r>
        <w:t>es</w:t>
      </w:r>
      <w:r w:rsidRPr="00346E0D">
        <w:t xml:space="preserve"> demande</w:t>
      </w:r>
      <w:r>
        <w:t>s</w:t>
      </w:r>
      <w:r w:rsidRPr="00346E0D">
        <w:t xml:space="preserve"> de sursis à exécution </w:t>
      </w:r>
      <w:r>
        <w:t>sont</w:t>
      </w:r>
      <w:r w:rsidRPr="00346E0D">
        <w:t xml:space="preserve"> </w:t>
      </w:r>
      <w:r>
        <w:t>ainsi</w:t>
      </w:r>
      <w:r w:rsidRPr="00346E0D">
        <w:t xml:space="preserve"> </w:t>
      </w:r>
      <w:r>
        <w:t>dénuées</w:t>
      </w:r>
      <w:r w:rsidRPr="00346E0D">
        <w:t xml:space="preserve"> </w:t>
      </w:r>
      <w:r>
        <w:t>d’</w:t>
      </w:r>
      <w:r w:rsidRPr="00346E0D">
        <w:t xml:space="preserve">objet </w:t>
      </w:r>
      <w:r>
        <w:t>et qu’</w:t>
      </w:r>
      <w:r w:rsidRPr="00346E0D">
        <w:t>il n’y a pas lieu d’y statuer ;</w:t>
      </w:r>
    </w:p>
    <w:p w:rsidR="00785B51" w:rsidRPr="00AA19D6" w:rsidRDefault="00785B51" w:rsidP="000108F8">
      <w:pPr>
        <w:pStyle w:val="PS"/>
        <w:rPr>
          <w:b/>
          <w:bCs/>
          <w:i/>
          <w:iCs/>
        </w:rPr>
      </w:pPr>
      <w:r w:rsidRPr="00AA19D6">
        <w:rPr>
          <w:b/>
          <w:bCs/>
          <w:i/>
          <w:iCs/>
        </w:rPr>
        <w:t>Sur le fond</w:t>
      </w:r>
    </w:p>
    <w:p w:rsidR="00785B51" w:rsidRDefault="00785B51" w:rsidP="00183B15">
      <w:pPr>
        <w:pStyle w:val="PS"/>
      </w:pPr>
      <w:r>
        <w:t>Attendu que, selon les appelants, le jugement attaqué n’établit pas que les sommes perçues par l’association requérante, de 1994 à 2001, pour un montant total de </w:t>
      </w:r>
      <w:r w:rsidRPr="00AF4A16">
        <w:t>2 364 051,91</w:t>
      </w:r>
      <w:r>
        <w:t> </w:t>
      </w:r>
      <w:r w:rsidRPr="00AF4A16">
        <w:t>€</w:t>
      </w:r>
      <w:r>
        <w:t>,</w:t>
      </w:r>
      <w:r w:rsidRPr="00AF4A16">
        <w:t xml:space="preserve"> </w:t>
      </w:r>
      <w:r>
        <w:t>constituaient des deniers destinés à l’université Jean Monnet de Saint- Etienne ;</w:t>
      </w:r>
    </w:p>
    <w:p w:rsidR="00785B51" w:rsidRDefault="00785B51" w:rsidP="002774CC">
      <w:pPr>
        <w:pStyle w:val="PS"/>
      </w:pPr>
      <w:r>
        <w:t xml:space="preserve">Attendu qu’une convention </w:t>
      </w:r>
      <w:r w:rsidRPr="00AF4A16">
        <w:t>de partenariat a été signée, le 7</w:t>
      </w:r>
      <w:r>
        <w:t> </w:t>
      </w:r>
      <w:r w:rsidRPr="00AF4A16">
        <w:t>novembre</w:t>
      </w:r>
      <w:r>
        <w:t> </w:t>
      </w:r>
      <w:r w:rsidRPr="00AF4A16">
        <w:t>1994, par M.</w:t>
      </w:r>
      <w:r>
        <w:t> </w:t>
      </w:r>
      <w:r w:rsidRPr="00AF4A16">
        <w:t>X, en sa qualité de président de l’université, et par M.</w:t>
      </w:r>
      <w:r>
        <w:t> </w:t>
      </w:r>
      <w:r w:rsidRPr="00AF4A16">
        <w:t xml:space="preserve">Y, représentant l’association </w:t>
      </w:r>
      <w:r w:rsidRPr="00C0154E">
        <w:t>« Institut d’ingénierie de la vision et du contrôle » (IIVC),</w:t>
      </w:r>
      <w:r>
        <w:t xml:space="preserve"> aujourd’hui dénommée « Institut des sciences de la vision » (ISV) ; que par cette convention, l’université Jean Monnet de Saint- Etienne a confié à ladite association la préparation à trois diplômes nationaux ; mais, attendu que ladite </w:t>
      </w:r>
      <w:r w:rsidRPr="00AF4A16">
        <w:t>convention</w:t>
      </w:r>
      <w:r>
        <w:t xml:space="preserve"> </w:t>
      </w:r>
      <w:r w:rsidRPr="00AF4A16">
        <w:t xml:space="preserve">n’a </w:t>
      </w:r>
      <w:r>
        <w:t>jamais</w:t>
      </w:r>
      <w:r w:rsidRPr="00AF4A16">
        <w:t xml:space="preserve"> été présentée pour approbation au conseil d’administration de l’université</w:t>
      </w:r>
      <w:r>
        <w:t> et qu’ainsi elle n’a pas été revêtue du caractère exécutoire ; que nonobstant les moyens des appelants, ses stipulations ne liaient pas l’université et l’association IIVC ;</w:t>
      </w:r>
    </w:p>
    <w:p w:rsidR="00785B51" w:rsidRDefault="00785B51" w:rsidP="002774CC">
      <w:pPr>
        <w:pStyle w:val="PS"/>
      </w:pPr>
      <w:r>
        <w:t xml:space="preserve">Attendu que, sur la base de conventions annuelles conclues entre 1994 et 2001, </w:t>
      </w:r>
      <w:r w:rsidRPr="00AF4A16">
        <w:t>l’association IIVC</w:t>
      </w:r>
      <w:r>
        <w:t> </w:t>
      </w:r>
      <w:r w:rsidRPr="00AF4A16">
        <w:t xml:space="preserve"> a perçu 2 364 051,91</w:t>
      </w:r>
      <w:r>
        <w:t> </w:t>
      </w:r>
      <w:r w:rsidRPr="00AF4A16">
        <w:t xml:space="preserve">€ du centre de formation d’apprentis de </w:t>
      </w:r>
      <w:r>
        <w:t>l’Institut de formation en apprentissage dans l’industrie (</w:t>
      </w:r>
      <w:r w:rsidRPr="00AF4A16">
        <w:t>IFAI</w:t>
      </w:r>
      <w:r>
        <w:t>)</w:t>
      </w:r>
      <w:r w:rsidRPr="00AF4A16">
        <w:t>, organisme collecteur de la ta</w:t>
      </w:r>
      <w:r>
        <w:t>xe d’apprentissage ; que lesdites conventions annuelles</w:t>
      </w:r>
      <w:r w:rsidRPr="00AF4A16">
        <w:t xml:space="preserve"> </w:t>
      </w:r>
      <w:r>
        <w:t xml:space="preserve">se rapportaient, pour certaines d’entre elles, </w:t>
      </w:r>
      <w:r w:rsidRPr="00AF4A16">
        <w:t xml:space="preserve">aux trois diplômes nationaux </w:t>
      </w:r>
      <w:r>
        <w:t>visés dans la convention du 7 novembre 1994 susmentionnée ;</w:t>
      </w:r>
    </w:p>
    <w:p w:rsidR="00785B51" w:rsidRDefault="00785B51" w:rsidP="000108F8">
      <w:pPr>
        <w:pStyle w:val="PS"/>
      </w:pPr>
      <w:r>
        <w:t xml:space="preserve">Attendu que </w:t>
      </w:r>
      <w:r w:rsidRPr="002C5709">
        <w:t xml:space="preserve">l’association IIVC </w:t>
      </w:r>
      <w:r>
        <w:t xml:space="preserve">a été </w:t>
      </w:r>
      <w:r w:rsidRPr="002C5709">
        <w:t>dé</w:t>
      </w:r>
      <w:r>
        <w:t>clarée</w:t>
      </w:r>
      <w:r w:rsidRPr="002C5709">
        <w:t xml:space="preserve"> auprès de la direction régionale du travail en qualité d’organisme de formation</w:t>
      </w:r>
      <w:r>
        <w:t xml:space="preserve"> mais n’a pas été</w:t>
      </w:r>
      <w:r w:rsidRPr="002C5709">
        <w:t xml:space="preserve"> agréée par le ministère de l’éducation nationale en qualité</w:t>
      </w:r>
      <w:r>
        <w:t xml:space="preserve"> d’établissement d’enseignement ;</w:t>
      </w:r>
    </w:p>
    <w:p w:rsidR="00785B51" w:rsidRDefault="00785B51" w:rsidP="00183B15">
      <w:pPr>
        <w:pStyle w:val="PS"/>
        <w:rPr>
          <w:iCs/>
        </w:rPr>
      </w:pPr>
      <w:r>
        <w:t>Attendu toutefois que les</w:t>
      </w:r>
      <w:r>
        <w:rPr>
          <w:iCs/>
        </w:rPr>
        <w:t xml:space="preserve"> établissements et organismes de formation, bénéficiaires finals des fonds collectés au titre de la taxe d’apprentissage ne sont pas soumis à un dispositif d’agrément, lequel ne s’impose qu’aux organismes collecteurs de ladite taxe</w:t>
      </w:r>
      <w:r>
        <w:t xml:space="preserve"> sur le fondement de l’article </w:t>
      </w:r>
      <w:r w:rsidRPr="002C5709">
        <w:t>L.</w:t>
      </w:r>
      <w:r>
        <w:t> 118-2-4</w:t>
      </w:r>
      <w:r w:rsidRPr="002C5709">
        <w:t xml:space="preserve"> du code du travail</w:t>
      </w:r>
      <w:r>
        <w:t> ; que la perception de tels fonds par l’association IIVC ne peut sur ce fondement être jugée irrégulière ;</w:t>
      </w:r>
    </w:p>
    <w:p w:rsidR="00785B51" w:rsidRDefault="00785B51" w:rsidP="002774CC">
      <w:pPr>
        <w:pStyle w:val="PS"/>
        <w:rPr>
          <w:iCs/>
        </w:rPr>
      </w:pPr>
      <w:r>
        <w:rPr>
          <w:iCs/>
        </w:rPr>
        <w:t xml:space="preserve">Attendu par ailleurs que nulle pièce versée aux débats n’atteste que les sommes collectées par l’IFAI au titre de la taxe d’apprentissage et reversées à l’association IIVC </w:t>
      </w:r>
      <w:r>
        <w:t xml:space="preserve">sur le fondement de conventions annuelles dont la validité n’a pas lieu d’être ici contestée, </w:t>
      </w:r>
      <w:r>
        <w:rPr>
          <w:iCs/>
        </w:rPr>
        <w:t>étaient destinées à l’université Jean Monnet de Saint-Etienne ; qu’en particulier, aucun document ne fait état de la volonté des entreprises versantes d’affecter à ladite université, en lieu et place de l’association IIVC, les sommes acquittées au titre de la taxe d’apprentissage ;</w:t>
      </w:r>
    </w:p>
    <w:p w:rsidR="00785B51" w:rsidRPr="003E1BDA" w:rsidRDefault="00785B51" w:rsidP="000108F8">
      <w:pPr>
        <w:pStyle w:val="PS"/>
        <w:rPr>
          <w:color w:val="000000"/>
        </w:rPr>
      </w:pPr>
      <w:r>
        <w:rPr>
          <w:color w:val="000000"/>
          <w:shd w:val="clear" w:color="auto" w:fill="FFFFFF"/>
        </w:rPr>
        <w:t>Q</w:t>
      </w:r>
      <w:r w:rsidRPr="003E1BDA">
        <w:rPr>
          <w:color w:val="000000"/>
          <w:shd w:val="clear" w:color="auto" w:fill="FFFFFF"/>
        </w:rPr>
        <w:t xml:space="preserve">u’il y a donc lieu d’infirmer le jugement dont est </w:t>
      </w:r>
      <w:r w:rsidRPr="003E1BDA">
        <w:rPr>
          <w:shd w:val="clear" w:color="auto" w:fill="FFFFFF"/>
        </w:rPr>
        <w:t xml:space="preserve">appel </w:t>
      </w:r>
      <w:r w:rsidRPr="003E1BDA">
        <w:rPr>
          <w:color w:val="000000"/>
          <w:shd w:val="clear" w:color="auto" w:fill="FFFFFF"/>
        </w:rPr>
        <w:t>;</w:t>
      </w:r>
    </w:p>
    <w:p w:rsidR="00785B51" w:rsidRDefault="00785B51" w:rsidP="000108F8">
      <w:pPr>
        <w:pStyle w:val="PS"/>
        <w:rPr>
          <w:color w:val="000000"/>
        </w:rPr>
      </w:pPr>
      <w:r w:rsidRPr="003E1BDA">
        <w:rPr>
          <w:color w:val="000000"/>
        </w:rPr>
        <w:t>Par ces motifs,</w:t>
      </w:r>
    </w:p>
    <w:p w:rsidR="00785B51" w:rsidRPr="003E1BDA" w:rsidRDefault="00785B51" w:rsidP="00183B15">
      <w:pPr>
        <w:pStyle w:val="PS"/>
        <w:jc w:val="center"/>
        <w:rPr>
          <w:color w:val="000000"/>
        </w:rPr>
      </w:pPr>
      <w:r w:rsidRPr="003E1BDA">
        <w:rPr>
          <w:color w:val="000000"/>
        </w:rPr>
        <w:t>STATUANT DEFINITIVEMENT,</w:t>
      </w:r>
    </w:p>
    <w:p w:rsidR="00785B51" w:rsidRPr="003E1BDA" w:rsidRDefault="00785B51" w:rsidP="00183B15">
      <w:pPr>
        <w:pStyle w:val="PS"/>
        <w:jc w:val="center"/>
        <w:rPr>
          <w:color w:val="000000"/>
        </w:rPr>
      </w:pPr>
      <w:r w:rsidRPr="003E1BDA">
        <w:rPr>
          <w:color w:val="000000"/>
        </w:rPr>
        <w:t>ORDONNE :</w:t>
      </w:r>
    </w:p>
    <w:p w:rsidR="00785B51" w:rsidRPr="003E1BDA" w:rsidRDefault="00785B51" w:rsidP="00183B15">
      <w:pPr>
        <w:pStyle w:val="PS"/>
        <w:rPr>
          <w:color w:val="000000"/>
        </w:rPr>
      </w:pPr>
      <w:r w:rsidRPr="003E1BDA">
        <w:rPr>
          <w:color w:val="000000"/>
        </w:rPr>
        <w:t xml:space="preserve">Le </w:t>
      </w:r>
      <w:r>
        <w:t>j</w:t>
      </w:r>
      <w:r w:rsidRPr="00AF4A16">
        <w:t>ugement n°</w:t>
      </w:r>
      <w:r>
        <w:t> </w:t>
      </w:r>
      <w:r w:rsidRPr="00AF4A16">
        <w:t>2005</w:t>
      </w:r>
      <w:r>
        <w:t xml:space="preserve">-03-GF, rendu le </w:t>
      </w:r>
      <w:r w:rsidRPr="00AF4A16">
        <w:t>11</w:t>
      </w:r>
      <w:r>
        <w:t> </w:t>
      </w:r>
      <w:r w:rsidRPr="00AF4A16">
        <w:t>mai</w:t>
      </w:r>
      <w:r>
        <w:t> </w:t>
      </w:r>
      <w:r w:rsidRPr="00AF4A16">
        <w:t>2005</w:t>
      </w:r>
      <w:r>
        <w:t xml:space="preserve"> par </w:t>
      </w:r>
      <w:r w:rsidRPr="00AF4A16">
        <w:t>la chambre régionale des comptes de Rhône-Alpes</w:t>
      </w:r>
      <w:r w:rsidRPr="003E1BDA">
        <w:rPr>
          <w:color w:val="000000"/>
        </w:rPr>
        <w:t xml:space="preserve"> est infirmé.</w:t>
      </w:r>
    </w:p>
    <w:p w:rsidR="00785B51" w:rsidRPr="00AA19D6" w:rsidRDefault="00785B51" w:rsidP="00183B15">
      <w:pPr>
        <w:pStyle w:val="PS"/>
        <w:ind w:firstLine="0"/>
        <w:jc w:val="center"/>
      </w:pPr>
      <w:r w:rsidRPr="00AA19D6">
        <w:t>----------</w:t>
      </w:r>
    </w:p>
    <w:p w:rsidR="00785B51" w:rsidRDefault="00785B51" w:rsidP="00513576">
      <w:pPr>
        <w:pStyle w:val="PS"/>
      </w:pPr>
      <w:r w:rsidRPr="00AA19D6">
        <w:t>Fait et jugé en aud</w:t>
      </w:r>
      <w:r>
        <w:t xml:space="preserve">ience publique le vingt-trois février deux mil six </w:t>
      </w:r>
      <w:r w:rsidRPr="00AA19D6">
        <w:t>en la</w:t>
      </w:r>
      <w:r>
        <w:t> </w:t>
      </w:r>
      <w:r w:rsidRPr="00AA19D6">
        <w:t xml:space="preserve">Cour des comptes, quatrième chambre, première section. </w:t>
      </w:r>
      <w:r w:rsidRPr="00B60DDE">
        <w:t>Présents :</w:t>
      </w:r>
      <w:r>
        <w:t> </w:t>
      </w:r>
      <w:r w:rsidRPr="00B60DDE">
        <w:t>MM.</w:t>
      </w:r>
      <w:r>
        <w:t> </w:t>
      </w:r>
      <w:r w:rsidRPr="00B60DDE">
        <w:t xml:space="preserve">Pichon, président, </w:t>
      </w:r>
      <w:r>
        <w:t>Collinet, président de chambre maintenu en activité, Moreau</w:t>
      </w:r>
      <w:r w:rsidRPr="00B60DDE">
        <w:t>, président de</w:t>
      </w:r>
      <w:r>
        <w:t xml:space="preserve"> </w:t>
      </w:r>
      <w:r w:rsidRPr="00B60DDE">
        <w:t>section, Limouzin-Lamothe, Vianès,</w:t>
      </w:r>
      <w:r>
        <w:t xml:space="preserve"> Mme Boutin, MM. Ganser, Thérond et Martin, </w:t>
      </w:r>
      <w:r w:rsidRPr="00B60DDE">
        <w:t>conseillers maîtres</w:t>
      </w:r>
      <w:r>
        <w:t>.</w:t>
      </w:r>
    </w:p>
    <w:p w:rsidR="00785B51" w:rsidRDefault="00785B51" w:rsidP="000108F8">
      <w:pPr>
        <w:pStyle w:val="PS"/>
      </w:pPr>
      <w:r w:rsidRPr="00AA19D6">
        <w:t xml:space="preserve">Signé : </w:t>
      </w:r>
      <w:r>
        <w:t>Pichon</w:t>
      </w:r>
      <w:r w:rsidRPr="00AA19D6">
        <w:t>, président, et Reynaud, greffier.</w:t>
      </w:r>
    </w:p>
    <w:p w:rsidR="00785B51" w:rsidRDefault="00785B51" w:rsidP="00400510">
      <w:pPr>
        <w:pStyle w:val="PS"/>
      </w:pPr>
      <w:r>
        <w:t>Collationné, certifié conforme à la minute étant au greffe de la Cour des comptes et d</w:t>
      </w:r>
      <w:r w:rsidRPr="00DE4E4B">
        <w:t xml:space="preserve"> </w:t>
      </w:r>
      <w:r>
        <w:t>élivré par moi, secrétaire général.</w:t>
      </w:r>
    </w:p>
    <w:p w:rsidR="00785B51" w:rsidRPr="00113718" w:rsidRDefault="00785B51" w:rsidP="00113718">
      <w:pPr>
        <w:pStyle w:val="PS"/>
        <w:rPr>
          <w:vanish/>
        </w:rPr>
      </w:pPr>
      <w:r w:rsidRPr="00DE4E4B">
        <w:rPr>
          <w:vanish/>
        </w:rPr>
        <w:t xml:space="preserve">En conséquence, la République mande et ordonne à tous huissiers de justice, sur ce requis, de mettre ledit arrêt à exécution, aux procureurs généraux et aux procureurs de la République près les tribunaux de grande instance d’y tenir la main, à tous commandants et officiers de la force publique de prêter main forte lorsqu’ils en seront légalement requis. </w:t>
      </w:r>
    </w:p>
    <w:sectPr w:rsidR="00785B51" w:rsidRPr="00113718" w:rsidSect="00A321CD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B51" w:rsidRDefault="00785B51">
      <w:r>
        <w:separator/>
      </w:r>
    </w:p>
  </w:endnote>
  <w:endnote w:type="continuationSeparator" w:id="1">
    <w:p w:rsidR="00785B51" w:rsidRDefault="00785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B51" w:rsidRDefault="00785B51">
      <w:r>
        <w:separator/>
      </w:r>
    </w:p>
  </w:footnote>
  <w:footnote w:type="continuationSeparator" w:id="1">
    <w:p w:rsidR="00785B51" w:rsidRDefault="00785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B51" w:rsidRDefault="00785B51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108F8"/>
    <w:rsid w:val="0004155F"/>
    <w:rsid w:val="0005289D"/>
    <w:rsid w:val="00066907"/>
    <w:rsid w:val="00084F07"/>
    <w:rsid w:val="00113718"/>
    <w:rsid w:val="00183B15"/>
    <w:rsid w:val="002125C6"/>
    <w:rsid w:val="002774CC"/>
    <w:rsid w:val="002C5709"/>
    <w:rsid w:val="002E23E1"/>
    <w:rsid w:val="00346E0D"/>
    <w:rsid w:val="00347351"/>
    <w:rsid w:val="003E1BDA"/>
    <w:rsid w:val="00400510"/>
    <w:rsid w:val="004811DD"/>
    <w:rsid w:val="004908D1"/>
    <w:rsid w:val="004A485E"/>
    <w:rsid w:val="00513576"/>
    <w:rsid w:val="005F644B"/>
    <w:rsid w:val="00664799"/>
    <w:rsid w:val="006D42F1"/>
    <w:rsid w:val="0075074B"/>
    <w:rsid w:val="007716DF"/>
    <w:rsid w:val="00774FD1"/>
    <w:rsid w:val="00775DE1"/>
    <w:rsid w:val="00785B51"/>
    <w:rsid w:val="007F6A8B"/>
    <w:rsid w:val="00817D54"/>
    <w:rsid w:val="00917E75"/>
    <w:rsid w:val="00A260F4"/>
    <w:rsid w:val="00A321CD"/>
    <w:rsid w:val="00AA19D6"/>
    <w:rsid w:val="00AF4A16"/>
    <w:rsid w:val="00B60DDE"/>
    <w:rsid w:val="00BF2A27"/>
    <w:rsid w:val="00C007FC"/>
    <w:rsid w:val="00C0154E"/>
    <w:rsid w:val="00D840D6"/>
    <w:rsid w:val="00DD0470"/>
    <w:rsid w:val="00DE4E4B"/>
    <w:rsid w:val="00DF72CF"/>
    <w:rsid w:val="00E823A2"/>
    <w:rsid w:val="00ED5715"/>
    <w:rsid w:val="00F07621"/>
    <w:rsid w:val="00F53874"/>
    <w:rsid w:val="00F9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4F07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4F07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084F07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084F07"/>
    <w:pPr>
      <w:ind w:left="708"/>
    </w:pPr>
  </w:style>
  <w:style w:type="paragraph" w:styleId="Header">
    <w:name w:val="header"/>
    <w:basedOn w:val="Normal"/>
    <w:link w:val="HeaderChar"/>
    <w:uiPriority w:val="99"/>
    <w:rsid w:val="00084F07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084F07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084F07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084F07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084F07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084F07"/>
    <w:pPr>
      <w:spacing w:after="240"/>
      <w:ind w:firstLine="1418"/>
    </w:pPr>
  </w:style>
  <w:style w:type="paragraph" w:customStyle="1" w:styleId="IN">
    <w:name w:val="IN"/>
    <w:basedOn w:val="P0"/>
    <w:uiPriority w:val="99"/>
    <w:rsid w:val="00084F07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084F07"/>
    <w:pPr>
      <w:ind w:left="0"/>
    </w:pPr>
  </w:style>
  <w:style w:type="paragraph" w:customStyle="1" w:styleId="PE">
    <w:name w:val="PE"/>
    <w:basedOn w:val="IN"/>
    <w:uiPriority w:val="99"/>
    <w:rsid w:val="00084F07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084F07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084F07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084F07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uiPriority w:val="99"/>
    <w:rsid w:val="00D840D6"/>
    <w:pPr>
      <w:spacing w:before="100" w:beforeAutospacing="1" w:after="100" w:afterAutospacing="1"/>
    </w:pPr>
    <w:rPr>
      <w:sz w:val="24"/>
      <w:szCs w:val="24"/>
    </w:rPr>
  </w:style>
  <w:style w:type="paragraph" w:customStyle="1" w:styleId="p00">
    <w:name w:val="p0"/>
    <w:basedOn w:val="Normal"/>
    <w:uiPriority w:val="99"/>
    <w:rsid w:val="00D840D6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840D6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D84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4</Pages>
  <Words>1105</Words>
  <Characters>6078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2</cp:revision>
  <cp:lastPrinted>2006-03-10T09:21:00Z</cp:lastPrinted>
  <dcterms:created xsi:type="dcterms:W3CDTF">2007-04-18T15:39:00Z</dcterms:created>
  <dcterms:modified xsi:type="dcterms:W3CDTF">2007-04-18T15:39:00Z</dcterms:modified>
</cp:coreProperties>
</file>